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7E7E" w:rsidRDefault="00B03CBB">
      <w:pPr>
        <w:pStyle w:val="Titre1"/>
      </w:pPr>
      <w:bookmarkStart w:id="0" w:name="_Toc234249229"/>
      <w:bookmarkStart w:id="1" w:name="partie-1-analyse-module-par-module"/>
      <w:r>
        <w:t>Partie 1 — Analyse module par module</w:t>
      </w:r>
      <w:bookmarkEnd w:id="0"/>
    </w:p>
    <w:p w:rsidR="00C27E7E" w:rsidRDefault="00B03CBB">
      <w:pPr>
        <w:pStyle w:val="Titre2"/>
      </w:pPr>
      <w:bookmarkStart w:id="2" w:name="_Toc234249230"/>
      <w:bookmarkStart w:id="3" w:name="Xee5bcba3d9ead8ae9e57c641cf076ba766e3796"/>
      <w:r>
        <w:t>Module 1 : Intelligent Bank Reconciliation (déjà développé)</w:t>
      </w:r>
      <w:bookmarkEnd w:id="2"/>
    </w:p>
    <w:p w:rsidR="00C27E7E" w:rsidRDefault="00B03CBB">
      <w:pPr>
        <w:pStyle w:val="FirstParagraph"/>
      </w:pPr>
      <w:r>
        <w:rPr>
          <w:b/>
          <w:bCs/>
        </w:rPr>
        <w:t>Remarques et points à clarifier</w:t>
      </w:r>
    </w:p>
    <w:p w:rsidR="00C27E7E" w:rsidRDefault="00B03CBB">
      <w:pPr>
        <w:pStyle w:val="Compact"/>
        <w:numPr>
          <w:ilvl w:val="0"/>
          <w:numId w:val="3"/>
        </w:numPr>
      </w:pPr>
      <w:r>
        <w:t xml:space="preserve">Le CCT ne précise pas le </w:t>
      </w:r>
      <w:r>
        <w:rPr>
          <w:b/>
          <w:bCs/>
        </w:rPr>
        <w:t>taux de rapprochement automatique déjà atteint en production</w:t>
      </w:r>
      <w:r>
        <w:t xml:space="preserve"> ni la méthode de mesure (nombre de lignes rapprochées / nombre total, ou en valeur €/DT rapprochée). Sans baseline, l’objectif « 95 % » du chapitre 1.3 reste incontrôlable.</w:t>
      </w:r>
    </w:p>
    <w:p w:rsidR="00C27E7E" w:rsidRDefault="00B03CBB">
      <w:pPr>
        <w:pStyle w:val="Compact"/>
        <w:numPr>
          <w:ilvl w:val="0"/>
          <w:numId w:val="3"/>
        </w:numPr>
      </w:pPr>
      <w:r>
        <w:t xml:space="preserve">Aucune définition du </w:t>
      </w:r>
      <w:r>
        <w:rPr>
          <w:b/>
          <w:bCs/>
        </w:rPr>
        <w:t>cycle de vie d’un écart</w:t>
      </w:r>
      <w:r>
        <w:t xml:space="preserve"> (qui le traite, sous quel délai, quelle escalade si non traité).</w:t>
      </w:r>
    </w:p>
    <w:p w:rsidR="00C27E7E" w:rsidRDefault="00B03CBB">
      <w:pPr>
        <w:pStyle w:val="Compact"/>
        <w:numPr>
          <w:ilvl w:val="0"/>
          <w:numId w:val="3"/>
        </w:numPr>
      </w:pPr>
      <w:r>
        <w:t xml:space="preserve">Le document ne précise pas si le rapprochement gère le </w:t>
      </w:r>
      <w:r>
        <w:rPr>
          <w:b/>
          <w:bCs/>
        </w:rPr>
        <w:t>multi-devises</w:t>
      </w:r>
      <w:r>
        <w:t xml:space="preserve"> et les écarts de change, pourtant cité indirectement dans le Module 2.</w:t>
      </w:r>
    </w:p>
    <w:p w:rsidR="00C27E7E" w:rsidRDefault="00B03CBB">
      <w:pPr>
        <w:pStyle w:val="Compact"/>
        <w:numPr>
          <w:ilvl w:val="0"/>
          <w:numId w:val="3"/>
        </w:numPr>
      </w:pPr>
      <w:r>
        <w:t xml:space="preserve">Pas de mention des </w:t>
      </w:r>
      <w:r>
        <w:rPr>
          <w:b/>
          <w:bCs/>
        </w:rPr>
        <w:t>règles de rapprochement N:N</w:t>
      </w:r>
      <w:r>
        <w:t xml:space="preserve"> (un paiement pour plusieurs factures, ou une facture réglée en plusieurs fois), cas très fréquent en comptabilité fournisseurs.</w:t>
      </w:r>
    </w:p>
    <w:p w:rsidR="00C27E7E" w:rsidRDefault="00B03CBB">
      <w:pPr>
        <w:pStyle w:val="FirstParagraph"/>
      </w:pPr>
      <w:r>
        <w:rPr>
          <w:b/>
          <w:bCs/>
        </w:rPr>
        <w:t>Idées innovantes / valeur produit</w:t>
      </w:r>
    </w:p>
    <w:p w:rsidR="00C27E7E" w:rsidRDefault="00B03CBB">
      <w:pPr>
        <w:pStyle w:val="Compact"/>
        <w:numPr>
          <w:ilvl w:val="0"/>
          <w:numId w:val="4"/>
        </w:numPr>
      </w:pPr>
      <w:r>
        <w:rPr>
          <w:b/>
          <w:bCs/>
        </w:rPr>
        <w:t>Rejeu « et si »</w:t>
      </w:r>
      <w:r>
        <w:t xml:space="preserve"> : permettre à l’utilisateur de simuler l’effet d’une nouvelle règle de rapprochement sur l’historique avant de l’activer (« si j’avais eu cette règle le mois dernier, combien d’écarts en moins ? »).</w:t>
      </w:r>
    </w:p>
    <w:p w:rsidR="00C27E7E" w:rsidRDefault="00B03CBB">
      <w:pPr>
        <w:pStyle w:val="Compact"/>
        <w:numPr>
          <w:ilvl w:val="0"/>
          <w:numId w:val="4"/>
        </w:numPr>
      </w:pPr>
      <w:r>
        <w:rPr>
          <w:b/>
          <w:bCs/>
        </w:rPr>
        <w:t>Suggestions de règles apprises</w:t>
      </w:r>
      <w:r>
        <w:t xml:space="preserve"> : le système propose lui-même de nouvelles règles de matching à partir des corrections manuelles répétées par les comptables (apprentissage actif), plutôt que d’attendre une intervention IT.</w:t>
      </w:r>
    </w:p>
    <w:p w:rsidR="00C27E7E" w:rsidRDefault="00B03CBB">
      <w:pPr>
        <w:pStyle w:val="Compact"/>
        <w:numPr>
          <w:ilvl w:val="0"/>
          <w:numId w:val="4"/>
        </w:numPr>
      </w:pPr>
      <w:r>
        <w:rPr>
          <w:b/>
          <w:bCs/>
        </w:rPr>
        <w:t>Vue « radar des écarts »</w:t>
      </w:r>
      <w:r>
        <w:t xml:space="preserve"> : une visualisation en un coup d’œil de tous les écarts ouverts, triés par ancienneté et par montant, pour prioriser le travail des équipes plutôt que de traiter dans l’ordre chronologique.</w:t>
      </w:r>
    </w:p>
    <w:p w:rsidR="00C27E7E" w:rsidRDefault="00B03CBB">
      <w:pPr>
        <w:pStyle w:val="FirstParagraph"/>
      </w:pPr>
      <w:r>
        <w:rPr>
          <w:b/>
          <w:bCs/>
        </w:rPr>
        <w:t>Recherche / bonnes pratiques</w:t>
      </w:r>
      <w:r w:rsidR="0095068F">
        <w:t xml:space="preserve"> Les leaders du marché (Xero</w:t>
      </w:r>
      <w:r>
        <w:t xml:space="preserve">, Pennylane) se distinguent moins par la performance algorithmique que par la </w:t>
      </w:r>
      <w:r>
        <w:rPr>
          <w:b/>
          <w:bCs/>
        </w:rPr>
        <w:t>clarté de l’écran de rapprochement</w:t>
      </w:r>
      <w:r>
        <w:t xml:space="preserve"> : listes côte à côte, code couleur simple, et validation en un clic. C’est un standard UX à reprendre absolument.</w:t>
      </w:r>
    </w:p>
    <w:p w:rsidR="00C27E7E" w:rsidRDefault="00214FE6">
      <w:r>
        <w:pict>
          <v:rect id="_x0000_i1025" style="width:0;height:1.5pt" o:hralign="center" o:hrstd="t" o:hr="t"/>
        </w:pict>
      </w:r>
    </w:p>
    <w:p w:rsidR="00C27E7E" w:rsidRDefault="00B03CBB">
      <w:pPr>
        <w:pStyle w:val="Titre2"/>
      </w:pPr>
      <w:bookmarkStart w:id="4" w:name="_Toc234249231"/>
      <w:bookmarkStart w:id="5" w:name="module-2-multi-banking-hub"/>
      <w:bookmarkEnd w:id="3"/>
      <w:r>
        <w:t>Module 2 : Multi Banking Hub</w:t>
      </w:r>
      <w:bookmarkEnd w:id="4"/>
    </w:p>
    <w:p w:rsidR="00C27E7E" w:rsidRDefault="00B03CBB">
      <w:pPr>
        <w:pStyle w:val="FirstParagraph"/>
      </w:pPr>
      <w:r>
        <w:rPr>
          <w:b/>
          <w:bCs/>
        </w:rPr>
        <w:t>Remarques et points à clarifier</w:t>
      </w:r>
    </w:p>
    <w:p w:rsidR="00C27E7E" w:rsidRDefault="0095068F">
      <w:pPr>
        <w:pStyle w:val="Compact"/>
        <w:numPr>
          <w:ilvl w:val="0"/>
          <w:numId w:val="5"/>
        </w:numPr>
      </w:pPr>
      <w:r>
        <w:t>Risque :</w:t>
      </w:r>
      <w:r w:rsidR="00B03CBB">
        <w:t xml:space="preserve"> dépendance critique si une banque change son format d’export ou coupe l’accès API. Il manque un </w:t>
      </w:r>
      <w:r w:rsidR="00B03CBB">
        <w:rPr>
          <w:b/>
          <w:bCs/>
        </w:rPr>
        <w:t>plan de continuité explicite</w:t>
      </w:r>
      <w:r w:rsidR="00B03CBB">
        <w:t xml:space="preserve"> : à quelle fréquence teste-t-on les connecteurs bancaires ? Existe-t-il un environnement de bac à sable (sandbox) par banque partenaire ?</w:t>
      </w:r>
    </w:p>
    <w:p w:rsidR="00C27E7E" w:rsidRDefault="00B03CBB">
      <w:pPr>
        <w:pStyle w:val="Compact"/>
        <w:numPr>
          <w:ilvl w:val="0"/>
          <w:numId w:val="5"/>
        </w:numPr>
      </w:pPr>
      <w:r>
        <w:lastRenderedPageBreak/>
        <w:t xml:space="preserve">Le CCT cite PSD2, EBICS, SWIFT — mais </w:t>
      </w:r>
      <w:r>
        <w:rPr>
          <w:b/>
          <w:bCs/>
        </w:rPr>
        <w:t>pas la réalité bancaire tunisienne</w:t>
      </w:r>
      <w:r>
        <w:t xml:space="preserve"> (les banques locales n’offrent pas toutes une API Open Banking mature ; beaucoup fonctionnent encore par fichiers EBICS ou échanges SFTP manuels). Cela mérite une clarification stratégique : la plateforme cible-t-elle en priorité le marché tunisien/maghrébin ou l’Europe ?</w:t>
      </w:r>
    </w:p>
    <w:p w:rsidR="00C27E7E" w:rsidRDefault="00B03CBB">
      <w:pPr>
        <w:pStyle w:val="Compact"/>
        <w:numPr>
          <w:ilvl w:val="0"/>
          <w:numId w:val="5"/>
        </w:numPr>
      </w:pPr>
      <w:r>
        <w:t xml:space="preserve">Pas de politique claire sur la </w:t>
      </w:r>
      <w:r>
        <w:rPr>
          <w:b/>
          <w:bCs/>
        </w:rPr>
        <w:t>latence acceptable</w:t>
      </w:r>
      <w:r>
        <w:t xml:space="preserve"> de synchronisation (temps réel, toutes les 15 min, quotidien ?).</w:t>
      </w:r>
    </w:p>
    <w:p w:rsidR="00C27E7E" w:rsidRDefault="00B03CBB">
      <w:pPr>
        <w:pStyle w:val="FirstParagraph"/>
      </w:pPr>
      <w:r>
        <w:rPr>
          <w:b/>
          <w:bCs/>
        </w:rPr>
        <w:t>Idées innovantes / valeur produit</w:t>
      </w:r>
    </w:p>
    <w:p w:rsidR="00C27E7E" w:rsidRDefault="00B03CBB">
      <w:pPr>
        <w:pStyle w:val="Compact"/>
        <w:numPr>
          <w:ilvl w:val="0"/>
          <w:numId w:val="6"/>
        </w:numPr>
      </w:pPr>
      <w:r>
        <w:rPr>
          <w:b/>
          <w:bCs/>
        </w:rPr>
        <w:t>Indicateur de santé des connexions bancaires</w:t>
      </w:r>
      <w:r>
        <w:t xml:space="preserve"> visible par l’utilisateur final (type « statut de service ») : connecté / dégradé / rompu, avec date de dernière synchronisation réussie — évite les incidents découverts trop tard en clôture.</w:t>
      </w:r>
    </w:p>
    <w:p w:rsidR="00C27E7E" w:rsidRDefault="00B03CBB">
      <w:pPr>
        <w:pStyle w:val="Compact"/>
        <w:numPr>
          <w:ilvl w:val="0"/>
          <w:numId w:val="6"/>
        </w:numPr>
      </w:pPr>
      <w:r>
        <w:rPr>
          <w:b/>
          <w:bCs/>
        </w:rPr>
        <w:t>Mode dégradé assisté</w:t>
      </w:r>
      <w:r>
        <w:t xml:space="preserve"> : si une banque coupe son API, proposer un import manuel guidé (glisser-déposer du relevé, mapping automatique des colonnes) pour ne jamais bloquer le comptable.</w:t>
      </w:r>
    </w:p>
    <w:p w:rsidR="00C27E7E" w:rsidRDefault="00B03CBB">
      <w:pPr>
        <w:pStyle w:val="FirstParagraph"/>
      </w:pPr>
      <w:r>
        <w:rPr>
          <w:b/>
          <w:bCs/>
        </w:rPr>
        <w:t>Recherche / technologies</w:t>
      </w:r>
      <w:r>
        <w:t xml:space="preserve"> Le marché des agrégateurs bancaires européens (Budget Insight/Powens, Bridge, Tink, Plaid) fournit déjà des connecteurs Open Banking mutualisés ; s’appuyer sur un agrégateur existant pour l’Europe, et prévoir des connecteurs spécifiques (fichiers, SFTP, EBICS) pour les banques maghrébines, serait plus réaliste qu’un développement 100 % interne des API bancaires.</w:t>
      </w:r>
    </w:p>
    <w:p w:rsidR="00C27E7E" w:rsidRDefault="00214FE6">
      <w:r>
        <w:pict>
          <v:rect id="_x0000_i1026" style="width:0;height:1.5pt" o:hralign="center" o:hrstd="t" o:hr="t"/>
        </w:pict>
      </w:r>
    </w:p>
    <w:p w:rsidR="00C27E7E" w:rsidRDefault="00B03CBB">
      <w:pPr>
        <w:pStyle w:val="Titre2"/>
      </w:pPr>
      <w:bookmarkStart w:id="6" w:name="_Toc234249232"/>
      <w:bookmarkStart w:id="7" w:name="X02c205be4c5355421c79191a6d27c931fe6bbfe"/>
      <w:bookmarkEnd w:id="5"/>
      <w:r>
        <w:t>Module 3 : Intelligent OCR &amp; Document Processing</w:t>
      </w:r>
      <w:bookmarkEnd w:id="6"/>
    </w:p>
    <w:p w:rsidR="00C27E7E" w:rsidRDefault="00B03CBB">
      <w:pPr>
        <w:pStyle w:val="FirstParagraph"/>
      </w:pPr>
      <w:r>
        <w:rPr>
          <w:b/>
          <w:bCs/>
        </w:rPr>
        <w:t>Remarques et points à clarifier</w:t>
      </w:r>
    </w:p>
    <w:p w:rsidR="00C27E7E" w:rsidRDefault="00B03CBB">
      <w:pPr>
        <w:pStyle w:val="Compact"/>
        <w:numPr>
          <w:ilvl w:val="0"/>
          <w:numId w:val="7"/>
        </w:numPr>
      </w:pPr>
      <w:r>
        <w:t xml:space="preserve">Le CCT ne fixe pas de </w:t>
      </w:r>
      <w:r>
        <w:rPr>
          <w:b/>
          <w:bCs/>
        </w:rPr>
        <w:t>seuil de confiance OCR minimal</w:t>
      </w:r>
      <w:r>
        <w:t xml:space="preserve"> en dessous duquel un document part automatiquement en validation humaine.</w:t>
      </w:r>
    </w:p>
    <w:p w:rsidR="00C27E7E" w:rsidRDefault="00B03CBB">
      <w:pPr>
        <w:pStyle w:val="Compact"/>
        <w:numPr>
          <w:ilvl w:val="0"/>
          <w:numId w:val="7"/>
        </w:numPr>
      </w:pPr>
      <w:r>
        <w:t xml:space="preserve">Rien n’est dit sur la gestion des </w:t>
      </w:r>
      <w:r>
        <w:rPr>
          <w:b/>
          <w:bCs/>
        </w:rPr>
        <w:t>documents manuscrits, factures scannées de mauvaise qualité, ou multi-pages</w:t>
      </w:r>
      <w:r>
        <w:t>.</w:t>
      </w:r>
    </w:p>
    <w:p w:rsidR="00C27E7E" w:rsidRDefault="00B03CBB">
      <w:pPr>
        <w:pStyle w:val="Compact"/>
        <w:numPr>
          <w:ilvl w:val="0"/>
          <w:numId w:val="7"/>
        </w:numPr>
      </w:pPr>
      <w:r>
        <w:t xml:space="preserve">Aucune mention des </w:t>
      </w:r>
      <w:r>
        <w:rPr>
          <w:b/>
          <w:bCs/>
        </w:rPr>
        <w:t>formats de facturation électronique normés</w:t>
      </w:r>
      <w:r>
        <w:t xml:space="preserve"> (Factur-X, UBL, TEIF pour la Tunisie — le format national d’échange de facture électronique). Or la Tunisie avance vers la facturation électronique obligatoire ; l’ignorer serait un manque stratégique fort.</w:t>
      </w:r>
    </w:p>
    <w:p w:rsidR="00C27E7E" w:rsidRDefault="00B03CBB">
      <w:pPr>
        <w:pStyle w:val="FirstParagraph"/>
      </w:pPr>
      <w:r>
        <w:rPr>
          <w:b/>
          <w:bCs/>
        </w:rPr>
        <w:t>Idées innovantes / valeur produit</w:t>
      </w:r>
    </w:p>
    <w:p w:rsidR="00C27E7E" w:rsidRDefault="00B03CBB">
      <w:pPr>
        <w:pStyle w:val="Compact"/>
        <w:numPr>
          <w:ilvl w:val="0"/>
          <w:numId w:val="8"/>
        </w:numPr>
      </w:pPr>
      <w:r>
        <w:rPr>
          <w:b/>
          <w:bCs/>
        </w:rPr>
        <w:t>Apprentissage par template fournisseur</w:t>
      </w:r>
      <w:r>
        <w:t xml:space="preserve"> : la première fois qu’une facture d’un fournisseur est traitée, le système mémorise la position des champs clés ; les factures suivantes du même fournisseur sont extraites plus vite et avec moins d’erreurs.</w:t>
      </w:r>
    </w:p>
    <w:p w:rsidR="00C27E7E" w:rsidRDefault="00B03CBB">
      <w:pPr>
        <w:pStyle w:val="Compact"/>
        <w:numPr>
          <w:ilvl w:val="0"/>
          <w:numId w:val="8"/>
        </w:numPr>
      </w:pPr>
      <w:r>
        <w:rPr>
          <w:b/>
          <w:bCs/>
        </w:rPr>
        <w:t>Vérification croisée automatique</w:t>
      </w:r>
      <w:r>
        <w:t xml:space="preserve"> : comparer le montant extrait par l’OCR avec le montant du virement bancaire correspondant, et signaler tout écart avant validation comptable (lien direct avec le Module 1).</w:t>
      </w:r>
    </w:p>
    <w:p w:rsidR="004D33D1" w:rsidRDefault="004D33D1" w:rsidP="006C518A">
      <w:pPr>
        <w:pStyle w:val="Paragraphedeliste"/>
        <w:numPr>
          <w:ilvl w:val="0"/>
          <w:numId w:val="8"/>
        </w:numPr>
        <w:spacing w:after="90"/>
      </w:pPr>
      <w:r w:rsidRPr="004D33D1">
        <w:rPr>
          <w:b/>
          <w:bCs/>
        </w:rPr>
        <w:t xml:space="preserve">-L'approche "Human-in-the-Loop" interactive </w:t>
      </w:r>
      <w:r>
        <w:t xml:space="preserve">: Au lieu de laisser l'IA prendre des décisions seule, l'interface pourrait afficher un écran "Confiance faible". Si l'IA hésite à 60% sur une facture, elle la surligne en orange et propose les 3 meilleures correspondances au comptable, qui n'a plus qu'à cliquer pour valider. Cette action humaine réentraîne le modèle via un apprentissage continu. </w:t>
      </w:r>
      <w:r w:rsidR="006C518A" w:rsidRPr="006C518A">
        <w:t>l'écran doit adopter un fo</w:t>
      </w:r>
      <w:r w:rsidR="006C518A">
        <w:t xml:space="preserve">rmat Split-Screen </w:t>
      </w:r>
      <w:r w:rsidR="006C518A" w:rsidRPr="006C518A">
        <w:t xml:space="preserve"> : à gauche le PDF original de la facture avec les zones extraites surlignées en couleur, à droite le formulaire JSON pré-rempli. L'utilisateur n'a qu'à cliquer sur une zone du PDF pour corriger instantanément un champ mal lu.</w:t>
      </w:r>
    </w:p>
    <w:p w:rsidR="004D33D1" w:rsidRDefault="004D33D1" w:rsidP="004D33D1">
      <w:pPr>
        <w:pStyle w:val="Compact"/>
        <w:ind w:left="240"/>
      </w:pPr>
    </w:p>
    <w:p w:rsidR="00C27E7E" w:rsidRDefault="00B03CBB">
      <w:pPr>
        <w:pStyle w:val="FirstParagraph"/>
      </w:pPr>
      <w:r>
        <w:rPr>
          <w:b/>
          <w:bCs/>
        </w:rPr>
        <w:t>Recherche / technologies</w:t>
      </w:r>
      <w:r>
        <w:t xml:space="preserve"> Dext et Klippa restent les références en extraction de factures. Sur le plan technique, les modèles « vision-langage » récents (type document-understanding, cf. Donut, LayoutLM, ou les API de vision des grands fournisseurs LLM) dépassent aujourd’hui l’OCR classique sur les documents à mise en page variable — cohérent avec ce que note déjà le tableau technologique existant.</w:t>
      </w:r>
    </w:p>
    <w:p w:rsidR="00C27E7E" w:rsidRDefault="00214FE6">
      <w:r>
        <w:pict>
          <v:rect id="_x0000_i1027" style="width:0;height:1.5pt" o:hralign="center" o:hrstd="t" o:hr="t"/>
        </w:pict>
      </w:r>
    </w:p>
    <w:p w:rsidR="00C27E7E" w:rsidRDefault="00B03CBB">
      <w:pPr>
        <w:pStyle w:val="Titre2"/>
      </w:pPr>
      <w:bookmarkStart w:id="8" w:name="_Toc234249233"/>
      <w:bookmarkStart w:id="9" w:name="module-4-ai-accounting-intelligence"/>
      <w:bookmarkEnd w:id="7"/>
      <w:r>
        <w:t>Module 4 : AI Accounting Intelligence</w:t>
      </w:r>
      <w:bookmarkEnd w:id="8"/>
    </w:p>
    <w:p w:rsidR="00C27E7E" w:rsidRDefault="00B03CBB">
      <w:pPr>
        <w:pStyle w:val="FirstParagraph"/>
      </w:pPr>
      <w:r>
        <w:rPr>
          <w:b/>
          <w:bCs/>
        </w:rPr>
        <w:t>Remarques et points à clarifier</w:t>
      </w:r>
    </w:p>
    <w:p w:rsidR="00C27E7E" w:rsidRDefault="00B03CBB">
      <w:pPr>
        <w:pStyle w:val="Compact"/>
        <w:numPr>
          <w:ilvl w:val="0"/>
          <w:numId w:val="9"/>
        </w:numPr>
      </w:pPr>
      <w:r>
        <w:t xml:space="preserve">Le CCT liste les anomalies à détecter (doublons, écarts TVA, montants atypiques) mais ne définit pas la </w:t>
      </w:r>
      <w:r>
        <w:rPr>
          <w:b/>
          <w:bCs/>
        </w:rPr>
        <w:t>frontière entre ce module et le Module 5 (Fraud Detection)</w:t>
      </w:r>
      <w:r>
        <w:t xml:space="preserve"> : une écriture atypique est-elle une anomalie comptable ou un signal de fraude ? Le CCT devrait clarifier l’articulation entre les deux moteurs.</w:t>
      </w:r>
    </w:p>
    <w:p w:rsidR="00C27E7E" w:rsidRDefault="00B03CBB">
      <w:pPr>
        <w:pStyle w:val="Compact"/>
        <w:numPr>
          <w:ilvl w:val="0"/>
          <w:numId w:val="9"/>
        </w:numPr>
      </w:pPr>
      <w:r>
        <w:t xml:space="preserve">Pas de mention de la </w:t>
      </w:r>
      <w:r>
        <w:rPr>
          <w:b/>
          <w:bCs/>
        </w:rPr>
        <w:t>priorisation des alertes</w:t>
      </w:r>
      <w:r>
        <w:t xml:space="preserve"> (toutes les anomalies n’ont pas le même impact financier).</w:t>
      </w:r>
    </w:p>
    <w:p w:rsidR="00C27E7E" w:rsidRDefault="00B03CBB">
      <w:pPr>
        <w:pStyle w:val="FirstParagraph"/>
      </w:pPr>
      <w:r>
        <w:rPr>
          <w:b/>
          <w:bCs/>
        </w:rPr>
        <w:t>Idées innovantes / valeur produit</w:t>
      </w:r>
    </w:p>
    <w:p w:rsidR="00C27E7E" w:rsidRDefault="00B03CBB">
      <w:pPr>
        <w:pStyle w:val="Compact"/>
        <w:numPr>
          <w:ilvl w:val="0"/>
          <w:numId w:val="10"/>
        </w:numPr>
      </w:pPr>
      <w:r>
        <w:rPr>
          <w:b/>
          <w:bCs/>
        </w:rPr>
        <w:t>Score d’impact financier</w:t>
      </w:r>
      <w:r>
        <w:t xml:space="preserve"> sur chaque anomalie détectée (montant en jeu, criticité comptable) pour trier le travail des contrôleurs de gestion.</w:t>
      </w:r>
    </w:p>
    <w:p w:rsidR="00C27E7E" w:rsidRDefault="00B03CBB">
      <w:pPr>
        <w:pStyle w:val="Compact"/>
        <w:numPr>
          <w:ilvl w:val="0"/>
          <w:numId w:val="10"/>
        </w:numPr>
      </w:pPr>
      <w:r>
        <w:rPr>
          <w:b/>
          <w:bCs/>
        </w:rPr>
        <w:t>Explication en langage naturel de chaque anomalie</w:t>
      </w:r>
      <w:r>
        <w:t xml:space="preserve"> générée par le Copilote (Module 6) directement dans la liste d’anomalies, pas seulement sur demande dans le chat.</w:t>
      </w:r>
    </w:p>
    <w:p w:rsidR="00C27E7E" w:rsidRDefault="00B03CBB">
      <w:pPr>
        <w:pStyle w:val="FirstParagraph"/>
      </w:pPr>
      <w:r>
        <w:rPr>
          <w:b/>
          <w:bCs/>
        </w:rPr>
        <w:t>Recherche / bonnes pratiques</w:t>
      </w:r>
      <w:r>
        <w:t xml:space="preserve"> Les moteurs de « continuous accounting » (type MindBridge AI, spécialisé justement en détection d’anomalies comptables par ML) sont une référence directe pour ce module — plus proche du besoin que les outils AP génériques cités dans la note existante.</w:t>
      </w:r>
    </w:p>
    <w:p w:rsidR="00C27E7E" w:rsidRDefault="00214FE6">
      <w:r>
        <w:pict>
          <v:rect id="_x0000_i1028" style="width:0;height:1.5pt" o:hralign="center" o:hrstd="t" o:hr="t"/>
        </w:pict>
      </w:r>
    </w:p>
    <w:p w:rsidR="00C27E7E" w:rsidRDefault="00B03CBB">
      <w:pPr>
        <w:pStyle w:val="Titre2"/>
      </w:pPr>
      <w:bookmarkStart w:id="10" w:name="_Toc234249234"/>
      <w:bookmarkStart w:id="11" w:name="module-5-ai-fraud-detection"/>
      <w:bookmarkEnd w:id="9"/>
      <w:r>
        <w:t>Module 5 : AI Fraud Detection</w:t>
      </w:r>
      <w:bookmarkEnd w:id="10"/>
    </w:p>
    <w:p w:rsidR="00C27E7E" w:rsidRDefault="00B03CBB">
      <w:pPr>
        <w:pStyle w:val="FirstParagraph"/>
      </w:pPr>
      <w:r>
        <w:rPr>
          <w:b/>
          <w:bCs/>
        </w:rPr>
        <w:t>Remarques et points à clarifier</w:t>
      </w:r>
    </w:p>
    <w:p w:rsidR="00C27E7E" w:rsidRDefault="00B03CBB">
      <w:pPr>
        <w:pStyle w:val="Compact"/>
        <w:numPr>
          <w:ilvl w:val="0"/>
          <w:numId w:val="11"/>
        </w:numPr>
      </w:pPr>
      <w:r>
        <w:t xml:space="preserve">Le point déjà soulevé (faux positifs, absence de validation humaine) reste le risque n°1 du module. Le CCT doit préciser un </w:t>
      </w:r>
      <w:r>
        <w:rPr>
          <w:b/>
          <w:bCs/>
        </w:rPr>
        <w:t>processus de désescalade</w:t>
      </w:r>
      <w:r>
        <w:t xml:space="preserve"> clair : qui peut débloquer un virement suspect, sous quel délai, avec quelle traçabilité de la décision.</w:t>
      </w:r>
    </w:p>
    <w:p w:rsidR="00C27E7E" w:rsidRDefault="00B03CBB">
      <w:pPr>
        <w:pStyle w:val="Compact"/>
        <w:numPr>
          <w:ilvl w:val="0"/>
          <w:numId w:val="11"/>
        </w:numPr>
      </w:pPr>
      <w:r>
        <w:t xml:space="preserve">Rien n’est dit sur la stratégie face aux </w:t>
      </w:r>
      <w:r>
        <w:rPr>
          <w:b/>
          <w:bCs/>
        </w:rPr>
        <w:t>schémas de fraude inédits</w:t>
      </w:r>
      <w:r>
        <w:t xml:space="preserve"> que les règles ou modèles supervisés ne connaissent pas encore.</w:t>
      </w:r>
    </w:p>
    <w:p w:rsidR="00C27E7E" w:rsidRDefault="00B03CBB">
      <w:pPr>
        <w:pStyle w:val="Compact"/>
        <w:numPr>
          <w:ilvl w:val="0"/>
          <w:numId w:val="11"/>
        </w:numPr>
      </w:pPr>
      <w:r>
        <w:t xml:space="preserve">Pas de mention d’un </w:t>
      </w:r>
      <w:r>
        <w:rPr>
          <w:b/>
          <w:bCs/>
        </w:rPr>
        <w:t>cadre réglementaire anti-blanchiment (LAB/FT)</w:t>
      </w:r>
      <w:r>
        <w:t xml:space="preserve"> alors que la détection de fraude bancaire s’en rapproche fortement.</w:t>
      </w:r>
    </w:p>
    <w:p w:rsidR="00C27E7E" w:rsidRDefault="00B03CBB">
      <w:pPr>
        <w:pStyle w:val="FirstParagraph"/>
      </w:pPr>
      <w:r>
        <w:rPr>
          <w:b/>
          <w:bCs/>
        </w:rPr>
        <w:t>Idées innovantes / valeur produit</w:t>
      </w:r>
    </w:p>
    <w:p w:rsidR="00C27E7E" w:rsidRDefault="00B03CBB">
      <w:pPr>
        <w:pStyle w:val="Compact"/>
        <w:numPr>
          <w:ilvl w:val="0"/>
          <w:numId w:val="12"/>
        </w:numPr>
      </w:pPr>
      <w:r>
        <w:rPr>
          <w:b/>
          <w:bCs/>
        </w:rPr>
        <w:t>Détection par anomalie non supervisée en complément du scoring</w:t>
      </w:r>
      <w:r>
        <w:t>, pour capter des comportements inédits jamais vus dans l’historique (cf. recherche ci-dessous) plutôt que de dépendre uniquement de règles et de modèles entraînés sur fraude connue.</w:t>
      </w:r>
    </w:p>
    <w:p w:rsidR="00C27E7E" w:rsidRDefault="00B03CBB">
      <w:pPr>
        <w:pStyle w:val="Compact"/>
        <w:numPr>
          <w:ilvl w:val="0"/>
          <w:numId w:val="12"/>
        </w:numPr>
      </w:pPr>
      <w:r>
        <w:rPr>
          <w:b/>
          <w:bCs/>
        </w:rPr>
        <w:t>Vue « réseau de risques »</w:t>
      </w:r>
      <w:r>
        <w:t xml:space="preserve"> : visualiser les liens entre comptes, fournisseurs et bénéficiaires suspects (graphe relationnel) plutôt qu’une simple liste de transactions à risque — permet de repérer des schémas coordonnés invisibles transaction par transaction.</w:t>
      </w:r>
    </w:p>
    <w:p w:rsidR="00C27E7E" w:rsidRDefault="00B03CBB">
      <w:pPr>
        <w:pStyle w:val="Compact"/>
        <w:numPr>
          <w:ilvl w:val="0"/>
          <w:numId w:val="12"/>
        </w:numPr>
      </w:pPr>
      <w:r>
        <w:rPr>
          <w:b/>
          <w:bCs/>
        </w:rPr>
        <w:t>Auto-résumé d’alerte par l’IA</w:t>
      </w:r>
      <w:r>
        <w:t xml:space="preserve"> : au lieu de laisser l’analyste lire toutes les données brutes, générer un résumé en langage naturel du contexte de l’alerte (montant, historique du bénéficiaire, écarts par rapport au comportement habituel).</w:t>
      </w:r>
    </w:p>
    <w:p w:rsidR="00C27E7E" w:rsidRDefault="00B03CBB" w:rsidP="00436149">
      <w:pPr>
        <w:pStyle w:val="FirstParagraph"/>
      </w:pPr>
      <w:r>
        <w:rPr>
          <w:b/>
          <w:bCs/>
        </w:rPr>
        <w:t>Recherche / bonnes pratiques et technologies</w:t>
      </w:r>
      <w:r>
        <w:t xml:space="preserve"> </w:t>
      </w:r>
      <w:r w:rsidR="00436149" w:rsidRPr="00436149">
        <w:t>La littérature récente montre une évolution des systèmes à règles fixes vers des architectures combinant apprentissage continu et scoring multicritère, capables de s’adapter aux nouveaux schémas de fraude. Des solutions comme SEON proposent un whitebox machine learning, avec des scores de risque explicables indiquant les règles et données ayant motivé la décision, répondant ainsi au besoin d’explicabilité. D’autres plateformes, comme Sardine et ComplyAdvantage, utilisent une analyse en réseau pour relier des comptes et tracer les flux financiers, allant au-delà de la détection transaction par transaction prévue dans le CCT actuel.</w:t>
      </w:r>
    </w:p>
    <w:p w:rsidR="00C27E7E" w:rsidRDefault="00214FE6">
      <w:r>
        <w:pict>
          <v:rect id="_x0000_i1029" style="width:0;height:1.5pt" o:hralign="center" o:hrstd="t" o:hr="t"/>
        </w:pict>
      </w:r>
    </w:p>
    <w:p w:rsidR="00C27E7E" w:rsidRDefault="00B03CBB">
      <w:pPr>
        <w:pStyle w:val="Titre2"/>
      </w:pPr>
      <w:bookmarkStart w:id="12" w:name="_Toc234249235"/>
      <w:bookmarkStart w:id="13" w:name="module-6-ai-financial-copilot"/>
      <w:bookmarkEnd w:id="11"/>
      <w:r>
        <w:t>Module 6 : AI Financial Copilot</w:t>
      </w:r>
      <w:bookmarkEnd w:id="12"/>
    </w:p>
    <w:p w:rsidR="00C27E7E" w:rsidRDefault="00B03CBB">
      <w:pPr>
        <w:pStyle w:val="FirstParagraph"/>
      </w:pPr>
      <w:r>
        <w:rPr>
          <w:b/>
          <w:bCs/>
        </w:rPr>
        <w:t>Remarques et points à clarifier</w:t>
      </w:r>
    </w:p>
    <w:p w:rsidR="00C27E7E" w:rsidRDefault="00B03CBB">
      <w:pPr>
        <w:pStyle w:val="Compact"/>
        <w:numPr>
          <w:ilvl w:val="0"/>
          <w:numId w:val="13"/>
        </w:numPr>
      </w:pPr>
      <w:r>
        <w:t xml:space="preserve">Le CCT ne précise pas le </w:t>
      </w:r>
      <w:r>
        <w:rPr>
          <w:b/>
          <w:bCs/>
        </w:rPr>
        <w:t>périmètre d’action</w:t>
      </w:r>
      <w:r>
        <w:t xml:space="preserve"> du copilote : consultation seule, ou peut-il déclencher des actions (relancer un fournisseur, initier un virement) ? Ce point a un impact direct sur la sécurité et les droits d’accès.</w:t>
      </w:r>
    </w:p>
    <w:p w:rsidR="00C27E7E" w:rsidRDefault="00B03CBB">
      <w:pPr>
        <w:pStyle w:val="Compact"/>
        <w:numPr>
          <w:ilvl w:val="0"/>
          <w:numId w:val="13"/>
        </w:numPr>
      </w:pPr>
      <w:r>
        <w:t xml:space="preserve">Absence de stratégie sur la </w:t>
      </w:r>
      <w:r>
        <w:rPr>
          <w:b/>
          <w:bCs/>
        </w:rPr>
        <w:t>gestion des questions hors périmètre</w:t>
      </w:r>
      <w:r>
        <w:t xml:space="preserve"> (le copilote doit-il refuser poliment ou tenter de répondre quand même ?).</w:t>
      </w:r>
    </w:p>
    <w:p w:rsidR="00C27E7E" w:rsidRDefault="00B03CBB">
      <w:pPr>
        <w:pStyle w:val="FirstParagraph"/>
      </w:pPr>
      <w:r>
        <w:rPr>
          <w:b/>
          <w:bCs/>
        </w:rPr>
        <w:t>Idées innovantes / valeur produit</w:t>
      </w:r>
    </w:p>
    <w:p w:rsidR="00C27E7E" w:rsidRDefault="00B03CBB">
      <w:pPr>
        <w:pStyle w:val="Compact"/>
        <w:numPr>
          <w:ilvl w:val="0"/>
          <w:numId w:val="14"/>
        </w:numPr>
      </w:pPr>
      <w:r>
        <w:rPr>
          <w:b/>
          <w:bCs/>
        </w:rPr>
        <w:t>Copilote proactif plutôt que réactif</w:t>
      </w:r>
      <w:r>
        <w:t xml:space="preserve"> : au lieu d’attendre une question, il pousse une notification du type « 3 factures dépassent le délai de paiement habituel de ce fournisseur, voulez-vous que je les priorise ? ».</w:t>
      </w:r>
    </w:p>
    <w:p w:rsidR="00C27E7E" w:rsidRDefault="00B03CBB">
      <w:pPr>
        <w:pStyle w:val="Compact"/>
        <w:numPr>
          <w:ilvl w:val="0"/>
          <w:numId w:val="14"/>
        </w:numPr>
      </w:pPr>
      <w:r>
        <w:rPr>
          <w:b/>
          <w:bCs/>
        </w:rPr>
        <w:t>Mémoire des préférences par utilisateur</w:t>
      </w:r>
      <w:r>
        <w:t xml:space="preserve"> : le copilote retient qu’un CFO préfère les réponses chiffrées courtes alors qu’un comptable préfère le détail ligne par ligne.</w:t>
      </w:r>
    </w:p>
    <w:p w:rsidR="00C27E7E" w:rsidRDefault="00B03CBB">
      <w:pPr>
        <w:pStyle w:val="Compact"/>
        <w:numPr>
          <w:ilvl w:val="0"/>
          <w:numId w:val="14"/>
        </w:numPr>
      </w:pPr>
      <w:r>
        <w:t xml:space="preserve">Le rapport de synthèse hebdomadaire déjà proposé dans la note initiale pourrait être décliné en </w:t>
      </w:r>
      <w:r>
        <w:rPr>
          <w:b/>
          <w:bCs/>
        </w:rPr>
        <w:t>version « pilotée par question »</w:t>
      </w:r>
      <w:r>
        <w:t xml:space="preserve"> : l’utilisateur choisit les 3 indicateurs qu’il veut suivre, et le copilote génère un mini-rapport dédié chaque semaine.</w:t>
      </w:r>
    </w:p>
    <w:p w:rsidR="00C27E7E" w:rsidRDefault="00B03CBB">
      <w:pPr>
        <w:pStyle w:val="FirstParagraph"/>
      </w:pPr>
      <w:r>
        <w:rPr>
          <w:b/>
          <w:bCs/>
        </w:rPr>
        <w:t>Recherche / bonnes pratiques</w:t>
      </w:r>
      <w:r>
        <w:t xml:space="preserve"> Les assistants financiers conversationnels grand public (type agents intégrés aux plateformes Ramp, ChatFin) illustrent une tendance de fond : passer d’un système « de constat » à un </w:t>
      </w:r>
      <w:r>
        <w:rPr>
          <w:b/>
          <w:bCs/>
        </w:rPr>
        <w:t>système d’action encadrée</w:t>
      </w:r>
      <w:r>
        <w:t>, où l’IA propose une exécution (paiement, relance, virement) sous validation humaine plutôt que de simplement répondre à des questions.</w:t>
      </w:r>
    </w:p>
    <w:p w:rsidR="00C27E7E" w:rsidRDefault="00214FE6">
      <w:r>
        <w:pict>
          <v:rect id="_x0000_i1030" style="width:0;height:1.5pt" o:hralign="center" o:hrstd="t" o:hr="t"/>
        </w:pict>
      </w:r>
    </w:p>
    <w:p w:rsidR="00C27E7E" w:rsidRDefault="00B03CBB">
      <w:pPr>
        <w:pStyle w:val="Titre2"/>
      </w:pPr>
      <w:bookmarkStart w:id="14" w:name="_Toc234249236"/>
      <w:bookmarkStart w:id="15" w:name="module-7-financial-reporting-analytics"/>
      <w:bookmarkEnd w:id="13"/>
      <w:r>
        <w:t>Module 7 : Financial Reporting &amp; Analytics</w:t>
      </w:r>
      <w:bookmarkEnd w:id="14"/>
    </w:p>
    <w:p w:rsidR="00436149" w:rsidRPr="00436149" w:rsidRDefault="00B03CBB" w:rsidP="00436149">
      <w:pPr>
        <w:pStyle w:val="FirstParagraph"/>
        <w:rPr>
          <w:b/>
          <w:bCs/>
        </w:rPr>
      </w:pPr>
      <w:r>
        <w:rPr>
          <w:b/>
          <w:bCs/>
        </w:rPr>
        <w:t>Remarques et points à clarifier</w:t>
      </w:r>
    </w:p>
    <w:p w:rsidR="00C27E7E" w:rsidRDefault="00B03CBB">
      <w:pPr>
        <w:pStyle w:val="Compact"/>
        <w:numPr>
          <w:ilvl w:val="0"/>
          <w:numId w:val="15"/>
        </w:numPr>
      </w:pPr>
      <w:r>
        <w:t xml:space="preserve">Aucune mention de </w:t>
      </w:r>
      <w:r>
        <w:rPr>
          <w:b/>
          <w:bCs/>
        </w:rPr>
        <w:t>rapports réglementaires spécifiques au contexte tunisien</w:t>
      </w:r>
      <w:r>
        <w:t xml:space="preserve"> (liasse fiscale, déclarations TVA locales) alors que l’entreprise cible potentiellement ce marché.</w:t>
      </w:r>
    </w:p>
    <w:p w:rsidR="00C27E7E" w:rsidRDefault="00B03CBB">
      <w:pPr>
        <w:pStyle w:val="Compact"/>
        <w:numPr>
          <w:ilvl w:val="0"/>
          <w:numId w:val="15"/>
        </w:numPr>
      </w:pPr>
      <w:r>
        <w:t xml:space="preserve">Le CCT ne précise pas si les tableaux de bord sont </w:t>
      </w:r>
      <w:r>
        <w:rPr>
          <w:b/>
          <w:bCs/>
        </w:rPr>
        <w:t>personnalisables par l’utilisateur</w:t>
      </w:r>
      <w:r>
        <w:t xml:space="preserve"> ou figés par profil.</w:t>
      </w:r>
    </w:p>
    <w:p w:rsidR="00C27E7E" w:rsidRDefault="00B03CBB">
      <w:pPr>
        <w:pStyle w:val="FirstParagraph"/>
      </w:pPr>
      <w:r>
        <w:rPr>
          <w:b/>
          <w:bCs/>
        </w:rPr>
        <w:t>Idées innovantes / valeur produit</w:t>
      </w:r>
    </w:p>
    <w:p w:rsidR="00C27E7E" w:rsidRDefault="00B03CBB">
      <w:pPr>
        <w:pStyle w:val="Compact"/>
        <w:numPr>
          <w:ilvl w:val="0"/>
          <w:numId w:val="16"/>
        </w:numPr>
      </w:pPr>
      <w:r>
        <w:rPr>
          <w:b/>
          <w:bCs/>
        </w:rPr>
        <w:t>Rapports « narratifs »</w:t>
      </w:r>
      <w:r>
        <w:t xml:space="preserve"> : au-delà des graphiques, générer un court texte d’analyse (« la trésorerie a baissé de 8 % ce mois, principalement due au retard de paiement du client X ») — le Copilote alimente directement le module Reporting.</w:t>
      </w:r>
    </w:p>
    <w:p w:rsidR="00C27E7E" w:rsidRDefault="00B03CBB">
      <w:pPr>
        <w:pStyle w:val="Compact"/>
        <w:numPr>
          <w:ilvl w:val="0"/>
          <w:numId w:val="16"/>
        </w:numPr>
      </w:pPr>
      <w:r>
        <w:rPr>
          <w:b/>
          <w:bCs/>
        </w:rPr>
        <w:t>Bibliothèque de rapports partageables</w:t>
      </w:r>
      <w:r>
        <w:t xml:space="preserve"> en lecture seule avec des tiers (auditeurs, banques) sans donner accès à toute la plateforme.</w:t>
      </w:r>
    </w:p>
    <w:p w:rsidR="00C27E7E" w:rsidRDefault="00B03CBB">
      <w:pPr>
        <w:pStyle w:val="FirstParagraph"/>
      </w:pPr>
      <w:r>
        <w:rPr>
          <w:b/>
          <w:bCs/>
        </w:rPr>
        <w:t>Recherche</w:t>
      </w:r>
      <w:r>
        <w:t xml:space="preserve"> Les tableaux de bord de Pennylane et Agicap misent sur une lecture immédiate (peu de chiffres à l’écran, priorité à la tendance visuelle) plutôt que sur l’exhaustivité — un principe UX à intégrer dans le Design System (voir Partie 2).</w:t>
      </w:r>
    </w:p>
    <w:p w:rsidR="00C27E7E" w:rsidRDefault="00214FE6">
      <w:r>
        <w:pict>
          <v:rect id="_x0000_i1031" style="width:0;height:1.5pt" o:hralign="center" o:hrstd="t" o:hr="t"/>
        </w:pict>
      </w:r>
    </w:p>
    <w:p w:rsidR="00C27E7E" w:rsidRDefault="00B03CBB">
      <w:pPr>
        <w:pStyle w:val="Titre2"/>
      </w:pPr>
      <w:bookmarkStart w:id="16" w:name="_Toc234249237"/>
      <w:bookmarkStart w:id="17" w:name="X58b8f0699c547b3d516ebda0f963583eacf7af9"/>
      <w:bookmarkEnd w:id="15"/>
      <w:r>
        <w:t>Module 8 : Treasury Forecasting &amp; Financial Planning</w:t>
      </w:r>
      <w:bookmarkEnd w:id="16"/>
    </w:p>
    <w:p w:rsidR="00C27E7E" w:rsidRDefault="00B03CBB">
      <w:pPr>
        <w:pStyle w:val="FirstParagraph"/>
      </w:pPr>
      <w:r>
        <w:rPr>
          <w:b/>
          <w:bCs/>
        </w:rPr>
        <w:t>Remarques et points à clarifier</w:t>
      </w:r>
    </w:p>
    <w:p w:rsidR="00C27E7E" w:rsidRDefault="00B03CBB">
      <w:pPr>
        <w:pStyle w:val="Compact"/>
        <w:numPr>
          <w:ilvl w:val="0"/>
          <w:numId w:val="17"/>
        </w:numPr>
      </w:pPr>
      <w:r>
        <w:t xml:space="preserve">Le CCT ne précise pas la </w:t>
      </w:r>
      <w:r>
        <w:rPr>
          <w:b/>
          <w:bCs/>
        </w:rPr>
        <w:t>source des données de prévision</w:t>
      </w:r>
      <w:r>
        <w:t xml:space="preserve"> (relevés bancaires seuls, ou aussi AR/AP et échéances fournisseurs/clients) — un point pourtant déterminant pour la fiabilité de la prévision.</w:t>
      </w:r>
    </w:p>
    <w:p w:rsidR="00C27E7E" w:rsidRDefault="00B03CBB">
      <w:pPr>
        <w:pStyle w:val="Compact"/>
        <w:numPr>
          <w:ilvl w:val="0"/>
          <w:numId w:val="17"/>
        </w:numPr>
      </w:pPr>
      <w:r>
        <w:t xml:space="preserve">Aucune mention d’un </w:t>
      </w:r>
      <w:r>
        <w:rPr>
          <w:b/>
          <w:bCs/>
        </w:rPr>
        <w:t>horizon de prévision</w:t>
      </w:r>
      <w:r>
        <w:t xml:space="preserve"> (7 jours, 13 semaines glissantes, 12 mois) ni du </w:t>
      </w:r>
      <w:r>
        <w:rPr>
          <w:b/>
          <w:bCs/>
        </w:rPr>
        <w:t>niveau de granularité</w:t>
      </w:r>
      <w:r>
        <w:t xml:space="preserve"> attendu.</w:t>
      </w:r>
    </w:p>
    <w:p w:rsidR="00C27E7E" w:rsidRDefault="00B03CBB">
      <w:pPr>
        <w:pStyle w:val="FirstParagraph"/>
      </w:pPr>
      <w:r>
        <w:rPr>
          <w:b/>
          <w:bCs/>
        </w:rPr>
        <w:t>Idées innovantes / valeur produit</w:t>
      </w:r>
    </w:p>
    <w:p w:rsidR="00C27E7E" w:rsidRDefault="00B03CBB">
      <w:pPr>
        <w:pStyle w:val="Compact"/>
        <w:numPr>
          <w:ilvl w:val="0"/>
          <w:numId w:val="18"/>
        </w:numPr>
      </w:pPr>
      <w:r>
        <w:rPr>
          <w:b/>
          <w:bCs/>
        </w:rPr>
        <w:t>Prévision multi-scénarios interactive</w:t>
      </w:r>
      <w:r>
        <w:t xml:space="preserve"> : permettre à l’utilisateur de tester en direct l’effet d’une hypothèse (« et si je retarde ce paiement de 15 jours ? ») avec un résultat instantané sur la courbe de trésorerie — fonctionnalité déjà esquissée comme « mode simulation » dans la note initiale, à étendre au-delà de la clôture comptable.</w:t>
      </w:r>
    </w:p>
    <w:p w:rsidR="00C27E7E" w:rsidRDefault="00B03CBB">
      <w:pPr>
        <w:pStyle w:val="Compact"/>
        <w:numPr>
          <w:ilvl w:val="0"/>
          <w:numId w:val="18"/>
        </w:numPr>
      </w:pPr>
      <w:r>
        <w:rPr>
          <w:b/>
          <w:bCs/>
        </w:rPr>
        <w:t>Alerte de rupture de trésorerie anticipée</w:t>
      </w:r>
      <w:r>
        <w:t>, avec suggestion d’actions correctives concrètes (accélérer une relance client, décaler un paiement) plutôt qu’une simple alerte chiffrée.</w:t>
      </w:r>
    </w:p>
    <w:p w:rsidR="00C27E7E" w:rsidRDefault="00B03CBB" w:rsidP="007A3CC5">
      <w:pPr>
        <w:pStyle w:val="FirstParagraph"/>
      </w:pPr>
      <w:r>
        <w:rPr>
          <w:b/>
          <w:bCs/>
        </w:rPr>
        <w:t>Recherche / bonnes pratiques et technologies</w:t>
      </w:r>
      <w:r>
        <w:t xml:space="preserve"> </w:t>
      </w:r>
      <w:r w:rsidR="007A3CC5" w:rsidRPr="007A3CC5">
        <w:t>La comparaison des solutions de trésorerie 2026 montre que les erreurs de prévision proviennent surtout de la mauvaise qualité des données clients et fournisseurs, plus que des modèles utilisés. Le marché distingue des plateformes de visibilité bancaire (Trovata), des suites de trésorerie complètes (Kyriba) et des outils combinant prévision et optimisation du besoin en fonds de roulement (Cashforce, Agicap), une approche modulaire proche de celle d’ELITECOM. Enfin, la tendance est aux systèmes d’action, où l’IA ne se limite plus à prévoir la trésorerie, mais propose des actions (virements, couvertures) soumises à validation.</w:t>
      </w:r>
    </w:p>
    <w:p w:rsidR="00C27E7E" w:rsidRDefault="00214FE6">
      <w:r>
        <w:pict>
          <v:rect id="_x0000_i1032" style="width:0;height:1.5pt" o:hralign="center" o:hrstd="t" o:hr="t"/>
        </w:pict>
      </w:r>
    </w:p>
    <w:p w:rsidR="00C27E7E" w:rsidRDefault="00B03CBB">
      <w:pPr>
        <w:pStyle w:val="Titre2"/>
      </w:pPr>
      <w:bookmarkStart w:id="18" w:name="_Toc234249238"/>
      <w:bookmarkStart w:id="19" w:name="module-9-erp-enterprise-integration-hub"/>
      <w:bookmarkEnd w:id="17"/>
      <w:r>
        <w:t>Module 9 : ERP &amp; Enterprise Integration Hub</w:t>
      </w:r>
      <w:bookmarkEnd w:id="18"/>
    </w:p>
    <w:p w:rsidR="00C27E7E" w:rsidRDefault="00B03CBB">
      <w:pPr>
        <w:pStyle w:val="FirstParagraph"/>
      </w:pPr>
      <w:r>
        <w:rPr>
          <w:b/>
          <w:bCs/>
        </w:rPr>
        <w:t>Remarques et points à clarifier</w:t>
      </w:r>
    </w:p>
    <w:p w:rsidR="00C27E7E" w:rsidRDefault="00B03CBB">
      <w:pPr>
        <w:pStyle w:val="Compact"/>
        <w:numPr>
          <w:ilvl w:val="0"/>
          <w:numId w:val="19"/>
        </w:numPr>
      </w:pPr>
      <w:r>
        <w:t xml:space="preserve">Le CCT liste les ERP cibles (SAP, Oracle, Dynamics, Sage, Odoo, Cegid) mais ne précise pas la </w:t>
      </w:r>
      <w:r>
        <w:rPr>
          <w:b/>
          <w:bCs/>
        </w:rPr>
        <w:t>stratégie d’intégration</w:t>
      </w:r>
      <w:r>
        <w:t xml:space="preserve"> : connecteurs propres développés en interne, ou plateforme d’intégration tierce (iPaaS) ? Le choix a un impact majeur sur les délais et les coûts.</w:t>
      </w:r>
    </w:p>
    <w:p w:rsidR="00C27E7E" w:rsidRDefault="00B03CBB">
      <w:pPr>
        <w:pStyle w:val="Compact"/>
        <w:numPr>
          <w:ilvl w:val="0"/>
          <w:numId w:val="19"/>
        </w:numPr>
      </w:pPr>
      <w:r>
        <w:t xml:space="preserve">Aucune mention du </w:t>
      </w:r>
      <w:r>
        <w:rPr>
          <w:b/>
          <w:bCs/>
        </w:rPr>
        <w:t>mode de synchronisation</w:t>
      </w:r>
      <w:r>
        <w:t xml:space="preserve"> (push/pull, batch/temps réel) ni de la gestion des conflits (que se passe-t-il si une donnée est modifiée en même temps côté ERP et côté plateforme ?).</w:t>
      </w:r>
    </w:p>
    <w:p w:rsidR="00C27E7E" w:rsidRDefault="00B03CBB">
      <w:pPr>
        <w:pStyle w:val="FirstParagraph"/>
      </w:pPr>
      <w:r>
        <w:rPr>
          <w:b/>
          <w:bCs/>
        </w:rPr>
        <w:t>Idées innovantes / valeur produit</w:t>
      </w:r>
    </w:p>
    <w:p w:rsidR="00C27E7E" w:rsidRDefault="00B03CBB">
      <w:pPr>
        <w:pStyle w:val="Compact"/>
        <w:numPr>
          <w:ilvl w:val="0"/>
          <w:numId w:val="20"/>
        </w:numPr>
      </w:pPr>
      <w:r>
        <w:rPr>
          <w:b/>
          <w:bCs/>
        </w:rPr>
        <w:t>Mapping visuel des champs</w:t>
      </w:r>
      <w:r>
        <w:t xml:space="preserve"> : au lieu d’une configuration technique en fichier de config, un écran où l’utilisateur (ou l’intégrateur) relie visuellement les champs ERP aux champs de la plateforme.</w:t>
      </w:r>
    </w:p>
    <w:p w:rsidR="00C27E7E" w:rsidRDefault="00B03CBB">
      <w:pPr>
        <w:pStyle w:val="Compact"/>
        <w:numPr>
          <w:ilvl w:val="0"/>
          <w:numId w:val="20"/>
        </w:numPr>
      </w:pPr>
      <w:r>
        <w:rPr>
          <w:b/>
          <w:bCs/>
        </w:rPr>
        <w:t>Simulateur de synchronisation</w:t>
      </w:r>
      <w:r>
        <w:t xml:space="preserve"> : avant d’activer une intégration en production, prévisualiser sur un échantillon de données ce qui serait synchronisé pour éviter les erreurs de mapping en masse.</w:t>
      </w:r>
    </w:p>
    <w:p w:rsidR="00C27E7E" w:rsidRDefault="00B03CBB">
      <w:pPr>
        <w:pStyle w:val="FirstParagraph"/>
      </w:pPr>
      <w:r>
        <w:rPr>
          <w:b/>
          <w:bCs/>
        </w:rPr>
        <w:t>Recherche / bonnes pratiques</w:t>
      </w:r>
      <w:r>
        <w:t xml:space="preserve"> Plutôt que de redévelopper chaque connecteur ERP, une architecture s’appuyant sur un </w:t>
      </w:r>
      <w:r>
        <w:rPr>
          <w:b/>
          <w:bCs/>
        </w:rPr>
        <w:t>hub d’intégration (iPaaS)</w:t>
      </w:r>
      <w:r>
        <w:t xml:space="preserve"> générique (type Boomi, Workato, ou les connecteurs déjà standardisés dans l’écosystème Odoo/SAP) permettrait de réduire drastiquement le temps de mise en œuvre pour chaque nouveau client, tout en gardant un cœur de plateforme indépendant des spécificités de chaque ERP — cohérent avec l’architecture microservices déjà prévue au chapitre 4.</w:t>
      </w:r>
    </w:p>
    <w:p w:rsidR="00C27E7E" w:rsidRDefault="00214FE6">
      <w:r>
        <w:pict>
          <v:rect id="_x0000_i1033" style="width:0;height:1.5pt" o:hralign="center" o:hrstd="t" o:hr="t"/>
        </w:pict>
      </w:r>
    </w:p>
    <w:p w:rsidR="00C27E7E" w:rsidRDefault="00B03CBB">
      <w:pPr>
        <w:pStyle w:val="Titre2"/>
      </w:pPr>
      <w:bookmarkStart w:id="20" w:name="_Toc234249239"/>
      <w:bookmarkStart w:id="21" w:name="module-10-smart-financial-close"/>
      <w:bookmarkEnd w:id="19"/>
      <w:r>
        <w:t>Module 10 : Smart Financial Close</w:t>
      </w:r>
      <w:bookmarkEnd w:id="20"/>
    </w:p>
    <w:p w:rsidR="00C27E7E" w:rsidRDefault="00B03CBB">
      <w:pPr>
        <w:pStyle w:val="FirstParagraph"/>
      </w:pPr>
      <w:r>
        <w:rPr>
          <w:b/>
          <w:bCs/>
        </w:rPr>
        <w:t>Remarques et points à clarifier</w:t>
      </w:r>
    </w:p>
    <w:p w:rsidR="00C27E7E" w:rsidRDefault="00B03CBB">
      <w:pPr>
        <w:pStyle w:val="Compact"/>
        <w:numPr>
          <w:ilvl w:val="0"/>
          <w:numId w:val="21"/>
        </w:numPr>
      </w:pPr>
      <w:r>
        <w:t xml:space="preserve">Le CCT ne définit pas de </w:t>
      </w:r>
      <w:r>
        <w:rPr>
          <w:b/>
          <w:bCs/>
        </w:rPr>
        <w:t>check-list de clôture standardisée</w:t>
      </w:r>
      <w:r>
        <w:t xml:space="preserve"> ni de suivi visuel de l’avancement collectif (qui a validé quoi, à quelle étape en est la clôture globale).</w:t>
      </w:r>
    </w:p>
    <w:p w:rsidR="00C27E7E" w:rsidRDefault="00B03CBB">
      <w:pPr>
        <w:pStyle w:val="Compact"/>
        <w:numPr>
          <w:ilvl w:val="0"/>
          <w:numId w:val="21"/>
        </w:numPr>
      </w:pPr>
      <w:r>
        <w:t>Pas de gestion explicite du cas où plusieurs entités/filiales doivent clôturer en parallèle (multi-entité).</w:t>
      </w:r>
    </w:p>
    <w:p w:rsidR="00C27E7E" w:rsidRDefault="00B03CBB">
      <w:pPr>
        <w:pStyle w:val="FirstParagraph"/>
      </w:pPr>
      <w:r>
        <w:rPr>
          <w:b/>
          <w:bCs/>
        </w:rPr>
        <w:t>Idées innovantes / valeur produit</w:t>
      </w:r>
    </w:p>
    <w:p w:rsidR="00C27E7E" w:rsidRDefault="00B03CBB">
      <w:pPr>
        <w:pStyle w:val="Compact"/>
        <w:numPr>
          <w:ilvl w:val="0"/>
          <w:numId w:val="22"/>
        </w:numPr>
      </w:pPr>
      <w:r>
        <w:rPr>
          <w:b/>
          <w:bCs/>
        </w:rPr>
        <w:t>Tableau de bord de clôture façon « chemin critique »</w:t>
      </w:r>
      <w:r>
        <w:t xml:space="preserve"> : visualiser les tâches bloquantes qui retardent l’ensemble du processus, avec estimation du délai de clôture restant.</w:t>
      </w:r>
    </w:p>
    <w:p w:rsidR="00C27E7E" w:rsidRDefault="00B03CBB">
      <w:pPr>
        <w:pStyle w:val="Compact"/>
        <w:numPr>
          <w:ilvl w:val="0"/>
          <w:numId w:val="22"/>
        </w:numPr>
      </w:pPr>
      <w:r>
        <w:rPr>
          <w:b/>
          <w:bCs/>
        </w:rPr>
        <w:t>Clôture assistée avec liste de contrôle intelligente</w:t>
      </w:r>
      <w:r>
        <w:t xml:space="preserve"> : le système propose automatiquement les tâches restantes selon l’historique des clôtures précédentes de l’entreprise.</w:t>
      </w:r>
    </w:p>
    <w:p w:rsidR="00C27E7E" w:rsidRDefault="00B03CBB">
      <w:pPr>
        <w:pStyle w:val="FirstParagraph"/>
      </w:pPr>
      <w:r>
        <w:rPr>
          <w:b/>
          <w:bCs/>
        </w:rPr>
        <w:t>Recherche</w:t>
      </w:r>
      <w:r>
        <w:t xml:space="preserve"> BlackLine et Trintech Cadency rest</w:t>
      </w:r>
      <w:r w:rsidR="007A3CC5">
        <w:t xml:space="preserve">ent les références </w:t>
      </w:r>
      <w:r>
        <w:t xml:space="preserve">; leur principal défaut relevé par le marché est la lourdeur de mise en œuvre pour les PME — un argument fort pour différencier ELITECOM par une </w:t>
      </w:r>
      <w:r>
        <w:rPr>
          <w:b/>
          <w:bCs/>
        </w:rPr>
        <w:t>clôture “légère” nativement intégrée</w:t>
      </w:r>
      <w:r>
        <w:t xml:space="preserve"> plutôt qu’un module ajouté après coup.</w:t>
      </w:r>
    </w:p>
    <w:p w:rsidR="00C27E7E" w:rsidRDefault="00214FE6">
      <w:r>
        <w:pict>
          <v:rect id="_x0000_i1034" style="width:0;height:1.5pt" o:hralign="center" o:hrstd="t" o:hr="t"/>
        </w:pict>
      </w:r>
    </w:p>
    <w:p w:rsidR="00C27E7E" w:rsidRDefault="00B03CBB">
      <w:pPr>
        <w:pStyle w:val="Titre2"/>
      </w:pPr>
      <w:bookmarkStart w:id="22" w:name="_Toc234249240"/>
      <w:bookmarkStart w:id="23" w:name="module-11-internal-control-compliance"/>
      <w:bookmarkEnd w:id="21"/>
      <w:r>
        <w:t>Module 11 : Internal Control &amp; Compliance</w:t>
      </w:r>
      <w:bookmarkEnd w:id="22"/>
    </w:p>
    <w:p w:rsidR="00C27E7E" w:rsidRDefault="00B03CBB">
      <w:pPr>
        <w:pStyle w:val="FirstParagraph"/>
      </w:pPr>
      <w:r>
        <w:rPr>
          <w:b/>
          <w:bCs/>
        </w:rPr>
        <w:t>Remarques et points à clarifier</w:t>
      </w:r>
    </w:p>
    <w:p w:rsidR="00C27E7E" w:rsidRDefault="00B03CBB">
      <w:pPr>
        <w:pStyle w:val="Compact"/>
        <w:numPr>
          <w:ilvl w:val="0"/>
          <w:numId w:val="23"/>
        </w:numPr>
      </w:pPr>
      <w:r>
        <w:t>Risque déjà noté sur la loi tunisienne n°2004-63 (protection des données personnelles) à ajouter en complément du RGPD/PSD2.</w:t>
      </w:r>
    </w:p>
    <w:p w:rsidR="00C27E7E" w:rsidRDefault="00B03CBB">
      <w:pPr>
        <w:pStyle w:val="Compact"/>
        <w:numPr>
          <w:ilvl w:val="0"/>
          <w:numId w:val="23"/>
        </w:numPr>
      </w:pPr>
      <w:r>
        <w:t xml:space="preserve">Le CCT ne précise pas de </w:t>
      </w:r>
      <w:r>
        <w:rPr>
          <w:b/>
          <w:bCs/>
        </w:rPr>
        <w:t>référentiel de contrôle interne</w:t>
      </w:r>
      <w:r>
        <w:t xml:space="preserve"> (SOX, COSO, ou référentiel propre) ni la fréquence des campagnes d’audit interne.</w:t>
      </w:r>
    </w:p>
    <w:p w:rsidR="00C27E7E" w:rsidRDefault="00B03CBB">
      <w:pPr>
        <w:pStyle w:val="Compact"/>
        <w:numPr>
          <w:ilvl w:val="0"/>
          <w:numId w:val="23"/>
        </w:numPr>
      </w:pPr>
      <w:r>
        <w:t xml:space="preserve">Absence de workflow de </w:t>
      </w:r>
      <w:r>
        <w:rPr>
          <w:b/>
          <w:bCs/>
        </w:rPr>
        <w:t>séparation des tâches (SoD)</w:t>
      </w:r>
      <w:r>
        <w:t xml:space="preserve"> détaillé : qui peut valider quoi selon son rôle, avec quels contrôles bloquants.</w:t>
      </w:r>
    </w:p>
    <w:p w:rsidR="00C27E7E" w:rsidRDefault="00B03CBB">
      <w:pPr>
        <w:pStyle w:val="FirstParagraph"/>
      </w:pPr>
      <w:r>
        <w:rPr>
          <w:b/>
          <w:bCs/>
        </w:rPr>
        <w:t>Idées innovantes / valeur produit</w:t>
      </w:r>
    </w:p>
    <w:p w:rsidR="00C27E7E" w:rsidRDefault="00B03CBB">
      <w:pPr>
        <w:pStyle w:val="Compact"/>
        <w:numPr>
          <w:ilvl w:val="0"/>
          <w:numId w:val="24"/>
        </w:numPr>
      </w:pPr>
      <w:r>
        <w:rPr>
          <w:b/>
          <w:bCs/>
        </w:rPr>
        <w:t>Simulateur de conformité</w:t>
      </w:r>
      <w:r>
        <w:t xml:space="preserve"> : avant tout déploiement dans un nouveau pays/juridiction, un module qui évalue automatiquement les écarts de conformité par rapport au référentiel local.</w:t>
      </w:r>
    </w:p>
    <w:p w:rsidR="00C27E7E" w:rsidRDefault="00B03CBB">
      <w:pPr>
        <w:pStyle w:val="Compact"/>
        <w:numPr>
          <w:ilvl w:val="0"/>
          <w:numId w:val="24"/>
        </w:numPr>
      </w:pPr>
      <w:r>
        <w:rPr>
          <w:b/>
          <w:bCs/>
        </w:rPr>
        <w:t>Audit continu plutôt que ponctuel</w:t>
      </w:r>
      <w:r>
        <w:t xml:space="preserve"> : au lieu de contrôles périodiques, un contrôle interne « toujours actif » qui remonte les écarts en temps réel plutôt qu’en fin de trimestre.</w:t>
      </w:r>
    </w:p>
    <w:p w:rsidR="00C27E7E" w:rsidRDefault="00B03CBB">
      <w:pPr>
        <w:pStyle w:val="FirstParagraph"/>
      </w:pPr>
      <w:r>
        <w:rPr>
          <w:b/>
          <w:bCs/>
        </w:rPr>
        <w:t>Recherche</w:t>
      </w:r>
      <w:r>
        <w:t xml:space="preserve"> Le référentiel COSO (mise à jour février 2026 mentionnée dans la littérature récente sur l’audit assisté par IA) et la norme PCAOB AS 2201 deviennent des standards de référence pour l’auditabilité des décisions automatisées — un point à intégrer dans les exigences de traçabilité déjà notées pour les Modules 1, 4 et 5.</w:t>
      </w:r>
    </w:p>
    <w:p w:rsidR="00C27E7E" w:rsidRDefault="00214FE6">
      <w:r>
        <w:pict>
          <v:rect id="_x0000_i1035" style="width:0;height:1.5pt" o:hralign="center" o:hrstd="t" o:hr="t"/>
        </w:pict>
      </w:r>
    </w:p>
    <w:p w:rsidR="00C27E7E" w:rsidRDefault="00B03CBB">
      <w:pPr>
        <w:pStyle w:val="Titre2"/>
      </w:pPr>
      <w:bookmarkStart w:id="24" w:name="_Toc234249241"/>
      <w:bookmarkStart w:id="25" w:name="module-12-platform-administration"/>
      <w:bookmarkEnd w:id="23"/>
      <w:r>
        <w:t>Module 12 : Platform Administration</w:t>
      </w:r>
      <w:bookmarkEnd w:id="24"/>
    </w:p>
    <w:p w:rsidR="00C27E7E" w:rsidRDefault="00B03CBB">
      <w:pPr>
        <w:pStyle w:val="FirstParagraph"/>
      </w:pPr>
      <w:r>
        <w:rPr>
          <w:b/>
          <w:bCs/>
        </w:rPr>
        <w:t>Remarques et points à clarifier</w:t>
      </w:r>
    </w:p>
    <w:p w:rsidR="00C27E7E" w:rsidRDefault="00B03CBB">
      <w:pPr>
        <w:pStyle w:val="Compact"/>
        <w:numPr>
          <w:ilvl w:val="0"/>
          <w:numId w:val="25"/>
        </w:numPr>
      </w:pPr>
      <w:r>
        <w:t xml:space="preserve">Le CCT ne détaille pas la </w:t>
      </w:r>
      <w:r>
        <w:rPr>
          <w:b/>
          <w:bCs/>
        </w:rPr>
        <w:t>gestion multi-organisation</w:t>
      </w:r>
      <w:r>
        <w:t xml:space="preserve"> (un cabinet comptable gérant plusieurs clients depuis un seul compte, par exemple) — pourtant un cas d’usage naturel pour une plateforme SaaS destinée aux directions financières et cabinets externes.</w:t>
      </w:r>
    </w:p>
    <w:p w:rsidR="00C27E7E" w:rsidRDefault="00B03CBB">
      <w:pPr>
        <w:pStyle w:val="Compact"/>
        <w:numPr>
          <w:ilvl w:val="0"/>
          <w:numId w:val="25"/>
        </w:numPr>
      </w:pPr>
      <w:r>
        <w:t xml:space="preserve">Pas de mention explicite d’un </w:t>
      </w:r>
      <w:r>
        <w:rPr>
          <w:b/>
          <w:bCs/>
        </w:rPr>
        <w:t>environnement de test/bac à sable</w:t>
      </w:r>
      <w:r>
        <w:t xml:space="preserve"> distinct de la production pour les administrateurs techniques.</w:t>
      </w:r>
    </w:p>
    <w:p w:rsidR="00C27E7E" w:rsidRDefault="00B03CBB">
      <w:pPr>
        <w:pStyle w:val="FirstParagraph"/>
      </w:pPr>
      <w:r>
        <w:rPr>
          <w:b/>
          <w:bCs/>
        </w:rPr>
        <w:t>Idées innovantes / valeur produit</w:t>
      </w:r>
    </w:p>
    <w:p w:rsidR="00C27E7E" w:rsidRDefault="00B03CBB">
      <w:pPr>
        <w:pStyle w:val="Compact"/>
        <w:numPr>
          <w:ilvl w:val="0"/>
          <w:numId w:val="26"/>
        </w:numPr>
      </w:pPr>
      <w:r>
        <w:rPr>
          <w:b/>
          <w:bCs/>
        </w:rPr>
        <w:t>Mode « vue client »</w:t>
      </w:r>
      <w:r>
        <w:t xml:space="preserve"> pour les administrateurs de plateforme ou support technique, permettant de visualiser l’interface exactement comme l’utilisateur final la voit, pour un support plus rapide et sans exposer les données sensibles inutilement.</w:t>
      </w:r>
    </w:p>
    <w:p w:rsidR="00C27E7E" w:rsidRDefault="00B03CBB">
      <w:pPr>
        <w:pStyle w:val="Compact"/>
        <w:numPr>
          <w:ilvl w:val="0"/>
          <w:numId w:val="26"/>
        </w:numPr>
      </w:pPr>
      <w:r>
        <w:rPr>
          <w:b/>
          <w:bCs/>
        </w:rPr>
        <w:t>Marketplace de connecteurs/agents IA</w:t>
      </w:r>
      <w:r>
        <w:t xml:space="preserve"> : une administration où l’on active/désactive des modules ou connecteurs à la carte, façon “app store” interne — cohérent avec l’approche microservices déjà prévue.</w:t>
      </w:r>
    </w:p>
    <w:p w:rsidR="00C27E7E" w:rsidRDefault="00214FE6">
      <w:r>
        <w:pict>
          <v:rect id="_x0000_i1036" style="width:0;height:1.5pt" o:hralign="center" o:hrstd="t" o:hr="t"/>
        </w:pict>
      </w:r>
    </w:p>
    <w:p w:rsidR="00C27E7E" w:rsidRDefault="00B03CBB">
      <w:pPr>
        <w:pStyle w:val="Titre1"/>
      </w:pPr>
      <w:bookmarkStart w:id="26" w:name="_Toc234249242"/>
      <w:bookmarkStart w:id="27" w:name="X39ad4bad9322a50f70d4069243947419292a483"/>
      <w:bookmarkEnd w:id="1"/>
      <w:bookmarkEnd w:id="25"/>
      <w:r>
        <w:t>Partie 2 — Vision Produit et Expérience Utilisateur</w:t>
      </w:r>
      <w:bookmarkEnd w:id="26"/>
    </w:p>
    <w:p w:rsidR="00C27E7E" w:rsidRDefault="00B03CBB">
      <w:pPr>
        <w:pStyle w:val="FirstParagraph"/>
      </w:pPr>
      <w:r>
        <w:t xml:space="preserve">Le CCT actuel (chapitre 5) décrit une UX classique organisée par écrans et modules. Or pour qu’AI Finance Automation devienne un véritable </w:t>
      </w:r>
      <w:r>
        <w:rPr>
          <w:b/>
          <w:bCs/>
        </w:rPr>
        <w:t>produit</w:t>
      </w:r>
      <w:r>
        <w:t xml:space="preserve"> (et pas seulement une plateforme technique), quelques principes transverses méritent d’être ajoutés au cahier des charges :</w:t>
      </w:r>
    </w:p>
    <w:p w:rsidR="00C27E7E" w:rsidRDefault="00B03CBB">
      <w:pPr>
        <w:pStyle w:val="Corpsdetexte"/>
      </w:pPr>
      <w:r>
        <w:rPr>
          <w:b/>
          <w:bCs/>
        </w:rPr>
        <w:t>1. Confiance avant automatisation.</w:t>
      </w:r>
      <w:r>
        <w:t xml:space="preserve"> Chaque décision de l’IA (rapprochement, anomalie, fraude) doit toujours pouvoir répondre à trois questions en un clic : </w:t>
      </w:r>
      <w:r>
        <w:rPr>
          <w:i/>
          <w:iCs/>
        </w:rPr>
        <w:t>Pourquoi ce résultat ? Avec quel niveau de confiance ? Qui peut le corriger ?</w:t>
      </w:r>
      <w:r>
        <w:t xml:space="preserve"> C’est la vraie proposition de valeur du produit face à des ERP classiques, plus que la performance algorithmique en elle-même.</w:t>
      </w:r>
    </w:p>
    <w:p w:rsidR="00C27E7E" w:rsidRDefault="00B03CBB">
      <w:pPr>
        <w:pStyle w:val="Corpsdetexte"/>
      </w:pPr>
      <w:r>
        <w:rPr>
          <w:b/>
          <w:bCs/>
        </w:rPr>
        <w:t>2. Un produit qui s’adapte au rôle, pas l’inverse.</w:t>
      </w:r>
      <w:r>
        <w:t xml:space="preserve"> Le CFO, le comptable et l’auditeur ne devraient jamais voir le même écran d’accueil. Plutôt que des permissions techniques (RBAC uniquement), penser des </w:t>
      </w:r>
      <w:r>
        <w:rPr>
          <w:b/>
          <w:bCs/>
        </w:rPr>
        <w:t>parcours d’accueil différenciés</w:t>
      </w:r>
      <w:r>
        <w:t xml:space="preserve"> : le CFO arrive sur une synthèse à 3 chiffres, le comptable arrive sur sa liste de tâches du jour.</w:t>
      </w:r>
    </w:p>
    <w:p w:rsidR="00C27E7E" w:rsidRDefault="00B03CBB">
      <w:pPr>
        <w:pStyle w:val="Corpsdetexte"/>
      </w:pPr>
      <w:r>
        <w:rPr>
          <w:b/>
          <w:bCs/>
        </w:rPr>
        <w:t>3. Réduire le temps entre alerte et action.</w:t>
      </w:r>
      <w:r>
        <w:t xml:space="preserve"> Une anomalie détectée doit toujours proposer une action immédiate (valider, corriger, escalader) directement depuis la notification, sans navigation supplémentaire.</w:t>
      </w:r>
    </w:p>
    <w:p w:rsidR="00C27E7E" w:rsidRDefault="00B03CBB">
      <w:pPr>
        <w:pStyle w:val="Corpsdetexte"/>
      </w:pPr>
      <w:r>
        <w:rPr>
          <w:b/>
          <w:bCs/>
        </w:rPr>
        <w:t>4. Onboarding progressif.</w:t>
      </w:r>
      <w:r>
        <w:t xml:space="preserve"> Vu la richesse du périmètre (12 modules), un nouvel utilisateur ne doit jamais voir toute la plateforme d’un coup : proposer une activation progressive des modules avec un guide contextuel, plutôt qu’un menu de 12 entrées dès la première connexion.</w:t>
      </w:r>
    </w:p>
    <w:p w:rsidR="00C27E7E" w:rsidRDefault="00B03CBB">
      <w:pPr>
        <w:pStyle w:val="Corpsdetexte"/>
      </w:pPr>
      <w:r>
        <w:rPr>
          <w:b/>
          <w:bCs/>
        </w:rPr>
        <w:t>5. Accessibilité et confort d’usage au quotidien.</w:t>
      </w:r>
      <w:r>
        <w:t xml:space="preserve"> Le mode sombre déjà proposé est un bon début ; on peut y ajouter une </w:t>
      </w:r>
      <w:r>
        <w:rPr>
          <w:b/>
          <w:bCs/>
        </w:rPr>
        <w:t>densité d’affichage réglable</w:t>
      </w:r>
      <w:r>
        <w:t xml:space="preserve"> (vue compacte pour power users, vue aérée pour utilisateurs occasionnels) et des raccourcis clavier pour les tâches répétitives (validation de rapprochement notamment).</w:t>
      </w:r>
    </w:p>
    <w:p w:rsidR="00C27E7E" w:rsidRDefault="00214FE6">
      <w:r>
        <w:pict>
          <v:rect id="_x0000_i1037" style="width:0;height:1.5pt" o:hralign="center" o:hrstd="t" o:hr="t"/>
        </w:pict>
      </w:r>
    </w:p>
    <w:p w:rsidR="00C27E7E" w:rsidRDefault="00B03CBB">
      <w:pPr>
        <w:pStyle w:val="Titre1"/>
      </w:pPr>
      <w:bookmarkStart w:id="28" w:name="_Toc234249243"/>
      <w:bookmarkStart w:id="29" w:name="Xcf5ddbb9b6b797455c9998818b9af2a582d2f09"/>
      <w:bookmarkEnd w:id="27"/>
      <w:r>
        <w:t>Partie 3 — Synthèse technologies et solutions complémentaires</w:t>
      </w:r>
      <w:bookmarkEnd w:id="28"/>
    </w:p>
    <w:p w:rsidR="00C27E7E" w:rsidRDefault="00B03CBB">
      <w:pPr>
        <w:pStyle w:val="FirstParagraph"/>
      </w:pPr>
      <w:r>
        <w:t>En complément du tableau technologique déjà présent dans la note initiale (OCR, RAG, Backend, Frontend), voici des pistes technologiques additionnelles identifiées module par module :</w:t>
      </w:r>
    </w:p>
    <w:tbl>
      <w:tblPr>
        <w:tblStyle w:val="Table"/>
        <w:tblW w:w="5000" w:type="pct"/>
        <w:tblLook w:val="0020" w:firstRow="1" w:lastRow="0" w:firstColumn="0" w:lastColumn="0" w:noHBand="0" w:noVBand="0"/>
      </w:tblPr>
      <w:tblGrid>
        <w:gridCol w:w="2908"/>
        <w:gridCol w:w="3076"/>
        <w:gridCol w:w="3638"/>
      </w:tblGrid>
      <w:tr w:rsidR="00C27E7E" w:rsidTr="00C27E7E">
        <w:trPr>
          <w:cnfStyle w:val="100000000000" w:firstRow="1" w:lastRow="0" w:firstColumn="0" w:lastColumn="0" w:oddVBand="0" w:evenVBand="0" w:oddHBand="0" w:evenHBand="0" w:firstRowFirstColumn="0" w:firstRowLastColumn="0" w:lastRowFirstColumn="0" w:lastRowLastColumn="0"/>
          <w:tblHeader/>
        </w:trPr>
        <w:tc>
          <w:tcPr>
            <w:tcW w:w="0" w:type="auto"/>
          </w:tcPr>
          <w:p w:rsidR="00C27E7E" w:rsidRDefault="00B03CBB">
            <w:pPr>
              <w:pStyle w:val="Compact"/>
            </w:pPr>
            <w:r>
              <w:t>Domaine</w:t>
            </w:r>
          </w:p>
        </w:tc>
        <w:tc>
          <w:tcPr>
            <w:tcW w:w="0" w:type="auto"/>
          </w:tcPr>
          <w:p w:rsidR="00C27E7E" w:rsidRDefault="00B03CBB">
            <w:pPr>
              <w:pStyle w:val="Compact"/>
            </w:pPr>
            <w:r>
              <w:t>Solutions de référence à étudier</w:t>
            </w:r>
          </w:p>
        </w:tc>
        <w:tc>
          <w:tcPr>
            <w:tcW w:w="0" w:type="auto"/>
          </w:tcPr>
          <w:p w:rsidR="00C27E7E" w:rsidRDefault="00B03CBB">
            <w:pPr>
              <w:pStyle w:val="Compact"/>
            </w:pPr>
            <w:r>
              <w:t>Apport pour ELITECOM</w:t>
            </w:r>
          </w:p>
        </w:tc>
      </w:tr>
      <w:tr w:rsidR="00C27E7E">
        <w:tc>
          <w:tcPr>
            <w:tcW w:w="0" w:type="auto"/>
          </w:tcPr>
          <w:p w:rsidR="00C27E7E" w:rsidRDefault="00B03CBB">
            <w:pPr>
              <w:pStyle w:val="Compact"/>
            </w:pPr>
            <w:r>
              <w:t>Agrégation bancaire</w:t>
            </w:r>
          </w:p>
        </w:tc>
        <w:tc>
          <w:tcPr>
            <w:tcW w:w="0" w:type="auto"/>
          </w:tcPr>
          <w:p w:rsidR="00C27E7E" w:rsidRPr="0095068F" w:rsidRDefault="00B03CBB">
            <w:pPr>
              <w:pStyle w:val="Compact"/>
              <w:rPr>
                <w:lang w:val="en-US"/>
              </w:rPr>
            </w:pPr>
            <w:r w:rsidRPr="0095068F">
              <w:rPr>
                <w:lang w:val="en-US"/>
              </w:rPr>
              <w:t>Powens (ex-Budget Insight), Bridge, Tink, Plaid</w:t>
            </w:r>
          </w:p>
        </w:tc>
        <w:tc>
          <w:tcPr>
            <w:tcW w:w="0" w:type="auto"/>
          </w:tcPr>
          <w:p w:rsidR="00C27E7E" w:rsidRDefault="00B03CBB">
            <w:pPr>
              <w:pStyle w:val="Compact"/>
            </w:pPr>
            <w:r>
              <w:t>Éviter de redévelopper les connecteurs Open Banking européens</w:t>
            </w:r>
          </w:p>
        </w:tc>
      </w:tr>
      <w:tr w:rsidR="00C27E7E">
        <w:tc>
          <w:tcPr>
            <w:tcW w:w="0" w:type="auto"/>
          </w:tcPr>
          <w:p w:rsidR="00C27E7E" w:rsidRDefault="00B03CBB">
            <w:pPr>
              <w:pStyle w:val="Compact"/>
            </w:pPr>
            <w:r>
              <w:t>Détection d’anomalies comptables</w:t>
            </w:r>
          </w:p>
        </w:tc>
        <w:tc>
          <w:tcPr>
            <w:tcW w:w="0" w:type="auto"/>
          </w:tcPr>
          <w:p w:rsidR="00C27E7E" w:rsidRDefault="00B03CBB">
            <w:pPr>
              <w:pStyle w:val="Compact"/>
            </w:pPr>
            <w:r>
              <w:t>MindBridge AI</w:t>
            </w:r>
          </w:p>
        </w:tc>
        <w:tc>
          <w:tcPr>
            <w:tcW w:w="0" w:type="auto"/>
          </w:tcPr>
          <w:p w:rsidR="00C27E7E" w:rsidRDefault="00B03CBB">
            <w:pPr>
              <w:pStyle w:val="Compact"/>
            </w:pPr>
            <w:r>
              <w:t>Référence directe pour le Module 4</w:t>
            </w:r>
          </w:p>
        </w:tc>
      </w:tr>
      <w:tr w:rsidR="00C27E7E">
        <w:tc>
          <w:tcPr>
            <w:tcW w:w="0" w:type="auto"/>
          </w:tcPr>
          <w:p w:rsidR="00C27E7E" w:rsidRDefault="00B03CBB">
            <w:pPr>
              <w:pStyle w:val="Compact"/>
            </w:pPr>
            <w:r>
              <w:t>Détection de fraude / scoring comportemental</w:t>
            </w:r>
          </w:p>
        </w:tc>
        <w:tc>
          <w:tcPr>
            <w:tcW w:w="0" w:type="auto"/>
          </w:tcPr>
          <w:p w:rsidR="00C27E7E" w:rsidRDefault="00B03CBB">
            <w:pPr>
              <w:pStyle w:val="Compact"/>
            </w:pPr>
            <w:r>
              <w:t>Sardine, SEON, ComplyAdvantage, Feedzai</w:t>
            </w:r>
          </w:p>
        </w:tc>
        <w:tc>
          <w:tcPr>
            <w:tcW w:w="0" w:type="auto"/>
          </w:tcPr>
          <w:p w:rsidR="00C27E7E" w:rsidRDefault="00B03CBB">
            <w:pPr>
              <w:pStyle w:val="Compact"/>
            </w:pPr>
            <w:r>
              <w:t>Approche “whitebox” et scoring multi-signaux pour le Module 5</w:t>
            </w:r>
          </w:p>
        </w:tc>
      </w:tr>
      <w:tr w:rsidR="00C27E7E">
        <w:tc>
          <w:tcPr>
            <w:tcW w:w="0" w:type="auto"/>
          </w:tcPr>
          <w:p w:rsidR="00C27E7E" w:rsidRDefault="00B03CBB">
            <w:pPr>
              <w:pStyle w:val="Compact"/>
            </w:pPr>
            <w:r>
              <w:t>Prévision de trésorerie</w:t>
            </w:r>
          </w:p>
        </w:tc>
        <w:tc>
          <w:tcPr>
            <w:tcW w:w="0" w:type="auto"/>
          </w:tcPr>
          <w:p w:rsidR="00C27E7E" w:rsidRDefault="00B03CBB">
            <w:pPr>
              <w:pStyle w:val="Compact"/>
            </w:pPr>
            <w:r>
              <w:t>Trovata, Agicap, Cashforce, HighRadius</w:t>
            </w:r>
          </w:p>
        </w:tc>
        <w:tc>
          <w:tcPr>
            <w:tcW w:w="0" w:type="auto"/>
          </w:tcPr>
          <w:p w:rsidR="00C27E7E" w:rsidRDefault="00B03CBB">
            <w:pPr>
              <w:pStyle w:val="Compact"/>
            </w:pPr>
            <w:r>
              <w:t>Benchmark pour le Module 8, notamment sur la qualité des données amont</w:t>
            </w:r>
          </w:p>
        </w:tc>
      </w:tr>
      <w:tr w:rsidR="00C27E7E">
        <w:tc>
          <w:tcPr>
            <w:tcW w:w="0" w:type="auto"/>
          </w:tcPr>
          <w:p w:rsidR="00C27E7E" w:rsidRDefault="00B03CBB">
            <w:pPr>
              <w:pStyle w:val="Compact"/>
            </w:pPr>
            <w:r>
              <w:t>Intégration ERP</w:t>
            </w:r>
          </w:p>
        </w:tc>
        <w:tc>
          <w:tcPr>
            <w:tcW w:w="0" w:type="auto"/>
          </w:tcPr>
          <w:p w:rsidR="00C27E7E" w:rsidRDefault="00B03CBB">
            <w:pPr>
              <w:pStyle w:val="Compact"/>
            </w:pPr>
            <w:r>
              <w:t>Boomi, Workato (iPaaS)</w:t>
            </w:r>
          </w:p>
        </w:tc>
        <w:tc>
          <w:tcPr>
            <w:tcW w:w="0" w:type="auto"/>
          </w:tcPr>
          <w:p w:rsidR="00C27E7E" w:rsidRDefault="00B03CBB">
            <w:pPr>
              <w:pStyle w:val="Compact"/>
            </w:pPr>
            <w:r>
              <w:t>Alternative à des connecteurs 100% internes pour le Module 9</w:t>
            </w:r>
          </w:p>
        </w:tc>
      </w:tr>
      <w:tr w:rsidR="00C27E7E">
        <w:tc>
          <w:tcPr>
            <w:tcW w:w="0" w:type="auto"/>
          </w:tcPr>
          <w:p w:rsidR="00C27E7E" w:rsidRDefault="00B03CBB">
            <w:pPr>
              <w:pStyle w:val="Compact"/>
            </w:pPr>
            <w:r>
              <w:t>Facturation électronique</w:t>
            </w:r>
          </w:p>
        </w:tc>
        <w:tc>
          <w:tcPr>
            <w:tcW w:w="0" w:type="auto"/>
          </w:tcPr>
          <w:p w:rsidR="00C27E7E" w:rsidRDefault="00B03CBB">
            <w:pPr>
              <w:pStyle w:val="Compact"/>
            </w:pPr>
            <w:r>
              <w:t>Format TEIF (Tunisie), Factur-X, UBL</w:t>
            </w:r>
          </w:p>
        </w:tc>
        <w:tc>
          <w:tcPr>
            <w:tcW w:w="0" w:type="auto"/>
          </w:tcPr>
          <w:p w:rsidR="00C27E7E" w:rsidRDefault="00B03CBB">
            <w:pPr>
              <w:pStyle w:val="Compact"/>
            </w:pPr>
            <w:r>
              <w:t>Obligatoire à anticiper pour le Module 3 dans le contexte tunisien</w:t>
            </w:r>
          </w:p>
        </w:tc>
      </w:tr>
      <w:tr w:rsidR="00C27E7E">
        <w:tc>
          <w:tcPr>
            <w:tcW w:w="0" w:type="auto"/>
          </w:tcPr>
          <w:p w:rsidR="00C27E7E" w:rsidRDefault="00B03CBB">
            <w:pPr>
              <w:pStyle w:val="Compact"/>
            </w:pPr>
            <w:r>
              <w:t>Graphe relationnel (réseaux de fraude)</w:t>
            </w:r>
          </w:p>
        </w:tc>
        <w:tc>
          <w:tcPr>
            <w:tcW w:w="0" w:type="auto"/>
          </w:tcPr>
          <w:p w:rsidR="00C27E7E" w:rsidRDefault="00B03CBB">
            <w:pPr>
              <w:pStyle w:val="Compact"/>
            </w:pPr>
            <w:r>
              <w:t>Neo4j ou équivalent en base de graphe</w:t>
            </w:r>
          </w:p>
        </w:tc>
        <w:tc>
          <w:tcPr>
            <w:tcW w:w="0" w:type="auto"/>
          </w:tcPr>
          <w:p w:rsidR="00C27E7E" w:rsidRDefault="00B03CBB">
            <w:pPr>
              <w:pStyle w:val="Compact"/>
            </w:pPr>
            <w:r>
              <w:t>Pour la vue “réseau de risques” proposée au Module 5</w:t>
            </w:r>
          </w:p>
        </w:tc>
      </w:tr>
    </w:tbl>
    <w:p w:rsidR="00C27E7E" w:rsidRDefault="00214FE6">
      <w:r>
        <w:pict>
          <v:rect id="_x0000_i1038" style="width:0;height:1.5pt" o:hralign="center" o:hrstd="t" o:hr="t"/>
        </w:pict>
      </w:r>
    </w:p>
    <w:p w:rsidR="00C27E7E" w:rsidRDefault="0086511E" w:rsidP="0086511E">
      <w:pPr>
        <w:pStyle w:val="FirstParagraph"/>
        <w:rPr>
          <w:rFonts w:asciiTheme="majorHAnsi" w:hAnsiTheme="majorHAnsi" w:cstheme="majorHAnsi"/>
          <w:b/>
          <w:bCs/>
          <w:color w:val="4F81BD" w:themeColor="accent1"/>
          <w:sz w:val="32"/>
          <w:szCs w:val="32"/>
        </w:rPr>
      </w:pPr>
      <w:bookmarkStart w:id="30" w:name="conclusion"/>
      <w:bookmarkEnd w:id="29"/>
      <w:r w:rsidRPr="0086511E">
        <w:rPr>
          <w:rFonts w:asciiTheme="majorHAnsi" w:hAnsiTheme="majorHAnsi" w:cstheme="majorHAnsi"/>
          <w:b/>
          <w:bCs/>
          <w:color w:val="4F81BD" w:themeColor="accent1"/>
          <w:sz w:val="32"/>
          <w:szCs w:val="32"/>
        </w:rPr>
        <w:t>Recommandations Techniques Orientées Produit</w:t>
      </w:r>
    </w:p>
    <w:p w:rsidR="0086511E" w:rsidRPr="0086511E" w:rsidRDefault="0086511E" w:rsidP="0086511E">
      <w:pPr>
        <w:pStyle w:val="Corpsdetexte"/>
        <w:numPr>
          <w:ilvl w:val="0"/>
          <w:numId w:val="27"/>
        </w:numPr>
        <w:tabs>
          <w:tab w:val="left" w:pos="6330"/>
        </w:tabs>
        <w:rPr>
          <w:lang w:val="fr-FR"/>
        </w:rPr>
      </w:pPr>
      <w:bookmarkStart w:id="31" w:name="_GoBack"/>
      <w:bookmarkEnd w:id="31"/>
      <w:r w:rsidRPr="0086511E">
        <w:rPr>
          <w:b/>
          <w:bCs/>
          <w:lang w:val="fr-FR"/>
        </w:rPr>
        <w:t>Frontend :</w:t>
      </w:r>
      <w:r w:rsidRPr="0086511E">
        <w:rPr>
          <w:lang w:val="fr-FR"/>
        </w:rPr>
        <w:t xml:space="preserve"> L'utilisation de </w:t>
      </w:r>
      <w:r w:rsidRPr="0086511E">
        <w:rPr>
          <w:b/>
          <w:bCs/>
          <w:lang w:val="fr-FR"/>
        </w:rPr>
        <w:t>React.js + Tailwind CSS + Shadcn/ui</w:t>
      </w:r>
      <w:r w:rsidRPr="0086511E">
        <w:rPr>
          <w:lang w:val="fr-FR"/>
        </w:rPr>
        <w:t xml:space="preserve"> est parfaite pour concevoir un </w:t>
      </w:r>
      <w:r w:rsidRPr="0086511E">
        <w:rPr>
          <w:i/>
          <w:iCs/>
          <w:lang w:val="fr-FR"/>
        </w:rPr>
        <w:t>Design System</w:t>
      </w:r>
      <w:r w:rsidRPr="0086511E">
        <w:rPr>
          <w:lang w:val="fr-FR"/>
        </w:rPr>
        <w:t xml:space="preserve"> propre et unifié rapidement. Pour les graphiques dynamiques, </w:t>
      </w:r>
      <w:r w:rsidRPr="0086511E">
        <w:rPr>
          <w:b/>
          <w:bCs/>
          <w:lang w:val="fr-FR"/>
        </w:rPr>
        <w:t>Recharts</w:t>
      </w:r>
      <w:r w:rsidRPr="0086511E">
        <w:rPr>
          <w:lang w:val="fr-FR"/>
        </w:rPr>
        <w:t xml:space="preserve"> est idéal, mais assure-toi de prévoir un mode de virtualisation des données (ex: </w:t>
      </w:r>
      <w:r w:rsidRPr="0086511E">
        <w:rPr>
          <w:i/>
          <w:iCs/>
          <w:lang w:val="fr-FR"/>
        </w:rPr>
        <w:t>React Virtualized</w:t>
      </w:r>
      <w:r w:rsidRPr="0086511E">
        <w:rPr>
          <w:lang w:val="fr-FR"/>
        </w:rPr>
        <w:t>) si tu dois afficher des tableaux de rapprochement contenant plus de 10 000 lignes, pour éviter que le navigateur ne plante.</w:t>
      </w:r>
    </w:p>
    <w:p w:rsidR="0086511E" w:rsidRPr="0086511E" w:rsidRDefault="0086511E" w:rsidP="0086511E">
      <w:pPr>
        <w:pStyle w:val="Corpsdetexte"/>
        <w:numPr>
          <w:ilvl w:val="0"/>
          <w:numId w:val="27"/>
        </w:numPr>
        <w:tabs>
          <w:tab w:val="left" w:pos="6330"/>
        </w:tabs>
        <w:rPr>
          <w:lang w:val="fr-FR"/>
        </w:rPr>
      </w:pPr>
      <w:r w:rsidRPr="0086511E">
        <w:rPr>
          <w:b/>
          <w:bCs/>
          <w:lang w:val="fr-FR"/>
        </w:rPr>
        <w:t>Architecture Modèles de Vision :</w:t>
      </w:r>
      <w:r w:rsidRPr="0086511E">
        <w:rPr>
          <w:lang w:val="fr-FR"/>
        </w:rPr>
        <w:t xml:space="preserve"> Pour l'OCR, privilégie des architectures comme </w:t>
      </w:r>
      <w:r w:rsidRPr="0086511E">
        <w:rPr>
          <w:b/>
          <w:bCs/>
          <w:lang w:val="fr-FR"/>
        </w:rPr>
        <w:t>Donut</w:t>
      </w:r>
      <w:r w:rsidRPr="0086511E">
        <w:rPr>
          <w:lang w:val="fr-FR"/>
        </w:rPr>
        <w:t xml:space="preserve"> ou </w:t>
      </w:r>
      <w:r w:rsidRPr="0086511E">
        <w:rPr>
          <w:b/>
          <w:bCs/>
          <w:lang w:val="fr-FR"/>
        </w:rPr>
        <w:t>GPT-4o-mini</w:t>
      </w:r>
      <w:r w:rsidRPr="0086511E">
        <w:rPr>
          <w:lang w:val="fr-FR"/>
        </w:rPr>
        <w:t xml:space="preserve"> (via API structurée JSON) plutôt que Tesseract classique. Les factures tunisiennes ou internationales ont des structures très variables : les modèles de vision comprennent le contexte spatial (ex: la date est souvent en haut à droite) mieux qu'un simple lecteur de texte brut.</w:t>
      </w:r>
    </w:p>
    <w:bookmarkEnd w:id="30"/>
    <w:p w:rsidR="0086511E" w:rsidRPr="0086511E" w:rsidRDefault="0086511E" w:rsidP="0086511E">
      <w:pPr>
        <w:pStyle w:val="Corpsdetexte"/>
        <w:tabs>
          <w:tab w:val="left" w:pos="6330"/>
        </w:tabs>
        <w:rPr>
          <w:lang w:val="fr-FR"/>
        </w:rPr>
      </w:pPr>
    </w:p>
    <w:sectPr w:rsidR="0086511E" w:rsidRPr="0086511E">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4FE6" w:rsidRDefault="00214FE6">
      <w:pPr>
        <w:spacing w:after="0"/>
      </w:pPr>
      <w:r>
        <w:separator/>
      </w:r>
    </w:p>
  </w:endnote>
  <w:endnote w:type="continuationSeparator" w:id="0">
    <w:p w:rsidR="00214FE6" w:rsidRDefault="00214F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4FE6" w:rsidRDefault="00214FE6">
      <w:r>
        <w:separator/>
      </w:r>
    </w:p>
  </w:footnote>
  <w:footnote w:type="continuationSeparator" w:id="0">
    <w:p w:rsidR="00214FE6" w:rsidRDefault="00214FE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962EEB0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2DC9F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02A2F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6B7D67A4"/>
    <w:multiLevelType w:val="multilevel"/>
    <w:tmpl w:val="B0C05794"/>
    <w:lvl w:ilvl="0">
      <w:start w:val="1"/>
      <w:numFmt w:val="bullet"/>
      <w:lvlText w:val="●"/>
      <w:lvlJc w:val="left"/>
      <w:pPr>
        <w:ind w:left="59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
  <w:rsids>
    <w:rsidRoot w:val="00C27E7E"/>
    <w:rsid w:val="00214FE6"/>
    <w:rsid w:val="00436149"/>
    <w:rsid w:val="004D33D1"/>
    <w:rsid w:val="006C518A"/>
    <w:rsid w:val="007A3CC5"/>
    <w:rsid w:val="0086511E"/>
    <w:rsid w:val="0095068F"/>
    <w:rsid w:val="00A23026"/>
    <w:rsid w:val="00B03CBB"/>
    <w:rsid w:val="00C27E7E"/>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3FB6E"/>
  <w15:docId w15:val="{F8836659-6E07-4F80-A652-99A2C973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unhideWhenUsed/>
    <w:rsid w:val="0095068F"/>
    <w:pPr>
      <w:spacing w:after="100"/>
    </w:pPr>
  </w:style>
  <w:style w:type="paragraph" w:styleId="TM2">
    <w:name w:val="toc 2"/>
    <w:basedOn w:val="Normal"/>
    <w:next w:val="Normal"/>
    <w:autoRedefine/>
    <w:uiPriority w:val="39"/>
    <w:unhideWhenUsed/>
    <w:rsid w:val="0095068F"/>
    <w:pPr>
      <w:spacing w:after="100"/>
      <w:ind w:left="240"/>
    </w:pPr>
  </w:style>
  <w:style w:type="paragraph" w:styleId="Paragraphedeliste">
    <w:name w:val="List Paragraph"/>
    <w:basedOn w:val="Normal"/>
    <w:rsid w:val="004D33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01335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10</Pages>
  <Words>3265</Words>
  <Characters>17961</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Analyse Approfondie du Cahier des Charges V1.3</vt:lpstr>
    </vt:vector>
  </TitlesOfParts>
  <Company/>
  <LinksUpToDate>false</LinksUpToDate>
  <CharactersWithSpaces>21184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Approfondie du Cahier des Charges V1.3</dc:title>
  <dc:creator/>
  <cp:keywords/>
  <cp:lastModifiedBy>user</cp:lastModifiedBy>
  <cp:revision>3</cp:revision>
  <dcterms:created xsi:type="dcterms:W3CDTF">2026-07-06T16:36:00Z</dcterms:created>
  <dcterms:modified xsi:type="dcterms:W3CDTF">2026-07-06T16:55:00Z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AI Finance Automation — ELITECOM — Stage d’été 2026</vt:lpwstr>
  </property>
  <property fmtid="{D5CDD505-2E9C-101B-9397-08002B2CF9AE}" pid="3" name="toc-title">
    <vt:lpwstr>Table des matières</vt:lpwstr>
  </property>
</Properties>
</file>