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C'est un excellent sujet de stage de fin d'études ou d'été ! Ta base de remarques est déjà très solide et touche des points critiques (comme la législation tunisienne, l'approche </w:t>
      </w:r>
      <w:r w:rsidDel="00000000" w:rsidR="00000000" w:rsidRPr="00000000">
        <w:rPr>
          <w:rFonts w:ascii="Google Sans" w:cs="Google Sans" w:eastAsia="Google Sans" w:hAnsi="Google Sans"/>
          <w:i w:val="1"/>
          <w:iCs w:val="1"/>
          <w:color w:val="1f1f1f"/>
          <w:rtl w:val="0"/>
        </w:rPr>
        <w:t xml:space="preserve">Human-in-the-loop</w:t>
      </w:r>
      <w:r w:rsidDel="00000000" w:rsidR="00000000" w:rsidRPr="00000000">
        <w:rPr>
          <w:rFonts w:ascii="Google Sans" w:cs="Google Sans" w:eastAsia="Google Sans" w:hAnsi="Google Sans"/>
          <w:color w:val="1f1f1f"/>
          <w:rtl w:val="0"/>
        </w:rPr>
        <w:t xml:space="preserve"> et la gestion de la volumétrie).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transformer ce cahier des charges technique en une vision de </w:t>
      </w:r>
      <w:r w:rsidDel="00000000" w:rsidR="00000000" w:rsidRPr="00000000">
        <w:rPr>
          <w:rFonts w:ascii="Google Sans" w:cs="Google Sans" w:eastAsia="Google Sans" w:hAnsi="Google Sans"/>
          <w:b w:val="1"/>
          <w:bCs w:val="1"/>
          <w:color w:val="1f1f1f"/>
          <w:rtl w:val="0"/>
        </w:rPr>
        <w:t xml:space="preserve">produit SaaS d'envergure "Enterprise-Ready"</w:t>
      </w:r>
      <w:r w:rsidDel="00000000" w:rsidR="00000000" w:rsidRPr="00000000">
        <w:rPr>
          <w:rFonts w:ascii="Google Sans" w:cs="Google Sans" w:eastAsia="Google Sans" w:hAnsi="Google Sans"/>
          <w:color w:val="1f1f1f"/>
          <w:rtl w:val="0"/>
        </w:rPr>
        <w:t xml:space="preserve"> avec une expérience utilisateur (UX) irréprochable, nous allons enrichir tes notes. L'objectif est de rendre le produit tellement fluide que l'utilisateur (le comptable ou le CFO) passe d'un sentiment de contrôle stressant à un sentiment de </w:t>
      </w:r>
      <w:r w:rsidDel="00000000" w:rsidR="00000000" w:rsidRPr="00000000">
        <w:rPr>
          <w:rFonts w:ascii="Google Sans" w:cs="Google Sans" w:eastAsia="Google Sans" w:hAnsi="Google Sans"/>
          <w:b w:val="1"/>
          <w:bCs w:val="1"/>
          <w:color w:val="1f1f1f"/>
          <w:rtl w:val="0"/>
        </w:rPr>
        <w:t xml:space="preserve">supervision simplifiée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Voici une analyse enrichie et modulaire, combinant tes remarques initiales avec de nouvelles perspectives orientées </w:t>
      </w:r>
      <w:r w:rsidDel="00000000" w:rsidR="00000000" w:rsidRPr="00000000">
        <w:rPr>
          <w:rFonts w:ascii="Google Sans" w:cs="Google Sans" w:eastAsia="Google Sans" w:hAnsi="Google Sans"/>
          <w:i w:val="1"/>
          <w:iCs w:val="1"/>
          <w:color w:val="1f1f1f"/>
          <w:rtl w:val="0"/>
        </w:rPr>
        <w:t xml:space="preserve">Produit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UX</w:t>
      </w:r>
      <w:r w:rsidDel="00000000" w:rsidR="00000000" w:rsidRPr="00000000">
        <w:rPr>
          <w:rFonts w:ascii="Google Sans" w:cs="Google Sans" w:eastAsia="Google Sans" w:hAnsi="Google Sans"/>
          <w:color w:val="1f1f1f"/>
          <w:rtl w:val="0"/>
        </w:rPr>
        <w:t xml:space="preserve"> et </w:t>
      </w:r>
      <w:r w:rsidDel="00000000" w:rsidR="00000000" w:rsidRPr="00000000">
        <w:rPr>
          <w:rFonts w:ascii="Google Sans" w:cs="Google Sans" w:eastAsia="Google Sans" w:hAnsi="Google Sans"/>
          <w:i w:val="1"/>
          <w:iCs w:val="1"/>
          <w:color w:val="1f1f1f"/>
          <w:rtl w:val="0"/>
        </w:rPr>
        <w:t xml:space="preserve">Gestion des risques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Analyse Module par Module : Critiques, Clarifications et Valeur Ajoutée UX</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Modules 1 &amp; 2 : Intelligent Bank Reconciliation &amp; Multi Banking Hub</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Critique produit &amp; Risque :</w:t>
      </w:r>
      <w:r w:rsidDel="00000000" w:rsidR="00000000" w:rsidRPr="00000000">
        <w:rPr>
          <w:rFonts w:ascii="Google Sans" w:cs="Google Sans" w:eastAsia="Google Sans" w:hAnsi="Google Sans"/>
          <w:color w:val="1f1f1f"/>
          <w:rtl w:val="0"/>
        </w:rPr>
        <w:t xml:space="preserve"> Tu as très bien identifié la dépendance critique aux API. En mode produit, la rupture de flux bancaire est le pire cauchemar d'un trésorier.</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Idée Nouvelle (UX / Produit) : </w:t>
      </w:r>
      <w:r w:rsidDel="00000000" w:rsidR="00000000" w:rsidRPr="00000000">
        <w:rPr>
          <w:rFonts w:ascii="Google Sans" w:cs="Google Sans" w:eastAsia="Google Sans" w:hAnsi="Google Sans"/>
          <w:b w:val="1"/>
          <w:bCs w:val="1"/>
          <w:i w:val="1"/>
          <w:iCs w:val="1"/>
          <w:color w:val="1f1f1f"/>
          <w:rtl w:val="0"/>
        </w:rPr>
        <w:t xml:space="preserve">Le "Offline Shadow Matching" &amp; Mode Dégradé Professionnel</w:t>
      </w:r>
    </w:p>
    <w:p w:rsidR="00000000" w:rsidDel="00000000" w:rsidP="00000000" w:rsidRDefault="00000000" w:rsidRPr="00000000" w14:paraId="00000008">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Si une API bancaire tombe (EBICS/SWIFT), la plateforme ne doit pas afficher une page d'erreur standard. Elle doit basculer automatiquement en mode "Upload manuel assisté". L'interface doit guider l'utilisateur pour glisser-déposer un fichier d'export (MT940/CAMT), et l'OCR ou le parser doit prendre le relais de manière transparente pour simuler la continuité du service.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Fonctionnalité Complémentaire : </w:t>
      </w:r>
      <w:r w:rsidDel="00000000" w:rsidR="00000000" w:rsidRPr="00000000">
        <w:rPr>
          <w:rFonts w:ascii="Google Sans" w:cs="Google Sans" w:eastAsia="Google Sans" w:hAnsi="Google Sans"/>
          <w:b w:val="1"/>
          <w:bCs w:val="1"/>
          <w:i w:val="1"/>
          <w:iCs w:val="1"/>
          <w:color w:val="1f1f1f"/>
          <w:rtl w:val="0"/>
        </w:rPr>
        <w:t xml:space="preserve">Le "Multi-Currency Virtual Ledger"</w:t>
      </w:r>
    </w:p>
    <w:p w:rsidR="00000000" w:rsidDel="00000000" w:rsidP="00000000" w:rsidRDefault="00000000" w:rsidRPr="00000000" w14:paraId="0000000A">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Le document mentionne la gestion des devises. Pour un client "Enterprise", propose un écran de simulation des frais de change cachés appliqués par les banques lors des rapprochements pour permettre au CFO de négocier ses spreads de change.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3 : Intelligent OCR &amp; Document Processing</w:t>
      </w:r>
    </w:p>
    <w:p w:rsidR="00000000" w:rsidDel="00000000" w:rsidP="00000000" w:rsidRDefault="00000000" w:rsidRPr="00000000" w14:paraId="0000000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Critique produit &amp; Risque :</w:t>
      </w:r>
      <w:r w:rsidDel="00000000" w:rsidR="00000000" w:rsidRPr="00000000">
        <w:rPr>
          <w:rFonts w:ascii="Google Sans" w:cs="Google Sans" w:eastAsia="Google Sans" w:hAnsi="Google Sans"/>
          <w:color w:val="1f1f1f"/>
          <w:rtl w:val="0"/>
        </w:rPr>
        <w:t xml:space="preserve"> Tu as soulevé le problème de la taille des fichiers et de la performance. D'un point de vue produit, l'attente passive devant un écran de chargement détruit l'UX.</w:t>
      </w:r>
    </w:p>
    <w:p w:rsidR="00000000" w:rsidDel="00000000" w:rsidP="00000000" w:rsidRDefault="00000000" w:rsidRPr="00000000" w14:paraId="0000000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Idée Nouvelle (UX / Produit) : </w:t>
      </w:r>
      <w:r w:rsidDel="00000000" w:rsidR="00000000" w:rsidRPr="00000000">
        <w:rPr>
          <w:rFonts w:ascii="Google Sans" w:cs="Google Sans" w:eastAsia="Google Sans" w:hAnsi="Google Sans"/>
          <w:b w:val="1"/>
          <w:bCs w:val="1"/>
          <w:i w:val="1"/>
          <w:iCs w:val="1"/>
          <w:color w:val="1f1f1f"/>
          <w:rtl w:val="0"/>
        </w:rPr>
        <w:t xml:space="preserve">Le Traitement Asynchrone à "Gamification passive"</w:t>
      </w:r>
    </w:p>
    <w:p w:rsidR="00000000" w:rsidDel="00000000" w:rsidP="00000000" w:rsidRDefault="00000000" w:rsidRPr="00000000" w14:paraId="0000000E">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Le traitement OCR doit être </w:t>
      </w:r>
      <w:r w:rsidDel="00000000" w:rsidR="00000000" w:rsidRPr="00000000">
        <w:rPr>
          <w:rFonts w:ascii="Google Sans" w:cs="Google Sans" w:eastAsia="Google Sans" w:hAnsi="Google Sans"/>
          <w:b w:val="1"/>
          <w:bCs w:val="1"/>
          <w:color w:val="1f1f1f"/>
          <w:rtl w:val="0"/>
        </w:rPr>
        <w:t xml:space="preserve">100% asynchrone</w:t>
      </w:r>
      <w:r w:rsidDel="00000000" w:rsidR="00000000" w:rsidRPr="00000000">
        <w:rPr>
          <w:rFonts w:ascii="Google Sans" w:cs="Google Sans" w:eastAsia="Google Sans" w:hAnsi="Google Sans"/>
          <w:color w:val="1f1f1f"/>
          <w:rtl w:val="0"/>
        </w:rPr>
        <w:t xml:space="preserve"> avec un système de file d'attente visible en arrière-plan. L'utilisateur dépose 500 factures  et peut continuer à utiliser le reste de la plateforme. Une barre de progression discrète en bas de l'écran indique l'avancement.</w:t>
      </w:r>
    </w:p>
    <w:p w:rsidR="00000000" w:rsidDel="00000000" w:rsidP="00000000" w:rsidRDefault="00000000" w:rsidRPr="00000000" w14:paraId="0000000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Complément UX : </w:t>
      </w:r>
      <w:r w:rsidDel="00000000" w:rsidR="00000000" w:rsidRPr="00000000">
        <w:rPr>
          <w:rFonts w:ascii="Google Sans" w:cs="Google Sans" w:eastAsia="Google Sans" w:hAnsi="Google Sans"/>
          <w:b w:val="1"/>
          <w:bCs w:val="1"/>
          <w:i w:val="1"/>
          <w:iCs w:val="1"/>
          <w:color w:val="1f1f1f"/>
          <w:rtl w:val="0"/>
        </w:rPr>
        <w:t xml:space="preserve">Split-Screen de Correction Intuitive</w:t>
      </w:r>
    </w:p>
    <w:p w:rsidR="00000000" w:rsidDel="00000000" w:rsidP="00000000" w:rsidRDefault="00000000" w:rsidRPr="00000000" w14:paraId="00000010">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Pour ton idée d'</w:t>
      </w:r>
      <w:r w:rsidDel="00000000" w:rsidR="00000000" w:rsidRPr="00000000">
        <w:rPr>
          <w:rFonts w:ascii="Google Sans" w:cs="Google Sans" w:eastAsia="Google Sans" w:hAnsi="Google Sans"/>
          <w:i w:val="1"/>
          <w:iCs w:val="1"/>
          <w:color w:val="1f1f1f"/>
          <w:rtl w:val="0"/>
        </w:rPr>
        <w:t xml:space="preserve">Human-in-the-Loop</w:t>
      </w:r>
      <w:r w:rsidDel="00000000" w:rsidR="00000000" w:rsidRPr="00000000">
        <w:rPr>
          <w:rFonts w:ascii="Google Sans" w:cs="Google Sans" w:eastAsia="Google Sans" w:hAnsi="Google Sans"/>
          <w:color w:val="1f1f1f"/>
          <w:rtl w:val="0"/>
        </w:rPr>
        <w:t xml:space="preserve"> (facture surlignée en orange) , l'écran doit adopter un format </w:t>
      </w:r>
      <w:r w:rsidDel="00000000" w:rsidR="00000000" w:rsidRPr="00000000">
        <w:rPr>
          <w:rFonts w:ascii="Google Sans" w:cs="Google Sans" w:eastAsia="Google Sans" w:hAnsi="Google Sans"/>
          <w:i w:val="1"/>
          <w:iCs w:val="1"/>
          <w:color w:val="1f1f1f"/>
          <w:rtl w:val="0"/>
        </w:rPr>
        <w:t xml:space="preserve">Split-Screen</w:t>
      </w:r>
      <w:r w:rsidDel="00000000" w:rsidR="00000000" w:rsidRPr="00000000">
        <w:rPr>
          <w:rFonts w:ascii="Google Sans" w:cs="Google Sans" w:eastAsia="Google Sans" w:hAnsi="Google Sans"/>
          <w:color w:val="1f1f1f"/>
          <w:rtl w:val="0"/>
        </w:rPr>
        <w:t xml:space="preserve"> (Écran scindé) : à gauche le PDF original de la facture avec les zones extraites surlignées en couleur, à droite le formulaire JSON pré-rempli. L'utilisateur n'a qu'à cliquer sur une zone du PDF pour corriger instantanément un champ mal lu.</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Modules 4 &amp; 5 : AI Accounting Intelligence &amp; AI Fraud Detection</w:t>
      </w:r>
    </w:p>
    <w:p w:rsidR="00000000" w:rsidDel="00000000" w:rsidP="00000000" w:rsidRDefault="00000000" w:rsidRPr="00000000" w14:paraId="00000012">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Critique produit &amp; Risque :</w:t>
      </w:r>
      <w:r w:rsidDel="00000000" w:rsidR="00000000" w:rsidRPr="00000000">
        <w:rPr>
          <w:rFonts w:ascii="Google Sans" w:cs="Google Sans" w:eastAsia="Google Sans" w:hAnsi="Google Sans"/>
          <w:color w:val="1f1f1f"/>
          <w:rtl w:val="0"/>
        </w:rPr>
        <w:t xml:space="preserve"> Bloquer un virement légitime à cause d'un faux positif peut paralyser les opérations d'une entreprise.</w:t>
      </w:r>
    </w:p>
    <w:p w:rsidR="00000000" w:rsidDel="00000000" w:rsidP="00000000" w:rsidRDefault="00000000" w:rsidRPr="00000000" w14:paraId="00000013">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Idée Nouvelle (UX / Produit) : </w:t>
      </w:r>
      <w:r w:rsidDel="00000000" w:rsidR="00000000" w:rsidRPr="00000000">
        <w:rPr>
          <w:rFonts w:ascii="Google Sans" w:cs="Google Sans" w:eastAsia="Google Sans" w:hAnsi="Google Sans"/>
          <w:b w:val="1"/>
          <w:bCs w:val="1"/>
          <w:i w:val="1"/>
          <w:iCs w:val="1"/>
          <w:color w:val="1f1f1f"/>
          <w:rtl w:val="0"/>
        </w:rPr>
        <w:t xml:space="preserve">Le "Sandbox Audit Mode"</w:t>
      </w:r>
    </w:p>
    <w:p w:rsidR="00000000" w:rsidDel="00000000" w:rsidP="00000000" w:rsidRDefault="00000000" w:rsidRPr="00000000" w14:paraId="00000014">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Avant d'activer l'agent de détection des fraudes en mode "bloquant", le produit doit proposer un mode simulation ("Shadow Mode"). L'algorithme tourne en arrière-plan pendant 15 jours sans bloquer aucune action, permettant au superviseur IA d'ajuster les seuils de sensibilité  en fonction de la réalité de l'entreprise (ex: accepter les virements urgents du vendredi soir spécifiques à ce secteur).</w:t>
      </w:r>
    </w:p>
    <w:p w:rsidR="00000000" w:rsidDel="00000000" w:rsidP="00000000" w:rsidRDefault="00000000" w:rsidRPr="00000000" w14:paraId="00000015">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Complément UX : </w:t>
      </w:r>
      <w:r w:rsidDel="00000000" w:rsidR="00000000" w:rsidRPr="00000000">
        <w:rPr>
          <w:rFonts w:ascii="Google Sans" w:cs="Google Sans" w:eastAsia="Google Sans" w:hAnsi="Google Sans"/>
          <w:b w:val="1"/>
          <w:bCs w:val="1"/>
          <w:i w:val="1"/>
          <w:iCs w:val="1"/>
          <w:color w:val="1f1f1f"/>
          <w:rtl w:val="0"/>
        </w:rPr>
        <w:t xml:space="preserve">Le "Badge de Certitude" dynamique</w:t>
      </w:r>
    </w:p>
    <w:p w:rsidR="00000000" w:rsidDel="00000000" w:rsidP="00000000" w:rsidRDefault="00000000" w:rsidRPr="00000000" w14:paraId="00000016">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Chaque alerte de fraude doit être accompagnée d'une explication en langage clair (XAI - Explainable AI) : </w:t>
      </w:r>
      <w:r w:rsidDel="00000000" w:rsidR="00000000" w:rsidRPr="00000000">
        <w:rPr>
          <w:rFonts w:ascii="Google Sans" w:cs="Google Sans" w:eastAsia="Google Sans" w:hAnsi="Google Sans"/>
          <w:i w:val="1"/>
          <w:iCs w:val="1"/>
          <w:color w:val="1f1f1f"/>
          <w:rtl w:val="0"/>
        </w:rPr>
        <w:t xml:space="preserve">"Alerte 85% : Changement de RIB détecté pour le fournisseur X, non conforme à l'historique des 12 derniers mois. Raison secondaire : IP de connexion inhabituelle."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6 : AI Financial Copilot</w:t>
      </w:r>
    </w:p>
    <w:p w:rsidR="00000000" w:rsidDel="00000000" w:rsidP="00000000" w:rsidRDefault="00000000" w:rsidRPr="00000000" w14:paraId="00000018">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Critique produit :</w:t>
      </w:r>
      <w:r w:rsidDel="00000000" w:rsidR="00000000" w:rsidRPr="00000000">
        <w:rPr>
          <w:rFonts w:ascii="Google Sans" w:cs="Google Sans" w:eastAsia="Google Sans" w:hAnsi="Google Sans"/>
          <w:color w:val="1f1f1f"/>
          <w:rtl w:val="0"/>
        </w:rPr>
        <w:t xml:space="preserve"> Un chatbot générique est souvent perçu comme un gadget inutile par les professionnels de la finance qui préfèrent les tableaux de données.</w:t>
      </w:r>
    </w:p>
    <w:p w:rsidR="00000000" w:rsidDel="00000000" w:rsidP="00000000" w:rsidRDefault="00000000" w:rsidRPr="00000000" w14:paraId="00000019">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Idée Nouvelle (UX / Produit) : </w:t>
      </w:r>
      <w:r w:rsidDel="00000000" w:rsidR="00000000" w:rsidRPr="00000000">
        <w:rPr>
          <w:rFonts w:ascii="Google Sans" w:cs="Google Sans" w:eastAsia="Google Sans" w:hAnsi="Google Sans"/>
          <w:b w:val="1"/>
          <w:bCs w:val="1"/>
          <w:i w:val="1"/>
          <w:iCs w:val="1"/>
          <w:color w:val="1f1f1f"/>
          <w:rtl w:val="0"/>
        </w:rPr>
        <w:t xml:space="preserve">Le "Prompt-to-Action" (Au-delà de la conversation)</w:t>
      </w:r>
    </w:p>
    <w:p w:rsidR="00000000" w:rsidDel="00000000" w:rsidP="00000000" w:rsidRDefault="00000000" w:rsidRPr="00000000" w14:paraId="0000001A">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Le Copilote ne doit pas simplement répondre à des questions textuelles. Il doit être capable d'exécuter des commandes de navigation ou de modification.</w:t>
      </w:r>
    </w:p>
    <w:p w:rsidR="00000000" w:rsidDel="00000000" w:rsidP="00000000" w:rsidRDefault="00000000" w:rsidRPr="00000000" w14:paraId="0000001B">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Exemple d'UX :</w:t>
      </w:r>
      <w:r w:rsidDel="00000000" w:rsidR="00000000" w:rsidRPr="00000000">
        <w:rPr>
          <w:rFonts w:ascii="Google Sans" w:cs="Google Sans" w:eastAsia="Google Sans" w:hAnsi="Google Sans"/>
          <w:color w:val="1f1f1f"/>
          <w:rtl w:val="0"/>
        </w:rPr>
        <w:t xml:space="preserve"> L'utilisateur tape </w:t>
      </w:r>
      <w:r w:rsidDel="00000000" w:rsidR="00000000" w:rsidRPr="00000000">
        <w:rPr>
          <w:rFonts w:ascii="Google Sans" w:cs="Google Sans" w:eastAsia="Google Sans" w:hAnsi="Google Sans"/>
          <w:i w:val="1"/>
          <w:iCs w:val="1"/>
          <w:color w:val="1f1f1f"/>
          <w:rtl w:val="0"/>
        </w:rPr>
        <w:t xml:space="preserve">"Montre-moi les écarts de TVA du mois dernier et prépare le virement de régularisation."</w:t>
      </w:r>
      <w:r w:rsidDel="00000000" w:rsidR="00000000" w:rsidRPr="00000000">
        <w:rPr>
          <w:rFonts w:ascii="Google Sans" w:cs="Google Sans" w:eastAsia="Google Sans" w:hAnsi="Google Sans"/>
          <w:color w:val="1f1f1f"/>
          <w:rtl w:val="0"/>
        </w:rPr>
        <w:t xml:space="preserve"> Le copilote ouvre automatiquement le module concerné, applique les filtres et pré-remplit l'ordre de virement (en attente de validation humaine).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Modules 7 &amp; 8 : Financial Reporting &amp; Treasury Forecasting</w:t>
      </w:r>
    </w:p>
    <w:p w:rsidR="00000000" w:rsidDel="00000000" w:rsidP="00000000" w:rsidRDefault="00000000" w:rsidRPr="00000000" w14:paraId="0000001D">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Critique produit :</w:t>
      </w:r>
      <w:r w:rsidDel="00000000" w:rsidR="00000000" w:rsidRPr="00000000">
        <w:rPr>
          <w:rFonts w:ascii="Google Sans" w:cs="Google Sans" w:eastAsia="Google Sans" w:hAnsi="Google Sans"/>
          <w:color w:val="1f1f1f"/>
          <w:rtl w:val="0"/>
        </w:rPr>
        <w:t xml:space="preserve"> Les prévisions de trésorerie (Cash-Flow Forecasting) font souvent face à l'effet "Boîte Noire". Si l'utilisateur ne comprend pas comment l'IA a prédit une baisse de trésorerie dans 3 mois, il n'aura pas confiance.</w:t>
      </w:r>
    </w:p>
    <w:p w:rsidR="00000000" w:rsidDel="00000000" w:rsidP="00000000" w:rsidRDefault="00000000" w:rsidRPr="00000000" w14:paraId="0000001E">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Idée Nouvelle (UX / Produit) : </w:t>
      </w:r>
      <w:r w:rsidDel="00000000" w:rsidR="00000000" w:rsidRPr="00000000">
        <w:rPr>
          <w:rFonts w:ascii="Google Sans" w:cs="Google Sans" w:eastAsia="Google Sans" w:hAnsi="Google Sans"/>
          <w:b w:val="1"/>
          <w:bCs w:val="1"/>
          <w:i w:val="1"/>
          <w:iCs w:val="1"/>
          <w:color w:val="1f1f1f"/>
          <w:rtl w:val="0"/>
        </w:rPr>
        <w:t xml:space="preserve">Le "Scenario Playground" (Molettes de simulation macroéconomique)</w:t>
      </w:r>
    </w:p>
    <w:p w:rsidR="00000000" w:rsidDel="00000000" w:rsidP="00000000" w:rsidRDefault="00000000" w:rsidRPr="00000000" w14:paraId="0000001F">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Pour pousser ton idée de mode simulation plus loin, l'interface de prévision doit intégrer des variables métiers manipulables graphiquement (ex: curseur pour modifier le délai moyen de paiement des clients de 30 à 45 jours, curseur d'inflation, ou curseur de retard de livraison). L'UI recalcule en temps réel la courbe prédictive de trésorerie.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Modules 10 &amp; 11 : Smart Financial Close &amp; Internal Control</w:t>
      </w:r>
    </w:p>
    <w:p w:rsidR="00000000" w:rsidDel="00000000" w:rsidP="00000000" w:rsidRDefault="00000000" w:rsidRPr="00000000" w14:paraId="00000021">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Critique produit :</w:t>
      </w:r>
      <w:r w:rsidDel="00000000" w:rsidR="00000000" w:rsidRPr="00000000">
        <w:rPr>
          <w:rFonts w:ascii="Google Sans" w:cs="Google Sans" w:eastAsia="Google Sans" w:hAnsi="Google Sans"/>
          <w:color w:val="1f1f1f"/>
          <w:rtl w:val="0"/>
        </w:rPr>
        <w:t xml:space="preserve"> La clôture comptable est la période la plus stressante de l'année. Les logiciels complexes aggravent ce stress.</w:t>
      </w:r>
    </w:p>
    <w:p w:rsidR="00000000" w:rsidDel="00000000" w:rsidP="00000000" w:rsidRDefault="00000000" w:rsidRPr="00000000" w14:paraId="00000022">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Idée Nouvelle (UX / Produit) : </w:t>
      </w:r>
      <w:r w:rsidDel="00000000" w:rsidR="00000000" w:rsidRPr="00000000">
        <w:rPr>
          <w:rFonts w:ascii="Google Sans" w:cs="Google Sans" w:eastAsia="Google Sans" w:hAnsi="Google Sans"/>
          <w:b w:val="1"/>
          <w:bCs w:val="1"/>
          <w:i w:val="1"/>
          <w:iCs w:val="1"/>
          <w:color w:val="1f1f1f"/>
          <w:rtl w:val="0"/>
        </w:rPr>
        <w:t xml:space="preserve">La "War Room" de Clôture Collaborative</w:t>
      </w:r>
    </w:p>
    <w:p w:rsidR="00000000" w:rsidDel="00000000" w:rsidP="00000000" w:rsidRDefault="00000000" w:rsidRPr="00000000" w14:paraId="00000023">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Créer un espace visuel (façon Kanban ou liste de contrôle interactive) où le Directeur Comptable, les Comptables et les Auditeurs externes voient l'avancement exact des tâches de validation (ex: "Rapprochement BIAT validé à 98%", "Justification des comptes d'attente en cours"). Cela évite les relances incessantes par email ou Slack.</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Synthèse et Améliorations de ton Benchmark Technologique &amp; Solutions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te basant sur tes premières recherches (Pennylane, Dext, BlackLine, Odoo), voici les bonnes pratiques UX et techniques à intégrer pour devancer ces acteurs :</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Matrice Produit : Ce qu'il faut copier vs Ce qu'il faut améliorer</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Solution du Marché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Point Fort (À intégrer)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Point Faible (Ton opportunité produit)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Pennylane / Spendesk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UX ultra-moderne, ergonomie épurée orientée PME.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Manque de puissance sur les modèles d'IA agentique complexes pour le segment "Enterprise".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Précision extrême de l'OCR de factures.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Solution cloisonnée uniquement sur la collecte documentaire. Pas de réconciliation bancaire ou de prévision native.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BlackLine / Trintech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Piste d'audit (Audit Trail) parfaite et robuste pour grands comptes.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Implémentation lourde, interface vieillissante, courbe d'apprentissage très raide.</w:t>
            </w:r>
          </w:p>
        </w:tc>
      </w:tr>
    </w:tbl>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Recommandations Techniques Orientées Produit (Complément à ton tableau)</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assurer une excellente réactivité de l'interface (critère UX majeur) :</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Frontend :</w:t>
      </w:r>
      <w:r w:rsidDel="00000000" w:rsidR="00000000" w:rsidRPr="00000000">
        <w:rPr>
          <w:rFonts w:ascii="Google Sans" w:cs="Google Sans" w:eastAsia="Google Sans" w:hAnsi="Google Sans"/>
          <w:color w:val="1f1f1f"/>
          <w:rtl w:val="0"/>
        </w:rPr>
        <w:t xml:space="preserve"> L'utilisation de </w:t>
      </w:r>
      <w:r w:rsidDel="00000000" w:rsidR="00000000" w:rsidRPr="00000000">
        <w:rPr>
          <w:rFonts w:ascii="Google Sans" w:cs="Google Sans" w:eastAsia="Google Sans" w:hAnsi="Google Sans"/>
          <w:b w:val="1"/>
          <w:bCs w:val="1"/>
          <w:color w:val="1f1f1f"/>
          <w:rtl w:val="0"/>
        </w:rPr>
        <w:t xml:space="preserve">React.js + Tailwind CSS + Shadcn/ui</w:t>
      </w:r>
      <w:r w:rsidDel="00000000" w:rsidR="00000000" w:rsidRPr="00000000">
        <w:rPr>
          <w:rFonts w:ascii="Google Sans" w:cs="Google Sans" w:eastAsia="Google Sans" w:hAnsi="Google Sans"/>
          <w:color w:val="1f1f1f"/>
          <w:rtl w:val="0"/>
        </w:rPr>
        <w:t xml:space="preserve"> est parfaite pour concevoir un </w:t>
      </w:r>
      <w:r w:rsidDel="00000000" w:rsidR="00000000" w:rsidRPr="00000000">
        <w:rPr>
          <w:rFonts w:ascii="Google Sans" w:cs="Google Sans" w:eastAsia="Google Sans" w:hAnsi="Google Sans"/>
          <w:i w:val="1"/>
          <w:iCs w:val="1"/>
          <w:color w:val="1f1f1f"/>
          <w:rtl w:val="0"/>
        </w:rPr>
        <w:t xml:space="preserve">Design System</w:t>
      </w:r>
      <w:r w:rsidDel="00000000" w:rsidR="00000000" w:rsidRPr="00000000">
        <w:rPr>
          <w:rFonts w:ascii="Google Sans" w:cs="Google Sans" w:eastAsia="Google Sans" w:hAnsi="Google Sans"/>
          <w:color w:val="1f1f1f"/>
          <w:rtl w:val="0"/>
        </w:rPr>
        <w:t xml:space="preserve"> propre et unifié rapidement. Pour les graphiques dynamiques, </w:t>
      </w:r>
      <w:r w:rsidDel="00000000" w:rsidR="00000000" w:rsidRPr="00000000">
        <w:rPr>
          <w:rFonts w:ascii="Google Sans" w:cs="Google Sans" w:eastAsia="Google Sans" w:hAnsi="Google Sans"/>
          <w:b w:val="1"/>
          <w:bCs w:val="1"/>
          <w:color w:val="1f1f1f"/>
          <w:rtl w:val="0"/>
        </w:rPr>
        <w:t xml:space="preserve">Recharts</w:t>
      </w:r>
      <w:r w:rsidDel="00000000" w:rsidR="00000000" w:rsidRPr="00000000">
        <w:rPr>
          <w:rFonts w:ascii="Google Sans" w:cs="Google Sans" w:eastAsia="Google Sans" w:hAnsi="Google Sans"/>
          <w:color w:val="1f1f1f"/>
          <w:rtl w:val="0"/>
        </w:rPr>
        <w:t xml:space="preserve"> est idéal, mais assure-toi de prévoir un mode de virtualisation des données (ex: </w:t>
      </w:r>
      <w:r w:rsidDel="00000000" w:rsidR="00000000" w:rsidRPr="00000000">
        <w:rPr>
          <w:rFonts w:ascii="Google Sans" w:cs="Google Sans" w:eastAsia="Google Sans" w:hAnsi="Google Sans"/>
          <w:i w:val="1"/>
          <w:iCs w:val="1"/>
          <w:color w:val="1f1f1f"/>
          <w:rtl w:val="0"/>
        </w:rPr>
        <w:t xml:space="preserve">React Virtualized</w:t>
      </w:r>
      <w:r w:rsidDel="00000000" w:rsidR="00000000" w:rsidRPr="00000000">
        <w:rPr>
          <w:rFonts w:ascii="Google Sans" w:cs="Google Sans" w:eastAsia="Google Sans" w:hAnsi="Google Sans"/>
          <w:color w:val="1f1f1f"/>
          <w:rtl w:val="0"/>
        </w:rPr>
        <w:t xml:space="preserve">) si tu dois afficher des tableaux de rapprochement contenant plus de 10 000 lignes, pour éviter que le navigateur ne plante.</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Architecture Modèles de Vision :</w:t>
      </w:r>
      <w:r w:rsidDel="00000000" w:rsidR="00000000" w:rsidRPr="00000000">
        <w:rPr>
          <w:rFonts w:ascii="Google Sans" w:cs="Google Sans" w:eastAsia="Google Sans" w:hAnsi="Google Sans"/>
          <w:color w:val="1f1f1f"/>
          <w:rtl w:val="0"/>
        </w:rPr>
        <w:t xml:space="preserve"> Pour l'OCR, privilégie des architectures comme </w:t>
      </w:r>
      <w:r w:rsidDel="00000000" w:rsidR="00000000" w:rsidRPr="00000000">
        <w:rPr>
          <w:rFonts w:ascii="Google Sans" w:cs="Google Sans" w:eastAsia="Google Sans" w:hAnsi="Google Sans"/>
          <w:b w:val="1"/>
          <w:bCs w:val="1"/>
          <w:color w:val="1f1f1f"/>
          <w:rtl w:val="0"/>
        </w:rPr>
        <w:t xml:space="preserve">Donut</w:t>
      </w:r>
      <w:r w:rsidDel="00000000" w:rsidR="00000000" w:rsidRPr="00000000">
        <w:rPr>
          <w:rFonts w:ascii="Google Sans" w:cs="Google Sans" w:eastAsia="Google Sans" w:hAnsi="Google Sans"/>
          <w:color w:val="1f1f1f"/>
          <w:rtl w:val="0"/>
        </w:rPr>
        <w:t xml:space="preserve"> ou </w:t>
      </w:r>
      <w:r w:rsidDel="00000000" w:rsidR="00000000" w:rsidRPr="00000000">
        <w:rPr>
          <w:rFonts w:ascii="Google Sans" w:cs="Google Sans" w:eastAsia="Google Sans" w:hAnsi="Google Sans"/>
          <w:b w:val="1"/>
          <w:bCs w:val="1"/>
          <w:color w:val="1f1f1f"/>
          <w:rtl w:val="0"/>
        </w:rPr>
        <w:t xml:space="preserve">GPT-4o-mini</w:t>
      </w:r>
      <w:r w:rsidDel="00000000" w:rsidR="00000000" w:rsidRPr="00000000">
        <w:rPr>
          <w:rFonts w:ascii="Google Sans" w:cs="Google Sans" w:eastAsia="Google Sans" w:hAnsi="Google Sans"/>
          <w:color w:val="1f1f1f"/>
          <w:rtl w:val="0"/>
        </w:rPr>
        <w:t xml:space="preserve"> (via API structurée JSON) plutôt que Tesseract classique. Les factures tunisiennes ou internationales ont des structures très variables : les modèles de vision comprennent le contexte spatial (ex: la date est souvent en haut à droite) mieux qu'un simple lecteur de texte brut.</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Risques Réglementaires &amp; Spécificités Locales (Le Point Manquant)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 tu l'as mentionné, l'entreprise est à Tunis. C'est un atout majeur pour adapter le produit à un marché souvent délaissé par les géants européens.</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Loi Tunisienne sur la Protection des Données (Loi n°2004-63) :</w:t>
      </w:r>
    </w:p>
    <w:p w:rsidR="00000000" w:rsidDel="00000000" w:rsidP="00000000" w:rsidRDefault="00000000" w:rsidRPr="00000000" w14:paraId="0000003D">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Contrairement au RGPD européen qui autorise le stockage Cloud sous conditions strictes, la législation tunisienne impose des restrictions fortes sur le transfert des données personnelles à l'étranger sans autorisation de l'INPDP (Instance Nationale de Protection des Données Personnelles).</w:t>
      </w:r>
    </w:p>
    <w:p w:rsidR="00000000" w:rsidDel="00000000" w:rsidP="00000000" w:rsidRDefault="00000000" w:rsidRPr="00000000" w14:paraId="0000003E">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Impact Produit / UX :</w:t>
      </w:r>
      <w:r w:rsidDel="00000000" w:rsidR="00000000" w:rsidRPr="00000000">
        <w:rPr>
          <w:rFonts w:ascii="Google Sans" w:cs="Google Sans" w:eastAsia="Google Sans" w:hAnsi="Google Sans"/>
          <w:color w:val="1f1f1f"/>
          <w:rtl w:val="0"/>
        </w:rPr>
        <w:t xml:space="preserve"> L'architecture doit impérativement proposer une option de déploiement </w:t>
      </w:r>
      <w:r w:rsidDel="00000000" w:rsidR="00000000" w:rsidRPr="00000000">
        <w:rPr>
          <w:rFonts w:ascii="Google Sans" w:cs="Google Sans" w:eastAsia="Google Sans" w:hAnsi="Google Sans"/>
          <w:b w:val="1"/>
          <w:bCs w:val="1"/>
          <w:color w:val="1f1f1f"/>
          <w:rtl w:val="0"/>
        </w:rPr>
        <w:t xml:space="preserve">On-Premise</w:t>
      </w:r>
      <w:r w:rsidDel="00000000" w:rsidR="00000000" w:rsidRPr="00000000">
        <w:rPr>
          <w:rFonts w:ascii="Google Sans" w:cs="Google Sans" w:eastAsia="Google Sans" w:hAnsi="Google Sans"/>
          <w:color w:val="1f1f1f"/>
          <w:rtl w:val="0"/>
        </w:rPr>
        <w:t xml:space="preserve"> ou sur un </w:t>
      </w:r>
      <w:r w:rsidDel="00000000" w:rsidR="00000000" w:rsidRPr="00000000">
        <w:rPr>
          <w:rFonts w:ascii="Google Sans" w:cs="Google Sans" w:eastAsia="Google Sans" w:hAnsi="Google Sans"/>
          <w:b w:val="1"/>
          <w:bCs w:val="1"/>
          <w:color w:val="1f1f1f"/>
          <w:rtl w:val="0"/>
        </w:rPr>
        <w:t xml:space="preserve">Cloud souverain local</w:t>
      </w:r>
      <w:r w:rsidDel="00000000" w:rsidR="00000000" w:rsidRPr="00000000">
        <w:rPr>
          <w:rFonts w:ascii="Google Sans" w:cs="Google Sans" w:eastAsia="Google Sans" w:hAnsi="Google Sans"/>
          <w:color w:val="1f1f1f"/>
          <w:rtl w:val="0"/>
        </w:rPr>
        <w:t xml:space="preserve"> (ex: serveurs certifiés en Tunisie) pour les institutions financières ou entreprises publiques tunisiennes.</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Gestion des Formats Locaux (EBICS vs Pratiques locales) :</w:t>
      </w:r>
    </w:p>
    <w:p w:rsidR="00000000" w:rsidDel="00000000" w:rsidP="00000000" w:rsidRDefault="00000000" w:rsidRPr="00000000" w14:paraId="00000040">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En Tunisie, de nombreuses PME exportent encore leurs relevés bancaires sous forme de fichiers Excel mal formatés ou de PDF numérisés plutôt que via des flux EBICS/SWIFT automatisés.</w:t>
      </w:r>
    </w:p>
    <w:p w:rsidR="00000000" w:rsidDel="00000000" w:rsidP="00000000" w:rsidRDefault="00000000" w:rsidRPr="00000000" w14:paraId="00000041">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Impact Produit :</w:t>
      </w:r>
      <w:r w:rsidDel="00000000" w:rsidR="00000000" w:rsidRPr="00000000">
        <w:rPr>
          <w:rFonts w:ascii="Google Sans" w:cs="Google Sans" w:eastAsia="Google Sans" w:hAnsi="Google Sans"/>
          <w:color w:val="1f1f1f"/>
          <w:rtl w:val="0"/>
        </w:rPr>
        <w:t xml:space="preserve"> Ton module OCR / Document Processing doit être entraîné spécifiquement sur les formats de relevés officiels des grandes banques de la place (BIAT, Attijari, Amen Bank, BNA...). Offrir un parser natif pour ces formats locaux apporterait une valeur ajoutée immédiate qu'un outil comme Pennylane ou Xero ne possède pas.</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Prochaine étape pour ton livrable du jour :</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as toutes les cartes en main pour structurer ton rapport. Je te conseille d'articuler ta présentation en montrant que chaque </w:t>
      </w:r>
      <w:r w:rsidDel="00000000" w:rsidR="00000000" w:rsidRPr="00000000">
        <w:rPr>
          <w:rFonts w:ascii="Google Sans" w:cs="Google Sans" w:eastAsia="Google Sans" w:hAnsi="Google Sans"/>
          <w:b w:val="1"/>
          <w:bCs w:val="1"/>
          <w:color w:val="1f1f1f"/>
          <w:rtl w:val="0"/>
        </w:rPr>
        <w:t xml:space="preserve">risque technique</w:t>
      </w:r>
      <w:r w:rsidDel="00000000" w:rsidR="00000000" w:rsidRPr="00000000">
        <w:rPr>
          <w:rFonts w:ascii="Google Sans" w:cs="Google Sans" w:eastAsia="Google Sans" w:hAnsi="Google Sans"/>
          <w:color w:val="1f1f1f"/>
          <w:rtl w:val="0"/>
        </w:rPr>
        <w:t xml:space="preserve"> identifié trouve sa solution dans une </w:t>
      </w:r>
      <w:r w:rsidDel="00000000" w:rsidR="00000000" w:rsidRPr="00000000">
        <w:rPr>
          <w:rFonts w:ascii="Google Sans" w:cs="Google Sans" w:eastAsia="Google Sans" w:hAnsi="Google Sans"/>
          <w:b w:val="1"/>
          <w:bCs w:val="1"/>
          <w:color w:val="1f1f1f"/>
          <w:rtl w:val="0"/>
        </w:rPr>
        <w:t xml:space="preserve">fonctionnalité UX intelligente</w:t>
      </w:r>
      <w:r w:rsidDel="00000000" w:rsidR="00000000" w:rsidRPr="00000000">
        <w:rPr>
          <w:rFonts w:ascii="Google Sans" w:cs="Google Sans" w:eastAsia="Google Sans" w:hAnsi="Google Sans"/>
          <w:color w:val="1f1f1f"/>
          <w:rtl w:val="0"/>
        </w:rPr>
        <w:t xml:space="preserve"> (ex: Risque de Faux Positif $\rightarrow$ Écran de validation interactive </w:t>
      </w:r>
      <w:r w:rsidDel="00000000" w:rsidR="00000000" w:rsidRPr="00000000">
        <w:rPr>
          <w:rFonts w:ascii="Google Sans" w:cs="Google Sans" w:eastAsia="Google Sans" w:hAnsi="Google Sans"/>
          <w:i w:val="1"/>
          <w:iCs w:val="1"/>
          <w:color w:val="1f1f1f"/>
          <w:rtl w:val="0"/>
        </w:rPr>
        <w:t xml:space="preserve">Human-in-the-loop</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Qu'en penses-tu ? Serais-tu intéressé à ce que nous rédigions ensemble la section spécifique sur l'interface de validation "Human-in-the-loop" pour qu'elle soit la plus visuelle possible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