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E8720C"/>
          <w:sz w:val="32"/>
          <w:szCs w:val="32"/>
        </w:rPr>
        <w:t xml:space="preserve">ELITECOM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Stage — Plateforme SaaS d'Intelligence Financière</w:t>
      </w:r>
    </w:p>
    <w:p>
      <w:pPr>
        <w:spacing w:after="100"/>
        <w:jc w:val="center"/>
      </w:pPr>
      <w:r>
        <w:rPr>
          <w:b/>
          <w:bCs/>
          <w:color w:val="3A3A3A"/>
          <w:sz w:val="34"/>
          <w:szCs w:val="34"/>
        </w:rPr>
        <w:t xml:space="preserve">Analyse critique du Cahier des Clauses Techniques (v1.3)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Remarques • Idées innovantes • Recherches préliminaires</w:t>
      </w:r>
    </w:p>
    <w:p>
      <w:pPr>
        <w:spacing w:after="160"/>
      </w:pPr>
      <w:r>
        <w:rPr>
          <w:b w:val="false"/>
          <w:bCs w:val="false"/>
          <w:color w:val="555555"/>
          <w:sz w:val="21"/>
          <w:szCs w:val="21"/>
        </w:rPr>
        <w:t xml:space="preserve">Ce document rassemble les trois livrables demandés en préparation de la première journée de stage : les remarques critiques sur le CCT, des propositions de fonctionnalités à valeur ajoutée, et une synthèse des recherches sur les solutions existantes, bonnes pratiques et technologies pertinentes.</w:t>
      </w:r>
    </w:p>
    <w:p>
      <w:pPr>
        <w:pStyle w:val="Heading1"/>
        <w:pBdr>
          <w:bottom w:val="single" w:color="E8720C" w:sz="12" w:space="4"/>
        </w:pBdr>
        <w:spacing w:after="160" w:before="360"/>
      </w:pPr>
      <w:r>
        <w:rPr>
          <w:b/>
          <w:bCs/>
          <w:color w:val="E8720C"/>
          <w:sz w:val="30"/>
          <w:szCs w:val="30"/>
        </w:rPr>
        <w:t xml:space="preserve">1. Remarques sur le CCT</w:t>
      </w:r>
    </w:p>
    <w:p>
      <w:pPr>
        <w:spacing w:after="200"/>
      </w:pPr>
      <w:r>
        <w:rPr>
          <w:b w:val="false"/>
          <w:bCs w:val="false"/>
          <w:color w:val="666666"/>
          <w:sz w:val="21"/>
          <w:szCs w:val="21"/>
        </w:rPr>
        <w:t xml:space="preserve">Points à améliorer, éléments à clarifier, fonctionnalités à compléter et risques identifiés à la lecture du document.</w:t>
      </w:r>
    </w:p>
    <w:p>
      <w:pPr>
        <w:pStyle w:val="Heading2"/>
        <w:spacing w:after="120" w:before="280"/>
      </w:pPr>
      <w:r>
        <w:rPr>
          <w:b/>
          <w:bCs/>
          <w:color w:val="3A3A3A"/>
          <w:sz w:val="24"/>
          <w:szCs w:val="24"/>
        </w:rPr>
        <w:t xml:space="preserve">1.1 Gouvernance et cadrage du projet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Aucun chiffrage n'apparaît dans le CCT : pas de budget, pas de délais par module, pas d'effectifs prévus. Seuls les éléments communiqués sur Slack (3 jours, 4 stagiaires) donnent un cadre, mais uniquement pour la phase de cadrage.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L'objectif "automatiser jusqu'à 95% des opérations de rapprochement bancaire" n'est appuyé par aucune méthode de calcul ni benchmark sectoriel.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Le document évoque des "critères d'acceptation" en introduction du §2 mais ne les détaille jamais module par module.</w:t>
      </w:r>
    </w:p>
    <w:p>
      <w:pPr>
        <w:pStyle w:val="Heading2"/>
        <w:spacing w:after="120" w:before="280"/>
      </w:pPr>
      <w:r>
        <w:rPr>
          <w:b/>
          <w:bCs/>
          <w:color w:val="3A3A3A"/>
          <w:sz w:val="24"/>
          <w:szCs w:val="24"/>
        </w:rPr>
        <w:t xml:space="preserve">1.2 Choix techniques non tranchés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Le choix du LLM reste ouvert (OpenAI, Mistral AI, Llama, Azure OpenAI cités sans arbitrage) — impact direct sur le coût, la latence et surtout la souveraineté des données bancaires.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Le RGPD (UE) et le PSD2 sont cités comme référentiels de conformité, mais aucune mention de la loi tunisienne organique n°2004-63 sur la protection des données personnelles, alors que l'entreprise est basée à Tunis.</w:t>
      </w:r>
    </w:p>
    <w:p>
      <w:pPr>
        <w:pStyle w:val="Heading2"/>
        <w:spacing w:after="120" w:before="280"/>
      </w:pPr>
      <w:r>
        <w:rPr>
          <w:b/>
          <w:bCs/>
          <w:color w:val="3A3A3A"/>
          <w:sz w:val="24"/>
          <w:szCs w:val="24"/>
        </w:rPr>
        <w:t xml:space="preserve">1.3 Fonctionnalités à compléter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La gestion des cas limites du matching bancaire n'est pas détaillée : multi-devises, rapprochements partiels, délais de valeur bancaire, doublons inter-comptes.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Aucun plan de reprise si une banque modifie son format d'export ou coupe l'accès API — dépendance critique du Module 2 (Multi Banking Hub).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L'Explainable AI est mentionnée (§3.2) sans mécanisme concret : comment justifier à un auditeur une décision de rapprochement automatique ?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Aucune politique de rétention / archivage légal des pièces comptables (durées légales de conservation vs stockage cloud).</w:t>
      </w:r>
    </w:p>
    <w:p>
      <w:pPr>
        <w:pStyle w:val="Heading2"/>
        <w:spacing w:after="120" w:before="280"/>
      </w:pPr>
      <w:r>
        <w:rPr>
          <w:b/>
          <w:bCs/>
          <w:color w:val="3A3A3A"/>
          <w:sz w:val="24"/>
          <w:szCs w:val="24"/>
        </w:rPr>
        <w:t xml:space="preserve">1.4 Risques identifiés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Dépendance à des LLM tiers pour des données financières sensibles : risque de fuite ou de non-conformité si l'architecture ne prévoit pas d'isolation (VPC dédié, mode on-premise pour les gros clients).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Absence de stratégie de désescalade humaine claire lorsque l'IA a un score de confiance faible.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Le multi-tenant n'est prévu qu'en Version 4 — risque de refonte d'architecture si des clients pilotes arrivent plus tôt que prévu.</w:t>
      </w:r>
    </w:p>
    <w:p>
      <w:pPr>
        <w:pStyle w:val="Heading1"/>
        <w:pBdr>
          <w:bottom w:val="single" w:color="E8720C" w:sz="12" w:space="4"/>
        </w:pBdr>
        <w:spacing w:after="160" w:before="360"/>
      </w:pPr>
      <w:r>
        <w:rPr>
          <w:b/>
          <w:bCs/>
          <w:color w:val="E8720C"/>
          <w:sz w:val="30"/>
          <w:szCs w:val="30"/>
        </w:rPr>
        <w:t xml:space="preserve">2. Idées innovantes et propositions à valeur ajoutée</w:t>
      </w:r>
    </w:p>
    <w:p>
      <w:pPr>
        <w:spacing w:after="200"/>
      </w:pPr>
      <w:r>
        <w:rPr>
          <w:b w:val="false"/>
          <w:bCs w:val="false"/>
          <w:color w:val="666666"/>
          <w:sz w:val="21"/>
          <w:szCs w:val="21"/>
        </w:rPr>
        <w:t xml:space="preserve">Fonctionnalités ou options pouvant renforcer la différenciation et la valeur perçue de la plateforme.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Score de confiance affiché </w:t>
      </w:r>
      <w:r>
        <w:rPr>
          <w:sz w:val="21"/>
          <w:szCs w:val="21"/>
        </w:rPr>
        <w:t xml:space="preserve">sur chaque rapprochement automatique, avec seuil configurable déclenchant une revue humaine.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Apprentissage par correction </w:t>
      </w:r>
      <w:r>
        <w:rPr>
          <w:sz w:val="21"/>
          <w:szCs w:val="21"/>
        </w:rPr>
        <w:t xml:space="preserve">— chaque correction manuelle d'un comptable réentraîne localement les règles de matching (renforce le §3.3 sur l'auto-apprentissage).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Simulateur "what-if" de clôture </w:t>
      </w:r>
      <w:r>
        <w:rPr>
          <w:sz w:val="21"/>
          <w:szCs w:val="21"/>
        </w:rPr>
        <w:t xml:space="preserve">permettant de tester l'impact d'une écriture avant engagement définitif.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Copilot proactif contextualisé </w:t>
      </w:r>
      <w:r>
        <w:rPr>
          <w:sz w:val="21"/>
          <w:szCs w:val="21"/>
        </w:rPr>
        <w:t xml:space="preserve">— alertes du type « cette transaction ressemble à 3 cas de fraude détectés le mois dernier chez ce même fournisseur ».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Mode sandbox réglementaire </w:t>
      </w:r>
      <w:r>
        <w:rPr>
          <w:sz w:val="21"/>
          <w:szCs w:val="21"/>
        </w:rPr>
        <w:t xml:space="preserve">pour tester une nouvelle règle de conformité avant sa mise en production.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Traçabilité complète des décisions IA </w:t>
      </w:r>
      <w:r>
        <w:rPr>
          <w:sz w:val="21"/>
          <w:szCs w:val="21"/>
        </w:rPr>
        <w:t xml:space="preserve">(audit trail) — chaque anomalie détectée doit pouvoir remonter jusqu'à la donnée source et au modèle/règle qui l'a déclenchée.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Export temps réel vers Slack/Teams </w:t>
      </w:r>
      <w:r>
        <w:rPr>
          <w:sz w:val="21"/>
          <w:szCs w:val="21"/>
        </w:rPr>
        <w:t xml:space="preserve">des anomalies critiques — déjà prévu comme connecteur, à transformer en véritable fonctionnalité produit avec règles de routage.</w:t>
      </w:r>
    </w:p>
    <w:p>
      <w:pPr>
        <w:pStyle w:val="Heading1"/>
        <w:pBdr>
          <w:bottom w:val="single" w:color="E8720C" w:sz="12" w:space="4"/>
        </w:pBdr>
        <w:spacing w:after="160" w:before="360"/>
      </w:pPr>
      <w:r>
        <w:rPr>
          <w:b/>
          <w:bCs/>
          <w:color w:val="E8720C"/>
          <w:sz w:val="30"/>
          <w:szCs w:val="30"/>
        </w:rPr>
        <w:t xml:space="preserve">3. Recherches préliminaires : solutions, bonnes pratiques, technologies</w:t>
      </w:r>
    </w:p>
    <w:p>
      <w:pPr>
        <w:pStyle w:val="Heading2"/>
        <w:spacing w:after="120" w:before="280"/>
      </w:pPr>
      <w:r>
        <w:rPr>
          <w:b/>
          <w:bCs/>
          <w:color w:val="3A3A3A"/>
          <w:sz w:val="24"/>
          <w:szCs w:val="24"/>
        </w:rPr>
        <w:t xml:space="preserve">3.1 Solutions concurrentes — Rapprochement bancaire &amp; clôture comptable</w:t>
      </w:r>
    </w:p>
    <w:p>
      <w:pPr>
        <w:spacing w:after="160"/>
      </w:pPr>
      <w:r>
        <w:rPr>
          <w:b w:val="false"/>
          <w:bCs w:val="false"/>
          <w:color w:val="222222"/>
          <w:sz w:val="21"/>
          <w:szCs w:val="21"/>
        </w:rPr>
        <w:t xml:space="preserve">Les leaders identifiés sur ce segment sont OneStream, BlackLine, Trintech Cadency et Oracle Account Reconciliation Cloud, ainsi que Xelix (spécialisé comptes fournisseurs).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Trintech Cadency : rationalise la clôture financière mais implémentation lourde et coûteuse pour les PME.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BlackLine : forte piste d'audit et transparence, mais complexité de mise en œuvre nécessitant des ressources importantes.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Xelix : positionné spécifiquement sur les comptes fournisseurs (prévention fraude/surpaiement, gestion données fournisseurs).</w:t>
      </w:r>
    </w:p>
    <w:p>
      <w:pPr>
        <w:spacing w:after="160"/>
      </w:pPr>
      <w:r>
        <w:rPr>
          <w:b w:val="false"/>
          <w:bCs w:val="false"/>
          <w:color w:val="555555"/>
          <w:sz w:val="21"/>
          <w:szCs w:val="21"/>
        </w:rPr>
        <w:t xml:space="preserve">→ Positionnement possible pour Elitecom : une plateforme plus légère que BlackLine/Trintech, IA-native dès la conception (pas simple automatisation par règles), pensée pour le marché maghrébin/francophone.</w:t>
      </w:r>
    </w:p>
    <w:p>
      <w:pPr>
        <w:pStyle w:val="Heading2"/>
        <w:spacing w:after="120" w:before="280"/>
      </w:pPr>
      <w:r>
        <w:rPr>
          <w:b/>
          <w:bCs/>
          <w:color w:val="3A3A3A"/>
          <w:sz w:val="24"/>
          <w:szCs w:val="24"/>
        </w:rPr>
        <w:t xml:space="preserve">3.2 Solutions OCR pour documents financiers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Rossum : extraction sans modèles rigides, s'adapte à divers formats de documents sans configuration préalable — orienté grandes entreprises à fort volume.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Dext : automatise collecte, extraction et affectation des données de factures, reçus et relevés bancaires — approche plutôt mobile-first / PME.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Les solutions IDP modernes (Rossum, ABBYY Vantage, Affinda) affichent généralement une précision supérieure à 95% au niveau des champs, et surpassent largement l'OCR classique sur les factures à mise en page variable.</w:t>
      </w:r>
    </w:p>
    <w:p>
      <w:pPr>
        <w:spacing w:after="160"/>
      </w:pPr>
      <w:r>
        <w:rPr>
          <w:b w:val="false"/>
          <w:bCs w:val="false"/>
          <w:color w:val="555555"/>
          <w:sz w:val="21"/>
          <w:szCs w:val="21"/>
        </w:rPr>
        <w:t xml:space="preserve">→ Pour le Module 3, privilégier une approche IDP « sans modèle » plutôt qu'un OCR à templates fixes, pour gagner en flexibilité multi-fournisseurs.</w:t>
      </w:r>
    </w:p>
    <w:p>
      <w:pPr>
        <w:pStyle w:val="Heading2"/>
        <w:spacing w:after="120" w:before="280"/>
      </w:pPr>
      <w:r>
        <w:rPr>
          <w:b/>
          <w:bCs/>
          <w:color w:val="3A3A3A"/>
          <w:sz w:val="24"/>
          <w:szCs w:val="24"/>
        </w:rPr>
        <w:t xml:space="preserve">3.3 Bonnes pratiques et technologies pour l'architecture IA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RAG : limiter les hallucinations via une recherche hybride (sémantique + mots-clés), une gestion rigoureuse des sources documentaires et une traçabilité systématique des réponses générées.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Frameworks d'orchestration d'agents pertinents pour le §3.7 : LangGraph, CrewAI, AutoGen.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Standards bancaires à maîtriser : MT940, CAMT.053/054, Open Banking PSD2, EBICS — déjà bien identifiés dans le CCT.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Sécurité IA : chiffrement des prompts, sandboxing des agents, filtrage anti prompt-injection — domaine encore peu standardisé, donc axe de différenciation possible.</w:t>
      </w:r>
    </w:p>
    <w:p>
      <w:pPr>
        <w:pBdr>
          <w:top w:val="single" w:color="CCCCCC" w:sz="6" w:space="8"/>
        </w:pBdr>
        <w:spacing w:before="400"/>
      </w:pPr>
      <w:r>
        <w:rPr>
          <w:color w:val="888888"/>
          <w:sz w:val="18"/>
          <w:szCs w:val="18"/>
        </w:rPr>
        <w:t xml:space="preserve">Document préparé en amont de la séance de travail du 06/07/2026 — Cadrage, analyse, recherche et conception (Elitecom).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2026-07-05T19:42:13.438Z</dcterms:created>
  <dcterms:modified xsi:type="dcterms:W3CDTF">2026-07-05T19:42:13.438Z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