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E6A" w:rsidRDefault="00B163DA">
      <w:pPr>
        <w:pStyle w:val="MdHeading1"/>
      </w:pPr>
      <w:r>
        <w:t xml:space="preserve">Rapport d'Avancement Technique : Modules IA &amp; Multi-Banking </w:t>
      </w:r>
      <w:proofErr w:type="spellStart"/>
      <w:r>
        <w:t>BankMatch</w:t>
      </w:r>
      <w:proofErr w:type="spellEnd"/>
    </w:p>
    <w:p w:rsidR="00351E6A" w:rsidRDefault="00B163DA">
      <w:pPr>
        <w:pStyle w:val="MdParagraph"/>
      </w:pPr>
      <w:r>
        <w:rPr>
          <w:rStyle w:val="MdStrong"/>
        </w:rPr>
        <w:t>Date :</w:t>
      </w:r>
      <w:r>
        <w:t xml:space="preserve"> 06 août 2026</w:t>
      </w:r>
      <w:r>
        <w:rPr>
          <w:rStyle w:val="MdBr"/>
        </w:rPr>
        <w:br/>
      </w:r>
      <w:r>
        <w:rPr>
          <w:rStyle w:val="MdStrong"/>
        </w:rPr>
        <w:t>Auteur :</w:t>
      </w:r>
      <w:r>
        <w:t xml:space="preserve"> Équipe Développement IA</w:t>
      </w:r>
      <w:r>
        <w:rPr>
          <w:rStyle w:val="MdBr"/>
        </w:rPr>
        <w:br/>
      </w:r>
      <w:r>
        <w:rPr>
          <w:rStyle w:val="MdStrong"/>
        </w:rPr>
        <w:t>Destinataire :</w:t>
      </w:r>
      <w:r>
        <w:t xml:space="preserve"> Chef de Projet </w:t>
      </w:r>
      <w:proofErr w:type="spellStart"/>
      <w:r>
        <w:t>BankMatch</w:t>
      </w:r>
      <w:proofErr w:type="spellEnd"/>
      <w:r>
        <w:rPr>
          <w:rStyle w:val="MdBr"/>
        </w:rPr>
        <w:br/>
      </w:r>
      <w:r>
        <w:rPr>
          <w:rStyle w:val="MdStrong"/>
        </w:rPr>
        <w:t>Objet :</w:t>
      </w:r>
      <w:r>
        <w:t xml:space="preserve"> État d'avancement, validation des tests et préparation à l'intégration centralisée</w:t>
      </w:r>
    </w:p>
    <w:p w:rsidR="00351E6A" w:rsidRDefault="00351E6A">
      <w:pPr>
        <w:pStyle w:val="MdSpace"/>
        <w:spacing w:after="60"/>
      </w:pPr>
    </w:p>
    <w:p w:rsidR="00351E6A" w:rsidRDefault="00B163DA">
      <w:pPr>
        <w:pStyle w:val="MdHeading2"/>
      </w:pPr>
      <w:r>
        <w:t>Introduction</w:t>
      </w:r>
    </w:p>
    <w:p w:rsidR="00351E6A" w:rsidRDefault="00B163DA">
      <w:pPr>
        <w:pStyle w:val="MdParagraph"/>
      </w:pPr>
      <w:r>
        <w:t xml:space="preserve">Ce rapport présente l'état d'avancement détaillé des </w:t>
      </w:r>
      <w:proofErr w:type="spellStart"/>
      <w:r>
        <w:t>microservices</w:t>
      </w:r>
      <w:proofErr w:type="spellEnd"/>
      <w:r>
        <w:t xml:space="preserve"> </w:t>
      </w:r>
      <w:r>
        <w:rPr>
          <w:rStyle w:val="MdStrong"/>
        </w:rPr>
        <w:t xml:space="preserve">AI </w:t>
      </w:r>
      <w:proofErr w:type="spellStart"/>
      <w:r>
        <w:rPr>
          <w:rStyle w:val="MdStrong"/>
        </w:rPr>
        <w:t>Fraud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Detection</w:t>
      </w:r>
      <w:proofErr w:type="spellEnd"/>
      <w:r>
        <w:t xml:space="preserve"> et </w:t>
      </w:r>
      <w:r>
        <w:rPr>
          <w:rStyle w:val="MdStrong"/>
        </w:rPr>
        <w:t>Multi-Banking</w:t>
      </w:r>
      <w:r>
        <w:t xml:space="preserve"> dans le cadre du projet </w:t>
      </w:r>
      <w:proofErr w:type="spellStart"/>
      <w:r>
        <w:t>BankMatch</w:t>
      </w:r>
      <w:proofErr w:type="spellEnd"/>
      <w:r>
        <w:t>. Suite aux directives de la phase d'intégration, nos travaux se sont concentrés sur la finalisation des fo</w:t>
      </w:r>
      <w:r>
        <w:t>nctionnalités cœur, la standardisation des interfaces API et la mise en conformité avec l'architecture cible (</w:t>
      </w:r>
      <w:proofErr w:type="spellStart"/>
      <w:r>
        <w:t>Frontend</w:t>
      </w:r>
      <w:proofErr w:type="spellEnd"/>
      <w:r>
        <w:t xml:space="preserve"> →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BankMatch</w:t>
      </w:r>
      <w:proofErr w:type="spellEnd"/>
      <w:r>
        <w:t xml:space="preserve"> → </w:t>
      </w:r>
      <w:proofErr w:type="spellStart"/>
      <w:r>
        <w:t>Microservices</w:t>
      </w:r>
      <w:proofErr w:type="spellEnd"/>
      <w:r>
        <w:t xml:space="preserve"> IA). À ce jour, les modules sont prêts pour un déploiement centralisé, sous réserve de la finalisatio</w:t>
      </w:r>
      <w:r>
        <w:t>n des contrats d'authentification par l'équipe plateforme.</w:t>
      </w:r>
    </w:p>
    <w:p w:rsidR="00351E6A" w:rsidRDefault="00351E6A">
      <w:pPr>
        <w:pStyle w:val="MdSpace"/>
        <w:spacing w:after="60"/>
      </w:pPr>
    </w:p>
    <w:p w:rsidR="00351E6A" w:rsidRDefault="00B163DA">
      <w:pPr>
        <w:pStyle w:val="MdHeading2"/>
      </w:pPr>
      <w:r>
        <w:t>État de l'Avancement et Indicateurs Clés</w:t>
      </w:r>
    </w:p>
    <w:p w:rsidR="00351E6A" w:rsidRDefault="00B163DA">
      <w:pPr>
        <w:pStyle w:val="MdParagraph"/>
      </w:pPr>
      <w:r>
        <w:t>Le développement des modules IA a atteint une phase de maturité avancée. Le tableau suivant synthétise le pourcentage réel d'avancement et les éléments déj</w:t>
      </w:r>
      <w:r>
        <w:t>à préparés pour l'intégration.</w:t>
      </w:r>
    </w:p>
    <w:p w:rsidR="00351E6A" w:rsidRDefault="00351E6A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2"/>
        <w:gridCol w:w="3017"/>
        <w:gridCol w:w="3017"/>
      </w:tblGrid>
      <w:tr w:rsidR="00351E6A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51E6A" w:rsidRDefault="00B163DA">
            <w:pPr>
              <w:pStyle w:val="MdTableHeader"/>
            </w:pPr>
            <w:r>
              <w:t>Indicateur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51E6A" w:rsidRDefault="00B163DA">
            <w:pPr>
              <w:pStyle w:val="MdTableHeader"/>
            </w:pPr>
            <w:r>
              <w:t xml:space="preserve">AI </w:t>
            </w:r>
            <w:proofErr w:type="spellStart"/>
            <w:r>
              <w:t>Fraud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51E6A" w:rsidRDefault="00B163DA">
            <w:pPr>
              <w:pStyle w:val="MdTableHeader"/>
            </w:pPr>
            <w:r>
              <w:t>Multi-Banking</w:t>
            </w:r>
          </w:p>
        </w:tc>
      </w:tr>
      <w:tr w:rsidR="00351E6A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1E6A" w:rsidRDefault="00B163DA">
            <w:pPr>
              <w:pStyle w:val="MdTableCell"/>
            </w:pPr>
            <w:r>
              <w:rPr>
                <w:rStyle w:val="MdStrong"/>
              </w:rPr>
              <w:t>Pourcentage d'Avancement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1E6A" w:rsidRDefault="00B163DA">
            <w:pPr>
              <w:pStyle w:val="MdTableCell"/>
            </w:pPr>
            <w:r>
              <w:rPr>
                <w:rStyle w:val="MdStrong"/>
              </w:rPr>
              <w:t>95%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1E6A" w:rsidRDefault="00B163DA">
            <w:pPr>
              <w:pStyle w:val="MdTableCell"/>
            </w:pPr>
            <w:r>
              <w:rPr>
                <w:rStyle w:val="MdStrong"/>
              </w:rPr>
              <w:t>95%</w:t>
            </w:r>
          </w:p>
        </w:tc>
      </w:tr>
      <w:tr w:rsidR="00351E6A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1E6A" w:rsidRDefault="00B163DA">
            <w:pPr>
              <w:pStyle w:val="MdTableCell"/>
            </w:pPr>
            <w:r>
              <w:rPr>
                <w:rStyle w:val="MdStrong"/>
              </w:rPr>
              <w:t>Fonctionnalités Cœur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1E6A" w:rsidRDefault="00B163DA">
            <w:pPr>
              <w:pStyle w:val="MdTableCell"/>
            </w:pPr>
            <w:r>
              <w:t>Terminées et validées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1E6A" w:rsidRDefault="00B163DA">
            <w:pPr>
              <w:pStyle w:val="MdTableCell"/>
            </w:pPr>
            <w:r>
              <w:t>Terminées et validées</w:t>
            </w:r>
          </w:p>
        </w:tc>
      </w:tr>
      <w:tr w:rsidR="00351E6A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1E6A" w:rsidRDefault="00B163DA">
            <w:pPr>
              <w:pStyle w:val="MdTableCell"/>
            </w:pPr>
            <w:r>
              <w:rPr>
                <w:rStyle w:val="MdStrong"/>
              </w:rPr>
              <w:t>Tests d'Intégration (</w:t>
            </w:r>
            <w:proofErr w:type="spellStart"/>
            <w:r>
              <w:rPr>
                <w:rStyle w:val="MdStrong"/>
              </w:rPr>
              <w:t>Mock</w:t>
            </w:r>
            <w:proofErr w:type="spellEnd"/>
            <w:r>
              <w:rPr>
                <w:rStyle w:val="MdStrong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1E6A" w:rsidRDefault="00B163DA">
            <w:pPr>
              <w:pStyle w:val="MdTableCell"/>
            </w:pPr>
            <w:r>
              <w:t>100% de réussite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1E6A" w:rsidRDefault="00B163DA">
            <w:pPr>
              <w:pStyle w:val="MdTableCell"/>
            </w:pPr>
            <w:r>
              <w:t>100% de réussite</w:t>
            </w:r>
          </w:p>
        </w:tc>
      </w:tr>
      <w:tr w:rsidR="00351E6A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1E6A" w:rsidRDefault="00B163DA">
            <w:pPr>
              <w:pStyle w:val="MdTableCell"/>
            </w:pPr>
            <w:r>
              <w:rPr>
                <w:rStyle w:val="MdStrong"/>
              </w:rPr>
              <w:t>Conformité Docker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1E6A" w:rsidRDefault="00B163DA">
            <w:pPr>
              <w:pStyle w:val="MdTableCell"/>
            </w:pPr>
            <w:r>
              <w:t>HEALTHCHECK configuré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1E6A" w:rsidRDefault="00B163DA">
            <w:pPr>
              <w:pStyle w:val="MdTableCell"/>
            </w:pPr>
            <w:r>
              <w:t>HEALTHCHECK configuré</w:t>
            </w:r>
          </w:p>
        </w:tc>
      </w:tr>
      <w:tr w:rsidR="00351E6A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1E6A" w:rsidRDefault="00B163DA">
            <w:pPr>
              <w:pStyle w:val="MdTableCell"/>
            </w:pPr>
            <w:r>
              <w:rPr>
                <w:rStyle w:val="MdStrong"/>
              </w:rPr>
              <w:t>Authentification Interne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1E6A" w:rsidRDefault="00B163DA">
            <w:pPr>
              <w:pStyle w:val="MdTableCell"/>
            </w:pPr>
            <w:r>
              <w:t xml:space="preserve">JWT implémenté (Mode </w:t>
            </w:r>
            <w:proofErr w:type="spellStart"/>
            <w:r>
              <w:t>dev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1E6A" w:rsidRDefault="00B163DA">
            <w:pPr>
              <w:pStyle w:val="MdTableCell"/>
            </w:pPr>
            <w:r>
              <w:t xml:space="preserve">JWT implémenté (Mode </w:t>
            </w:r>
            <w:proofErr w:type="spellStart"/>
            <w:r>
              <w:t>dev</w:t>
            </w:r>
            <w:proofErr w:type="spellEnd"/>
            <w:r>
              <w:t>)</w:t>
            </w:r>
          </w:p>
        </w:tc>
      </w:tr>
      <w:tr w:rsidR="00351E6A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1E6A" w:rsidRDefault="00B163DA">
            <w:pPr>
              <w:pStyle w:val="MdTableCell"/>
            </w:pPr>
            <w:r>
              <w:rPr>
                <w:rStyle w:val="MdStrong"/>
              </w:rPr>
              <w:t>Statut Intégration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1E6A" w:rsidRDefault="00B163DA">
            <w:pPr>
              <w:pStyle w:val="MdTableCell"/>
            </w:pPr>
            <w:r>
              <w:rPr>
                <w:rStyle w:val="MdStrong"/>
              </w:rPr>
              <w:t>Prêt pour branchement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51E6A" w:rsidRDefault="00B163DA">
            <w:pPr>
              <w:pStyle w:val="MdTableCell"/>
            </w:pPr>
            <w:r>
              <w:rPr>
                <w:rStyle w:val="MdStrong"/>
              </w:rPr>
              <w:t>Prêt pour branchement</w:t>
            </w:r>
          </w:p>
        </w:tc>
      </w:tr>
    </w:tbl>
    <w:p w:rsidR="00351E6A" w:rsidRDefault="00B163DA">
      <w:pPr>
        <w:pStyle w:val="MdHeading2"/>
      </w:pPr>
      <w:r>
        <w:lastRenderedPageBreak/>
        <w:t>Détail des Fonctionnalités Finalisées</w:t>
      </w:r>
    </w:p>
    <w:p w:rsidR="00351E6A" w:rsidRDefault="00B163DA">
      <w:pPr>
        <w:pStyle w:val="MdHeading3"/>
      </w:pPr>
      <w:r>
        <w:t xml:space="preserve">Module AI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Detection</w:t>
      </w:r>
      <w:proofErr w:type="spellEnd"/>
    </w:p>
    <w:p w:rsidR="00351E6A" w:rsidRDefault="00B163DA">
      <w:pPr>
        <w:pStyle w:val="MdParagraph"/>
      </w:pPr>
      <w:r>
        <w:t xml:space="preserve">Le </w:t>
      </w:r>
      <w:proofErr w:type="spellStart"/>
      <w:r>
        <w:t>microservice</w:t>
      </w:r>
      <w:proofErr w:type="spellEnd"/>
      <w:r>
        <w:t xml:space="preserve"> de détection de fraude est pleinement opérationnel. Il combine trois approches complémentaires pour garantir une couverture maximale des risques :</w:t>
      </w:r>
    </w:p>
    <w:p w:rsidR="00351E6A" w:rsidRDefault="00B163DA">
      <w:pPr>
        <w:pStyle w:val="MdListItem"/>
        <w:numPr>
          <w:ilvl w:val="0"/>
          <w:numId w:val="2"/>
        </w:numPr>
      </w:pPr>
      <w:r>
        <w:rPr>
          <w:rStyle w:val="MdStrong"/>
        </w:rPr>
        <w:t>Moteur de Règles Métier :</w:t>
      </w:r>
      <w:r>
        <w:t xml:space="preserve"> Détection automatique des seuils réglementaires TRACFIN, des retrai</w:t>
      </w:r>
      <w:r>
        <w:t>ts d'espèces atypiques et des structures de paiement fractionnées.</w:t>
      </w:r>
    </w:p>
    <w:p w:rsidR="00351E6A" w:rsidRDefault="00B163DA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Intelligence Artificielle &amp; </w:t>
      </w:r>
      <w:proofErr w:type="spellStart"/>
      <w:r>
        <w:rPr>
          <w:rStyle w:val="MdStrong"/>
        </w:rPr>
        <w:t>Explicabilité</w:t>
      </w:r>
      <w:proofErr w:type="spellEnd"/>
      <w:r>
        <w:rPr>
          <w:rStyle w:val="MdStrong"/>
        </w:rPr>
        <w:t xml:space="preserve"> :</w:t>
      </w:r>
      <w:r>
        <w:t xml:space="preserve"> Utilisation de modèles </w:t>
      </w:r>
      <w:proofErr w:type="spellStart"/>
      <w:r>
        <w:t>Random</w:t>
      </w:r>
      <w:proofErr w:type="spellEnd"/>
      <w:r>
        <w:t xml:space="preserve"> Forest pour le </w:t>
      </w:r>
      <w:proofErr w:type="spellStart"/>
      <w:r>
        <w:t>scoring</w:t>
      </w:r>
      <w:proofErr w:type="spellEnd"/>
      <w:r>
        <w:t xml:space="preserve"> de risque, couplés à une analyse </w:t>
      </w:r>
      <w:r>
        <w:rPr>
          <w:rStyle w:val="MdStrong"/>
        </w:rPr>
        <w:t>SHAP</w:t>
      </w:r>
      <w:r>
        <w:t xml:space="preserve"> permettant de justifier chaque alerte auprès des analy</w:t>
      </w:r>
      <w:r>
        <w:t>stes.</w:t>
      </w:r>
    </w:p>
    <w:p w:rsidR="00351E6A" w:rsidRDefault="00B163DA">
      <w:pPr>
        <w:pStyle w:val="MdListItem"/>
        <w:numPr>
          <w:ilvl w:val="0"/>
          <w:numId w:val="2"/>
        </w:numPr>
      </w:pPr>
      <w:r>
        <w:rPr>
          <w:rStyle w:val="MdStrong"/>
        </w:rPr>
        <w:t>Analyse de Graphe (Neo4j) :</w:t>
      </w:r>
      <w:r>
        <w:t xml:space="preserve"> Identification des réseaux de collusion et des flux financiers circulaires complexes.</w:t>
      </w:r>
    </w:p>
    <w:p w:rsidR="00351E6A" w:rsidRDefault="00351E6A">
      <w:pPr>
        <w:pStyle w:val="MdSpace"/>
        <w:spacing w:after="60"/>
      </w:pPr>
    </w:p>
    <w:p w:rsidR="00351E6A" w:rsidRDefault="00B163DA">
      <w:pPr>
        <w:pStyle w:val="MdHeading3"/>
      </w:pPr>
      <w:r>
        <w:t>Module Multi-Banking</w:t>
      </w:r>
    </w:p>
    <w:p w:rsidR="00351E6A" w:rsidRDefault="00B163DA">
      <w:pPr>
        <w:pStyle w:val="MdParagraph"/>
      </w:pPr>
      <w:r>
        <w:t xml:space="preserve">Le module d'ingestion et de préparation des données assure la transition fluide entre les sources bancaires et le </w:t>
      </w:r>
      <w:r>
        <w:t>moteur d'analyse :</w:t>
      </w:r>
    </w:p>
    <w:p w:rsidR="00351E6A" w:rsidRDefault="00B163DA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Parsers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Multiformats</w:t>
      </w:r>
      <w:proofErr w:type="spellEnd"/>
      <w:r>
        <w:rPr>
          <w:rStyle w:val="MdStrong"/>
        </w:rPr>
        <w:t xml:space="preserve"> :</w:t>
      </w:r>
      <w:r>
        <w:t xml:space="preserve"> Support robuste des formats </w:t>
      </w:r>
      <w:r>
        <w:rPr>
          <w:rStyle w:val="MdStrong"/>
        </w:rPr>
        <w:t>CSV, CAMT.053 et MT940</w:t>
      </w:r>
      <w:r>
        <w:t>, incluant des corrections sur la précision des montants et la validation des IBAN.</w:t>
      </w:r>
    </w:p>
    <w:p w:rsidR="00351E6A" w:rsidRDefault="00B163DA">
      <w:pPr>
        <w:pStyle w:val="MdListItem"/>
        <w:numPr>
          <w:ilvl w:val="0"/>
          <w:numId w:val="3"/>
        </w:numPr>
      </w:pPr>
      <w:r>
        <w:rPr>
          <w:rStyle w:val="MdStrong"/>
        </w:rPr>
        <w:t>Pipeline de Données :</w:t>
      </w:r>
      <w:r>
        <w:t xml:space="preserve"> Flux automatisé transmettant les transactions normalisées </w:t>
      </w:r>
      <w:r>
        <w:t xml:space="preserve">au service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avec conservation de la traçabilité.</w:t>
      </w:r>
    </w:p>
    <w:p w:rsidR="00351E6A" w:rsidRDefault="00B163DA">
      <w:pPr>
        <w:pStyle w:val="MdListItem"/>
        <w:numPr>
          <w:ilvl w:val="0"/>
          <w:numId w:val="3"/>
        </w:numPr>
      </w:pPr>
      <w:r>
        <w:rPr>
          <w:rStyle w:val="MdStrong"/>
        </w:rPr>
        <w:t>Client d'Intégration :</w:t>
      </w:r>
      <w:r>
        <w:t xml:space="preserve"> Préparation technique pour l'envoi des données vers le </w:t>
      </w:r>
      <w:proofErr w:type="spellStart"/>
      <w:r>
        <w:t>backend</w:t>
      </w:r>
      <w:proofErr w:type="spellEnd"/>
      <w:r>
        <w:t xml:space="preserve"> central via l'</w:t>
      </w:r>
      <w:proofErr w:type="spellStart"/>
      <w:r>
        <w:t>endpoint</w:t>
      </w:r>
      <w:proofErr w:type="spellEnd"/>
      <w:r>
        <w:t xml:space="preserve"> </w:t>
      </w:r>
      <w:r>
        <w:rPr>
          <w:u w:val="single"/>
        </w:rPr>
        <w:t>/api/import</w:t>
      </w:r>
      <w:r>
        <w:t>.</w:t>
      </w:r>
    </w:p>
    <w:p w:rsidR="00351E6A" w:rsidRDefault="00351E6A">
      <w:pPr>
        <w:pStyle w:val="MdSpace"/>
        <w:spacing w:after="60"/>
      </w:pPr>
    </w:p>
    <w:p w:rsidR="00351E6A" w:rsidRDefault="00B163DA">
      <w:pPr>
        <w:pStyle w:val="MdHeading2"/>
      </w:pPr>
      <w:r>
        <w:t>Résolution des Points Bloquants et Standardisation</w:t>
      </w:r>
    </w:p>
    <w:p w:rsidR="00351E6A" w:rsidRDefault="00B163DA">
      <w:pPr>
        <w:pStyle w:val="MdParagraph"/>
      </w:pPr>
      <w:r>
        <w:t xml:space="preserve">Conformément aux exigences de la plateforme </w:t>
      </w:r>
      <w:proofErr w:type="spellStart"/>
      <w:r>
        <w:t>BankMatch</w:t>
      </w:r>
      <w:proofErr w:type="spellEnd"/>
      <w:r>
        <w:t>, nous avons procédé à une mise à niveau technique majeure pour faciliter l'intégration :</w:t>
      </w:r>
    </w:p>
    <w:p w:rsidR="00351E6A" w:rsidRDefault="00B163DA">
      <w:pPr>
        <w:pStyle w:val="MdListItem"/>
        <w:numPr>
          <w:ilvl w:val="0"/>
          <w:numId w:val="3"/>
        </w:numPr>
      </w:pPr>
      <w:r>
        <w:rPr>
          <w:rStyle w:val="MdStrong"/>
        </w:rPr>
        <w:t>Sécurité Service-to-Service :</w:t>
      </w:r>
      <w:r>
        <w:t xml:space="preserve"> L'authentification par jeton interne est prête. Le flag </w:t>
      </w:r>
      <w:r>
        <w:rPr>
          <w:u w:val="single"/>
        </w:rPr>
        <w:t>DISABLE_INTERNAL_AUTH</w:t>
      </w:r>
      <w:r>
        <w:t xml:space="preserve"> sera </w:t>
      </w:r>
      <w:r>
        <w:t>basculé dès que les secrets de production seront fournis.</w:t>
      </w:r>
    </w:p>
    <w:p w:rsidR="00351E6A" w:rsidRDefault="00B163DA">
      <w:pPr>
        <w:pStyle w:val="MdListItem"/>
        <w:numPr>
          <w:ilvl w:val="0"/>
          <w:numId w:val="3"/>
        </w:numPr>
      </w:pPr>
      <w:r>
        <w:rPr>
          <w:rStyle w:val="MdStrong"/>
        </w:rPr>
        <w:t>Observabilité :</w:t>
      </w:r>
      <w:r>
        <w:t xml:space="preserve"> Le </w:t>
      </w:r>
      <w:proofErr w:type="spellStart"/>
      <w:r>
        <w:t>logging</w:t>
      </w:r>
      <w:proofErr w:type="spellEnd"/>
      <w:r>
        <w:t xml:space="preserve"> structuré au format JSON est actif, incluant des </w:t>
      </w:r>
      <w:proofErr w:type="spellStart"/>
      <w:r>
        <w:rPr>
          <w:u w:val="single"/>
        </w:rPr>
        <w:t>request_id</w:t>
      </w:r>
      <w:proofErr w:type="spellEnd"/>
      <w:r>
        <w:t xml:space="preserve"> pour permettre un suivi de bout en bout des requêtes.</w:t>
      </w:r>
    </w:p>
    <w:p w:rsidR="00351E6A" w:rsidRDefault="00B163DA">
      <w:pPr>
        <w:pStyle w:val="MdListItem"/>
        <w:numPr>
          <w:ilvl w:val="0"/>
          <w:numId w:val="3"/>
        </w:numPr>
      </w:pPr>
      <w:r>
        <w:rPr>
          <w:rStyle w:val="MdStrong"/>
        </w:rPr>
        <w:t>Sémantique des Données :</w:t>
      </w:r>
      <w:r>
        <w:t xml:space="preserve"> Le champ </w:t>
      </w:r>
      <w:proofErr w:type="spellStart"/>
      <w:r>
        <w:rPr>
          <w:u w:val="single"/>
        </w:rPr>
        <w:t>mongo_transaction_id</w:t>
      </w:r>
      <w:proofErr w:type="spellEnd"/>
      <w:r>
        <w:t xml:space="preserve"> a </w:t>
      </w:r>
      <w:r>
        <w:t xml:space="preserve">été renommé en </w:t>
      </w:r>
      <w:proofErr w:type="spellStart"/>
      <w:r>
        <w:rPr>
          <w:u w:val="single"/>
        </w:rPr>
        <w:t>transaction_reference</w:t>
      </w:r>
      <w:proofErr w:type="spellEnd"/>
      <w:r>
        <w:t xml:space="preserve"> pour s'aligner sur les standards de la plateforme centrale, évitant ainsi toute confusion avec les identifiants internes </w:t>
      </w:r>
      <w:proofErr w:type="spellStart"/>
      <w:r>
        <w:t>MongoDB</w:t>
      </w:r>
      <w:proofErr w:type="spellEnd"/>
      <w:r>
        <w:t>.</w:t>
      </w:r>
    </w:p>
    <w:p w:rsidR="00351E6A" w:rsidRDefault="00351E6A">
      <w:pPr>
        <w:pStyle w:val="MdSpace"/>
        <w:spacing w:after="60"/>
      </w:pPr>
    </w:p>
    <w:p w:rsidR="00351E6A" w:rsidRDefault="00B163DA">
      <w:pPr>
        <w:pStyle w:val="MdHeading2"/>
      </w:pPr>
      <w:r>
        <w:t>Synthèse des Tests et Preuves de Validation</w:t>
      </w:r>
    </w:p>
    <w:p w:rsidR="00351E6A" w:rsidRDefault="00B163DA">
      <w:pPr>
        <w:pStyle w:val="MdParagraph"/>
      </w:pPr>
      <w:r>
        <w:t>Les captures d'écran jointes à ce rapport té</w:t>
      </w:r>
      <w:r>
        <w:t xml:space="preserve">moignent de la robustesse des développements actuels. Les tests unitaires et d'intégration couvrent l'intégralité des branches critiques des moteurs de règles et de </w:t>
      </w:r>
      <w:proofErr w:type="spellStart"/>
      <w:r>
        <w:t>parsing</w:t>
      </w:r>
      <w:proofErr w:type="spellEnd"/>
      <w:r>
        <w:t>.</w:t>
      </w:r>
    </w:p>
    <w:p w:rsidR="00351E6A" w:rsidRDefault="00351E6A">
      <w:pPr>
        <w:pStyle w:val="MdSpace"/>
        <w:spacing w:after="60"/>
      </w:pPr>
    </w:p>
    <w:p w:rsidR="00351E6A" w:rsidRDefault="00B163DA">
      <w:pPr>
        <w:pStyle w:val="MdBlockquote"/>
      </w:pPr>
      <w:r>
        <w:rPr>
          <w:rStyle w:val="MdStrong"/>
        </w:rPr>
        <w:t>Note sur l'intégration :</w:t>
      </w:r>
      <w:r>
        <w:t xml:space="preserve"> Nous sommes actuellement dépendants de la finalisation d</w:t>
      </w:r>
      <w:r>
        <w:t>es contrats d'API par l'équipe centrale (</w:t>
      </w:r>
      <w:proofErr w:type="spellStart"/>
      <w:r>
        <w:t>endpoints</w:t>
      </w:r>
      <w:proofErr w:type="spellEnd"/>
      <w:r>
        <w:t xml:space="preserve"> </w:t>
      </w:r>
      <w:r>
        <w:rPr>
          <w:u w:val="single"/>
        </w:rPr>
        <w:t>/api/import</w:t>
      </w:r>
      <w:r>
        <w:t xml:space="preserve"> et validation des </w:t>
      </w:r>
      <w:proofErr w:type="spellStart"/>
      <w:r>
        <w:t>tokens</w:t>
      </w:r>
      <w:proofErr w:type="spellEnd"/>
      <w:r>
        <w:t xml:space="preserve">). Dès réception de ces éléments, l'activation du mode </w:t>
      </w:r>
      <w:r>
        <w:rPr>
          <w:u w:val="single"/>
        </w:rPr>
        <w:t>BANKMATCH_INTEGRATION_ENABLED</w:t>
      </w:r>
      <w:r>
        <w:t xml:space="preserve"> permettra une mise en service immédiate.</w:t>
      </w:r>
    </w:p>
    <w:p w:rsidR="00351E6A" w:rsidRDefault="00351E6A">
      <w:pPr>
        <w:pStyle w:val="MdSpace"/>
        <w:spacing w:after="60"/>
      </w:pPr>
    </w:p>
    <w:p w:rsidR="00351E6A" w:rsidRDefault="00B163DA">
      <w:pPr>
        <w:pStyle w:val="MdHeading2"/>
      </w:pPr>
      <w:r>
        <w:t>Conclusion</w:t>
      </w:r>
    </w:p>
    <w:p w:rsidR="00351E6A" w:rsidRDefault="00B163DA">
      <w:pPr>
        <w:pStyle w:val="MdParagraph"/>
      </w:pPr>
      <w:r>
        <w:t>Les deux modules</w:t>
      </w:r>
      <w:r>
        <w:t xml:space="preserve"> sont</w:t>
      </w:r>
      <w:r>
        <w:t xml:space="preserve"> prêts</w:t>
      </w:r>
      <w:r>
        <w:t xml:space="preserve"> pour la p</w:t>
      </w:r>
      <w:r>
        <w:t xml:space="preserve">hase d'intégration centralisée. Les </w:t>
      </w:r>
      <w:proofErr w:type="spellStart"/>
      <w:r>
        <w:t>microservices</w:t>
      </w:r>
      <w:proofErr w:type="spellEnd"/>
      <w:r>
        <w:t xml:space="preserve"> sont stabilisés, documentés et conformes aux standards de sécurité et d'observabilité requis. </w:t>
      </w:r>
      <w:bookmarkStart w:id="0" w:name="_GoBack"/>
      <w:bookmarkEnd w:id="0"/>
      <w:r>
        <w:t xml:space="preserve">Nous attendons désormais le feu vert technique pour procéder au déploiement final sur la plateforme </w:t>
      </w:r>
      <w:proofErr w:type="spellStart"/>
      <w:r>
        <w:t>BankMatch</w:t>
      </w:r>
      <w:proofErr w:type="spellEnd"/>
      <w:r>
        <w:t>.</w:t>
      </w:r>
    </w:p>
    <w:sectPr w:rsidR="00351E6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37A15"/>
    <w:multiLevelType w:val="hybridMultilevel"/>
    <w:tmpl w:val="A74C9A3C"/>
    <w:lvl w:ilvl="0" w:tplc="773E204A">
      <w:start w:val="1"/>
      <w:numFmt w:val="bullet"/>
      <w:lvlText w:val="•"/>
      <w:lvlJc w:val="left"/>
      <w:pPr>
        <w:ind w:left="720" w:hanging="360"/>
      </w:pPr>
    </w:lvl>
    <w:lvl w:ilvl="1" w:tplc="32CE5936">
      <w:start w:val="1"/>
      <w:numFmt w:val="bullet"/>
      <w:lvlText w:val="◦"/>
      <w:lvlJc w:val="left"/>
      <w:pPr>
        <w:ind w:left="1440" w:hanging="360"/>
      </w:pPr>
    </w:lvl>
    <w:lvl w:ilvl="2" w:tplc="FCFAB09A">
      <w:start w:val="1"/>
      <w:numFmt w:val="bullet"/>
      <w:lvlText w:val="•"/>
      <w:lvlJc w:val="left"/>
      <w:pPr>
        <w:ind w:left="2160" w:hanging="360"/>
      </w:pPr>
    </w:lvl>
    <w:lvl w:ilvl="3" w:tplc="B672DFD6">
      <w:start w:val="1"/>
      <w:numFmt w:val="bullet"/>
      <w:lvlText w:val="◦"/>
      <w:lvlJc w:val="left"/>
      <w:pPr>
        <w:ind w:left="2880" w:hanging="360"/>
      </w:pPr>
    </w:lvl>
    <w:lvl w:ilvl="4" w:tplc="CB8C3482">
      <w:start w:val="1"/>
      <w:numFmt w:val="bullet"/>
      <w:lvlText w:val="•"/>
      <w:lvlJc w:val="left"/>
      <w:pPr>
        <w:ind w:left="3600" w:hanging="360"/>
      </w:pPr>
    </w:lvl>
    <w:lvl w:ilvl="5" w:tplc="BD8C1944">
      <w:start w:val="1"/>
      <w:numFmt w:val="bullet"/>
      <w:lvlText w:val="◦"/>
      <w:lvlJc w:val="left"/>
      <w:pPr>
        <w:ind w:left="4320" w:hanging="360"/>
      </w:pPr>
    </w:lvl>
    <w:lvl w:ilvl="6" w:tplc="99B65A18">
      <w:start w:val="1"/>
      <w:numFmt w:val="bullet"/>
      <w:lvlText w:val="•"/>
      <w:lvlJc w:val="left"/>
      <w:pPr>
        <w:ind w:left="5040" w:hanging="360"/>
      </w:pPr>
    </w:lvl>
    <w:lvl w:ilvl="7" w:tplc="DFD2F5C6">
      <w:numFmt w:val="decimal"/>
      <w:lvlText w:val=""/>
      <w:lvlJc w:val="left"/>
    </w:lvl>
    <w:lvl w:ilvl="8" w:tplc="3726FC84">
      <w:numFmt w:val="decimal"/>
      <w:lvlText w:val=""/>
      <w:lvlJc w:val="left"/>
    </w:lvl>
  </w:abstractNum>
  <w:abstractNum w:abstractNumId="1" w15:restartNumberingAfterBreak="0">
    <w:nsid w:val="5AAD608F"/>
    <w:multiLevelType w:val="hybridMultilevel"/>
    <w:tmpl w:val="1CE4B37A"/>
    <w:lvl w:ilvl="0" w:tplc="BD641842">
      <w:start w:val="1"/>
      <w:numFmt w:val="bullet"/>
      <w:lvlText w:val="●"/>
      <w:lvlJc w:val="left"/>
      <w:pPr>
        <w:ind w:left="720" w:hanging="360"/>
      </w:pPr>
    </w:lvl>
    <w:lvl w:ilvl="1" w:tplc="EC147220">
      <w:start w:val="1"/>
      <w:numFmt w:val="bullet"/>
      <w:lvlText w:val="○"/>
      <w:lvlJc w:val="left"/>
      <w:pPr>
        <w:ind w:left="1440" w:hanging="360"/>
      </w:pPr>
    </w:lvl>
    <w:lvl w:ilvl="2" w:tplc="9078B426">
      <w:start w:val="1"/>
      <w:numFmt w:val="bullet"/>
      <w:lvlText w:val="■"/>
      <w:lvlJc w:val="left"/>
      <w:pPr>
        <w:ind w:left="2160" w:hanging="360"/>
      </w:pPr>
    </w:lvl>
    <w:lvl w:ilvl="3" w:tplc="C85297FE">
      <w:start w:val="1"/>
      <w:numFmt w:val="bullet"/>
      <w:lvlText w:val="●"/>
      <w:lvlJc w:val="left"/>
      <w:pPr>
        <w:ind w:left="2880" w:hanging="360"/>
      </w:pPr>
    </w:lvl>
    <w:lvl w:ilvl="4" w:tplc="63C85A7A">
      <w:start w:val="1"/>
      <w:numFmt w:val="bullet"/>
      <w:lvlText w:val="○"/>
      <w:lvlJc w:val="left"/>
      <w:pPr>
        <w:ind w:left="3600" w:hanging="360"/>
      </w:pPr>
    </w:lvl>
    <w:lvl w:ilvl="5" w:tplc="543A8B14">
      <w:start w:val="1"/>
      <w:numFmt w:val="bullet"/>
      <w:lvlText w:val="■"/>
      <w:lvlJc w:val="left"/>
      <w:pPr>
        <w:ind w:left="4320" w:hanging="360"/>
      </w:pPr>
    </w:lvl>
    <w:lvl w:ilvl="6" w:tplc="206C32C4">
      <w:start w:val="1"/>
      <w:numFmt w:val="bullet"/>
      <w:lvlText w:val="●"/>
      <w:lvlJc w:val="left"/>
      <w:pPr>
        <w:ind w:left="5040" w:hanging="360"/>
      </w:pPr>
    </w:lvl>
    <w:lvl w:ilvl="7" w:tplc="007CF9D8">
      <w:start w:val="1"/>
      <w:numFmt w:val="bullet"/>
      <w:lvlText w:val="●"/>
      <w:lvlJc w:val="left"/>
      <w:pPr>
        <w:ind w:left="5760" w:hanging="360"/>
      </w:pPr>
    </w:lvl>
    <w:lvl w:ilvl="8" w:tplc="963868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1F4031"/>
    <w:multiLevelType w:val="multilevel"/>
    <w:tmpl w:val="DEE8F90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E6A"/>
    <w:rsid w:val="00351E6A"/>
    <w:rsid w:val="00B1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C743F"/>
  <w15:docId w15:val="{40347926-C5DC-41B6-81DA-F011A26A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 w:color="0563C1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666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user</cp:lastModifiedBy>
  <cp:revision>2</cp:revision>
  <dcterms:created xsi:type="dcterms:W3CDTF">2026-08-06T19:19:00Z</dcterms:created>
  <dcterms:modified xsi:type="dcterms:W3CDTF">2026-08-06T19:19:00Z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51588914</vt:i4>
  </property>
</Properties>
</file>