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0"/>
        </w:rPr>
        <w:t>État d'avancement — Modules AI Fraud Detection &amp; Multi-Banking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80"/>
            <w:shd w:fill="EEF2FF"/>
            <w:tcMar>
              <w:top w:w="80" w:type="dxa"/>
              <w:bottom w:w="80" w:type="dxa"/>
              <w:left w:w="120" w:type="dxa"/>
              <w:right w:w="80" w:type="dxa"/>
            </w:tcMar>
          </w:tcPr>
          <w:p>
            <w:r>
              <w:rPr>
                <w:b/>
                <w:color w:val="1E3A8A"/>
                <w:sz w:val="20"/>
              </w:rPr>
              <w:t xml:space="preserve">Date : </w:t>
            </w:r>
            <w:r>
              <w:rPr>
                <w:color w:val="1F2937"/>
                <w:sz w:val="20"/>
              </w:rPr>
              <w:t>06 août 2026</w:t>
            </w:r>
          </w:p>
        </w:tc>
        <w:tc>
          <w:tcPr>
            <w:tcW w:type="dxa" w:w="4680"/>
            <w:shd w:fill="EEF2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b/>
                <w:color w:val="1E3A8A"/>
                <w:sz w:val="20"/>
              </w:rPr>
              <w:t xml:space="preserve">Destinataire : </w:t>
            </w:r>
            <w:r>
              <w:rPr>
                <w:color w:val="1F2937"/>
                <w:sz w:val="20"/>
              </w:rPr>
              <w:t xml:space="preserve">Hedi Zouari </w:t>
            </w:r>
            <w:r>
              <w:rPr>
                <w:i/>
                <w:color w:val="6B7280"/>
                <w:sz w:val="19"/>
              </w:rPr>
              <w:t>(canal tous-rapprochement-bancaire)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Réponse directe à la question de Hedi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FF6FF"/>
            <w:tcBorders>
              <w:left w:val="single" w:sz="36" w:space="0" w:color="1E3A8A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i/>
                <w:color w:val="1E3A8A"/>
                <w:sz w:val="21"/>
              </w:rPr>
              <w:t>« Quand est-ce qu'on peut voir la version principale qui contient tous les modules ? »</w:t>
            </w:r>
          </w:p>
        </w:tc>
      </w:tr>
    </w:tbl>
    <w:p>
      <w:pPr>
        <w:spacing w:after="120"/>
      </w:pPr>
    </w:p>
    <w:p>
      <w:pPr>
        <w:spacing w:before="80" w:after="120" w:line="276" w:lineRule="auto"/>
      </w:pPr>
      <w:r>
        <w:rPr>
          <w:color w:val="1F2937"/>
          <w:sz w:val="21"/>
        </w:rPr>
        <w:t xml:space="preserve">D'après les derniers échanges de Dhirar sur le canal : </w:t>
      </w:r>
      <w:r>
        <w:rPr>
          <w:b/>
          <w:color w:val="B91C1C"/>
          <w:sz w:val="21"/>
        </w:rPr>
        <w:t>l'intégration centralisée n'a pas encore démarré côté BankMatch</w:t>
      </w:r>
      <w:r>
        <w:rPr>
          <w:color w:val="1F2937"/>
          <w:sz w:val="21"/>
        </w:rPr>
        <w:t xml:space="preserve">. Il continue de stabiliser le backend principal et de finaliser les contrats communs (auth interne, endpoints </w:t>
      </w:r>
      <w:r>
        <w:rPr>
          <w:rFonts w:ascii="Consolas" w:hAnsi="Consolas"/>
          <w:color w:val="1E3A8A"/>
          <w:sz w:val="19"/>
        </w:rPr>
        <w:t>/api/import, /reconciliation/...</w:t>
      </w:r>
      <w:r>
        <w:rPr>
          <w:color w:val="1F2937"/>
          <w:sz w:val="21"/>
        </w:rPr>
        <w:t>), et a annoncé qu'il partagera bientôt les consignes de nettoyage/documentation avant le branchement.</w:t>
      </w:r>
    </w:p>
    <w:p>
      <w:pPr>
        <w:spacing w:before="80" w:after="120" w:line="276" w:lineRule="auto"/>
      </w:pPr>
      <w:r>
        <w:rPr>
          <w:color w:val="1F2937"/>
          <w:sz w:val="21"/>
        </w:rPr>
        <w:t xml:space="preserve">Donc pas de date ferme pour l'instant — mais </w:t>
      </w:r>
      <w:r>
        <w:rPr>
          <w:b/>
          <w:color w:val="166534"/>
          <w:sz w:val="21"/>
        </w:rPr>
        <w:t>côté Fraud Detection et Multi-Banking, les deux modules sont fonctionnellement prêts à être branchés dès que le contrat d'authentification service-to-service sera confirmé</w:t>
      </w:r>
      <w:r>
        <w:rPr>
          <w:color w:val="1F2937"/>
          <w:sz w:val="21"/>
        </w:rPr>
        <w:t>. Les trois derniers points bloquants sont :</w:t>
      </w:r>
    </w:p>
    <w:p>
      <w:pPr>
        <w:spacing w:before="40" w:after="40"/>
        <w:ind w:left="432"/>
      </w:pPr>
      <w:r>
        <w:rPr>
          <w:b/>
          <w:color w:val="1E3A8A"/>
          <w:sz w:val="21"/>
        </w:rPr>
        <w:t xml:space="preserve">1. Confirmation du nom/valeur de l'identifiant de transaction </w:t>
      </w:r>
      <w:r>
        <w:rPr>
          <w:color w:val="1F2937"/>
          <w:sz w:val="21"/>
        </w:rPr>
        <w:t>(transaction_reference vs identifiant réel BankMatch),</w:t>
      </w:r>
    </w:p>
    <w:p>
      <w:pPr>
        <w:spacing w:before="40" w:after="40"/>
        <w:ind w:left="432"/>
      </w:pPr>
      <w:r>
        <w:rPr>
          <w:b/>
          <w:color w:val="1E3A8A"/>
          <w:sz w:val="21"/>
        </w:rPr>
        <w:t xml:space="preserve">2. Attribution des secrets de production </w:t>
      </w:r>
      <w:r>
        <w:rPr>
          <w:color w:val="1F2937"/>
          <w:sz w:val="21"/>
        </w:rPr>
        <w:t>INTERNAL_SERVICE_SECRET (un par service),</w:t>
      </w:r>
    </w:p>
    <w:p>
      <w:pPr>
        <w:spacing w:before="40" w:after="40"/>
        <w:ind w:left="432"/>
      </w:pPr>
      <w:r>
        <w:rPr>
          <w:b/>
          <w:color w:val="1E3A8A"/>
          <w:sz w:val="21"/>
        </w:rPr>
        <w:t xml:space="preserve">3. Activation de l'intégration </w:t>
      </w:r>
      <w:r>
        <w:rPr>
          <w:color w:val="1F2937"/>
          <w:sz w:val="21"/>
        </w:rPr>
        <w:t>passage de BANKMATCH_INTEGRATION_ENABLED à true une fois le contrat testé.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Module AI Fraud Detection</w:t>
      </w:r>
    </w:p>
    <w:p>
      <w:pPr>
        <w:keepNext/>
        <w:spacing w:before="240" w:after="80"/>
      </w:pPr>
      <w:r>
        <w:rPr>
          <w:rFonts w:ascii="Calibri" w:hAnsi="Calibri"/>
          <w:b/>
          <w:color w:val="166534"/>
          <w:sz w:val="24"/>
        </w:rPr>
        <w:t>✅ Fait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Moteur de règles (Phase 1 + 2) : </w:t>
      </w:r>
      <w:r>
        <w:rPr>
          <w:rFonts w:ascii="Calibri" w:hAnsi="Calibri"/>
          <w:color w:val="1F2937"/>
          <w:sz w:val="21"/>
        </w:rPr>
        <w:t>seuil réglementaire TRACFIN, retrait cash important, mots-clés sensibles LAB/FT, montant exceptionnel vs historique, compte dormant réactivé, nouvel IBAN bénéficiaire, doublons/paiements répétitifs, fractionnement — tout est testé (test_rules_engine.py, 100 % des branches).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Modèle ML : </w:t>
      </w:r>
      <w:r>
        <w:rPr>
          <w:rFonts w:ascii="Calibri" w:hAnsi="Calibri"/>
          <w:color w:val="1F2937"/>
          <w:sz w:val="21"/>
        </w:rPr>
        <w:t>Random Forest + SHAP intégrés, fusion règles/IA (build_transaction_output), tests dédiés (test_ml_fusion.py).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Moteur de graphe Neo4j (Phase 3) : </w:t>
      </w:r>
      <w:r>
        <w:rPr>
          <w:rFonts w:ascii="Calibri" w:hAnsi="Calibri"/>
          <w:color w:val="1F2937"/>
          <w:sz w:val="21"/>
        </w:rPr>
        <w:t>détection de réseaux de fraude, paiements circulaires, flux réciproques (collusion) — implémenté et testé (test_graph_engine.py, test_graph_endpoints.py).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Persistance Supabase (Phase 4) : </w:t>
      </w:r>
      <w:r>
        <w:rPr>
          <w:rFonts w:ascii="Calibri" w:hAnsi="Calibri"/>
          <w:color w:val="1F2937"/>
          <w:sz w:val="21"/>
        </w:rPr>
        <w:t>sauvegarde des alertes, lecture via /api/transactions, gestion d'erreur 502 propre (test_persistence.py).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Sécurité : </w:t>
      </w:r>
      <w:r>
        <w:rPr>
          <w:rFonts w:ascii="Calibri" w:hAnsi="Calibri"/>
          <w:color w:val="1F2937"/>
          <w:sz w:val="21"/>
        </w:rPr>
        <w:t>JWT interne (internal_auth.py) avec flag DISABLE_INTERNAL_AUTH pour le dev autonome, conforme au pattern demandé par Dhirar. CORS restreint et dynamique par variable d'environnement (ALLOWED_ORIGINS), désactivé en dur en production. Docs Swagger/Redoc désactivées en production.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Observabilité &amp; Docker : </w:t>
      </w:r>
      <w:r>
        <w:rPr>
          <w:rFonts w:ascii="Calibri" w:hAnsi="Calibri"/>
          <w:color w:val="1F2937"/>
          <w:sz w:val="21"/>
        </w:rPr>
        <w:t>logging JSON structuré + request_id + header X-Request-ID, cohérent avec Multi-Banking. HEALTHCHECK Docker ajouté.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Frontend Angular : </w:t>
      </w:r>
      <w:r>
        <w:rPr>
          <w:rFonts w:ascii="Calibri" w:hAnsi="Calibri"/>
          <w:color w:val="1F2937"/>
          <w:sz w:val="21"/>
        </w:rPr>
        <w:t>dashboard complet (vue d'ensemble, détection hybride, graphe, explicabilité SHAP, règles métier, config des seuils), page transactions, page "cas d'usage" pour la démo, tests unitaires (services + composants).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Renommage mongo_transaction_id → transaction_reference : </w:t>
      </w:r>
      <w:r>
        <w:rPr>
          <w:rFonts w:ascii="Calibri" w:hAnsi="Calibri"/>
          <w:color w:val="1F2937"/>
          <w:sz w:val="21"/>
        </w:rPr>
        <w:t>appliqué dans main.py, rules_engine.py, les factories de tests et send_test.py, conformément à la remarque de Dhirar (ce n'était pas un vrai ObjectId Mongo, juste un hash SHA-256).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4"/>
        </w:rPr>
        <w:t>⚠️ À corriger / vigilance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Incohérence frontend restante : </w:t>
      </w:r>
      <w:r>
        <w:rPr>
          <w:rFonts w:ascii="Calibri" w:hAnsi="Calibri"/>
          <w:color w:val="1F2937"/>
          <w:sz w:val="21"/>
        </w:rPr>
        <w:t>le client OpenAPI généré (api/model/transactionInput.ts, transactionOutput.ts) et fraud-alerts.service.ts utilisent encore mongo_transaction_id. Il faut régénérer le client (ou patcher openapi.json/api-spec.yaml) pour aligner sur transaction_reference côté backend, sinon le payload envoyé par Angular ne correspondra plus au schéma Pydantic attendu.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Test en doublon : </w:t>
      </w:r>
      <w:r>
        <w:rPr>
          <w:rFonts w:ascii="Calibri" w:hAnsi="Calibri"/>
          <w:color w:val="1F2937"/>
          <w:sz w:val="21"/>
        </w:rPr>
        <w:t>test_main.py (à la racine du dossier backend/) fait doublon avec tests/test_api.py — à nettoyer avant la revue finale.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Endpoint /api/token en doublon : </w:t>
      </w:r>
      <w:r>
        <w:rPr>
          <w:rFonts w:ascii="Calibri" w:hAnsi="Calibri"/>
          <w:color w:val="1F2937"/>
          <w:sz w:val="21"/>
        </w:rPr>
        <w:t>génération de token de test exposée même hors du bloc conditionnel ENABLE_TEST_TOKEN_ENDPOINT (deux définitions présentes dans main.py) — à vérifier, ne doit clairement pas rester actif en production.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🔜 Reste à faire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Réactivation du JWT : </w:t>
      </w:r>
      <w:r>
        <w:rPr>
          <w:rFonts w:ascii="Calibri" w:hAnsi="Calibri"/>
          <w:color w:val="1F2937"/>
          <w:sz w:val="21"/>
        </w:rPr>
        <w:t>en environnement de démo (actuellement désactivé, comme noté dans le guide d'intégration).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Configuration de production : </w:t>
      </w:r>
      <w:r>
        <w:rPr>
          <w:rFonts w:ascii="Calibri" w:hAnsi="Calibri"/>
          <w:color w:val="1F2937"/>
          <w:sz w:val="21"/>
        </w:rPr>
        <w:t>basculer ENVIRONMENT=production + valeurs réelles SUPABASE_URL/KEY + INTERNAL_SERVICE_SECRET dédié pour le déploiement centralisé.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Module Multi-Banking</w:t>
      </w:r>
    </w:p>
    <w:p>
      <w:pPr>
        <w:keepNext/>
        <w:spacing w:before="240" w:after="80"/>
      </w:pPr>
      <w:r>
        <w:rPr>
          <w:rFonts w:ascii="Calibri" w:hAnsi="Calibri"/>
          <w:b/>
          <w:color w:val="166534"/>
          <w:sz w:val="24"/>
        </w:rPr>
        <w:t>✅ Fait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Parsers bancaires : </w:t>
      </w:r>
      <w:r>
        <w:rPr>
          <w:rFonts w:ascii="Calibri" w:hAnsi="Calibri"/>
          <w:color w:val="1F2937"/>
          <w:sz w:val="21"/>
        </w:rPr>
        <w:t>CSV, CAMT.053, MT940 — tous testés (test_csv_parser.py, test_camt053_parser.py, test_mt940_parser.py).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Bug MT940 corrigé : </w:t>
      </w:r>
      <w:r>
        <w:rPr>
          <w:rFonts w:ascii="Calibri" w:hAnsi="Calibri"/>
          <w:color w:val="1F2937"/>
          <w:sz w:val="21"/>
        </w:rPr>
        <w:t>la regex du "funds code" mangeait le premier chiffre du montant ((\w)? → ([A-Za-z])?), documenté avec tests de non-régression.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Validation métier (validators.py) : </w:t>
      </w:r>
      <w:r>
        <w:rPr>
          <w:rFonts w:ascii="Calibri" w:hAnsi="Calibri"/>
          <w:color w:val="1F2937"/>
          <w:sz w:val="21"/>
        </w:rPr>
        <w:t>IBAN obligatoire, date ISO valide, montant non nul, détection de doublons par hash.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Endpoints &amp; Pipeline : </w:t>
      </w:r>
      <w:r>
        <w:rPr>
          <w:rFonts w:ascii="Calibri" w:hAnsi="Calibri"/>
          <w:color w:val="1F2937"/>
          <w:sz w:val="21"/>
        </w:rPr>
        <w:t>/health, /api/multi-banking/parse, /validate, /ingest — tous protégés par verify_internal_token. build_fraud_payload() transforme les transactions pivot au format attendu par /api/analyze, avec forward du token interne.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Authentification service-to-service vers BankMatch : </w:t>
      </w:r>
      <w:r>
        <w:rPr>
          <w:rFonts w:ascii="Calibri" w:hAnsi="Calibri"/>
          <w:color w:val="1F2937"/>
          <w:sz w:val="21"/>
        </w:rPr>
        <w:t>bankmatch_client.py prêt (generate_service_token, import_transactions, start_matching), mais désactivé via BANKMATCH_INTEGRATION_ENABLED=false — conforme à la consigne de Dhirar de ne pas activer avant confirmation du contrat.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Tests, Docker &amp; Logs : </w:t>
      </w:r>
      <w:r>
        <w:rPr>
          <w:rFonts w:ascii="Calibri" w:hAnsi="Calibri"/>
          <w:color w:val="1F2937"/>
          <w:sz w:val="21"/>
        </w:rPr>
        <w:t>tests d'intégration mockés (test_ingest_integration.py, via respx) : succès, erreur 502, intégration BankMatch désactivée, auth interne sur /parse. HEALTHCHECK Docker ajouté. Logging structuré aligné sur Fraud Detection.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4"/>
        </w:rPr>
        <w:t>⚠️ À corriger / vigilance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Soldes hardcodés à 0.0 : </w:t>
      </w:r>
      <w:r>
        <w:rPr>
          <w:rFonts w:ascii="Calibri" w:hAnsi="Calibri"/>
          <w:color w:val="1F2937"/>
          <w:sz w:val="21"/>
        </w:rPr>
        <w:t>dans build_fraud_payload() (receiver_balance_before/after) : point volontairement laissé en attente, comme validé avec Dhirar — ne pas implémenter tant que la source de la donnée (fichier bancaire vs BankMatch) n'est pas clarifiée.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Fichiers temporaires corrompus : </w:t>
      </w:r>
      <w:r>
        <w:rPr>
          <w:rFonts w:ascii="Calibri" w:hAnsi="Calibri"/>
          <w:color w:val="1F2937"/>
          <w:sz w:val="21"/>
        </w:rPr>
        <w:t>fichiers temp_main.py (racine du repo, multi-banking/, fraud-detection/) contiennent du contenu corrompu (artefacts d'édition avec des `n littéraux) — à supprimer, ce sont des résidus qui ne doivent pas être commités.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Conformité aux spécifications : </w:t>
      </w:r>
      <w:r>
        <w:rPr>
          <w:rFonts w:ascii="Calibri" w:hAnsi="Calibri"/>
          <w:color w:val="1F2937"/>
          <w:sz w:val="21"/>
        </w:rPr>
        <w:t>pas de moteur de matching réimplémenté (conforme : "le moteur reste celui de BankMatch"). Pas d'accès direct à MongoDB (conforme).</w:t>
      </w: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🔜 Reste à faire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Activation BankMatch : </w:t>
      </w:r>
      <w:r>
        <w:rPr>
          <w:rFonts w:ascii="Calibri" w:hAnsi="Calibri"/>
          <w:color w:val="1F2937"/>
          <w:sz w:val="21"/>
        </w:rPr>
        <w:t>attendre le contrat d'authentification définitif de BankMatch avant d'activer BANKMATCH_INTEGRATION_ENABLED.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Nettoyage du repo : </w:t>
      </w:r>
      <w:r>
        <w:rPr>
          <w:rFonts w:ascii="Calibri" w:hAnsi="Calibri"/>
          <w:color w:val="1F2937"/>
          <w:sz w:val="21"/>
        </w:rPr>
        <w:t>nettoyer les fichiers temporaires corrompus avant la revue.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1F2937"/>
          <w:sz w:val="21"/>
        </w:rPr>
        <w:t xml:space="preserve">Clarification des soldes : </w:t>
      </w:r>
      <w:r>
        <w:rPr>
          <w:rFonts w:ascii="Calibri" w:hAnsi="Calibri"/>
          <w:color w:val="1F2937"/>
          <w:sz w:val="21"/>
        </w:rPr>
        <w:t>clarifier la source des soldes récepteur/émetteur avec l'équipe BankMatch.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Synthèse pour le message à envoyer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DF4"/>
            <w:tcBorders>
              <w:left w:val="single" w:sz="36" w:space="0" w:color="0D9488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alibri" w:hAnsi="Calibri"/>
                <w:b/>
                <w:i w:val="0"/>
                <w:color w:val="1E3A8A"/>
                <w:sz w:val="21"/>
              </w:rPr>
              <w:t>Bonjour Hedi,</w:t>
              <w:br/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Merci pour le retour ! Pour la version principale intégrant tous les modules : d'après les derniers échanges avec Dhirar, l'intégration centralisée n'a pas encore démarré côté BankMatch (contrats d'authentification et endpoints encore en finalisation de son côté).</w:t>
              <w:br/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De notre côté, </w:t>
            </w:r>
            <w:r>
              <w:rPr>
                <w:rFonts w:ascii="Calibri" w:hAnsi="Calibri"/>
                <w:b/>
                <w:i w:val="0"/>
                <w:color w:val="166534"/>
                <w:sz w:val="21"/>
              </w:rPr>
              <w:t>Fraud Detection et Multi-Banking sont prêts à être branchés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: moteur de règles + ML + graphe Neo4j + persistance Supabase pour Fraud Detection ; parsers CSV/CAMT.053/MT940 + validation + pipeline vers Fraud Detection pour Multi-Banking. Les deux ont l'auth interne JWT préparée (DISABLE_INTERNAL_AUTH pour dev autonome), le logging structuré, et les HEALTHCHECK Docker.</w:t>
              <w:br/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Points encore ouverts avant intégration : confirmation du contrat d'identifiant de transaction, attribution des secrets internes de prod, et activation de BANKMATCH_INTEGRATION_ENABLED une fois le pattern d'auth service-to-service validé par Dhirar. On reste donc dépendants de son feu vert plutôt que d'une tâche technique de notre côté.</w:t>
            </w:r>
          </w:p>
        </w:tc>
      </w:tr>
    </w:tbl>
    <w:p>
      <w:pPr>
        <w:spacing w:after="120"/>
      </w:pPr>
    </w:p>
    <w:p>
      <w:pPr>
        <w:spacing w:before="320"/>
      </w:pPr>
      <w:r>
        <w:rPr>
          <w:rFonts w:ascii="Calibri" w:hAnsi="Calibri"/>
          <w:i/>
          <w:color w:val="6B7280"/>
          <w:sz w:val="18"/>
        </w:rPr>
        <w:t>Document généré à partir de l'analyse du code source des deux modules (backend + frontend + tests).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