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02B5" w:rsidRDefault="009A24BF">
      <w:pPr>
        <w:spacing w:after="100"/>
        <w:jc w:val="center"/>
      </w:pPr>
      <w:r>
        <w:rPr>
          <w:b/>
          <w:bCs/>
          <w:color w:val="1F4E79"/>
          <w:sz w:val="36"/>
          <w:szCs w:val="36"/>
        </w:rPr>
        <w:t>Module IA — Rapprochement Multi-Banques</w:t>
      </w:r>
    </w:p>
    <w:p w:rsidR="009202B5" w:rsidRDefault="009202B5">
      <w:pPr>
        <w:pBdr>
          <w:bottom w:val="single" w:sz="6" w:space="1" w:color="1F4E79"/>
        </w:pBdr>
        <w:spacing w:after="300"/>
      </w:pPr>
    </w:p>
    <w:p w:rsidR="009202B5" w:rsidRDefault="009A24BF">
      <w:pPr>
        <w:pStyle w:val="Titre1"/>
        <w:spacing w:before="300" w:after="150"/>
      </w:pPr>
      <w:r>
        <w:t>Contexte et organisation du dépôt</w:t>
      </w:r>
    </w:p>
    <w:p w:rsidR="009202B5" w:rsidRDefault="009A24BF">
      <w:pPr>
        <w:spacing w:after="120"/>
      </w:pPr>
      <w:r>
        <w:t xml:space="preserve">Ce module s'inscrit dans l'architecture cible en </w:t>
      </w:r>
      <w:proofErr w:type="spellStart"/>
      <w:r>
        <w:t>microservices</w:t>
      </w:r>
      <w:proofErr w:type="spellEnd"/>
      <w:r>
        <w:t xml:space="preserve"> IA indépendants de </w:t>
      </w:r>
      <w:proofErr w:type="spellStart"/>
      <w:r>
        <w:t>BankMatch</w:t>
      </w:r>
      <w:proofErr w:type="spellEnd"/>
      <w:r>
        <w:t xml:space="preserve">, aux côtés des modules déjà en cours (IA </w:t>
      </w:r>
      <w:proofErr w:type="spellStart"/>
      <w:r>
        <w:t>Fraud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, IA </w:t>
      </w:r>
      <w:proofErr w:type="spellStart"/>
      <w:r>
        <w:t>Accounting</w:t>
      </w:r>
      <w:proofErr w:type="spellEnd"/>
      <w:r>
        <w:t xml:space="preserve"> Intelligence, IA </w:t>
      </w:r>
      <w:proofErr w:type="spellStart"/>
      <w:r>
        <w:t>Copilot</w:t>
      </w:r>
      <w:proofErr w:type="spellEnd"/>
      <w:r>
        <w:t xml:space="preserve">). Il vient combler un manque réel de l'existant : le calcul actuel </w:t>
      </w:r>
      <w:r>
        <w:t xml:space="preserve">de « </w:t>
      </w:r>
      <w:proofErr w:type="spellStart"/>
      <w:r>
        <w:t>reconciliationStatus</w:t>
      </w:r>
      <w:proofErr w:type="spellEnd"/>
      <w:r>
        <w:t xml:space="preserve"> » dans le module </w:t>
      </w:r>
      <w:proofErr w:type="spellStart"/>
      <w:r>
        <w:t>Fraud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n'effectue aucune comparaison entre relevés bancaires et écritures comptables — il applique uniquement une règle à trois branches basée sur la fraude et le montant. Le présent module construit donc</w:t>
      </w:r>
      <w:r>
        <w:t xml:space="preserve"> un véritable moteur de rapprochement, généralisable à plusieurs banques et plusieurs formats d'export.</w:t>
      </w:r>
    </w:p>
    <w:p w:rsidR="009202B5" w:rsidRDefault="009A24BF">
      <w:pPr>
        <w:pStyle w:val="Titre1"/>
        <w:spacing w:before="300" w:after="150"/>
      </w:pPr>
      <w:r>
        <w:t>1. Qui sera responsable de ce module</w:t>
      </w:r>
    </w:p>
    <w:p w:rsidR="009202B5" w:rsidRDefault="009A24BF">
      <w:pPr>
        <w:spacing w:after="120"/>
      </w:pPr>
      <w:r>
        <w:t xml:space="preserve">Je suis responsable de bout en bout du module Rapprochement Multi-Banques </w:t>
      </w:r>
      <w:r>
        <w:t xml:space="preserve">: cadrage fonctionnel, développement du moteur de </w:t>
      </w:r>
      <w:proofErr w:type="spellStart"/>
      <w:r>
        <w:t>matching</w:t>
      </w:r>
      <w:proofErr w:type="spellEnd"/>
      <w:r>
        <w:t>, exposition de l'API, tests et documentation, en coordination avec :</w:t>
      </w:r>
    </w:p>
    <w:p w:rsidR="009202B5" w:rsidRDefault="009A24BF">
      <w:pPr>
        <w:pStyle w:val="Paragraphedeliste"/>
        <w:numPr>
          <w:ilvl w:val="0"/>
          <w:numId w:val="2"/>
        </w:numPr>
        <w:spacing w:after="60"/>
      </w:pPr>
      <w:r>
        <w:t xml:space="preserve">IA </w:t>
      </w:r>
      <w:proofErr w:type="spellStart"/>
      <w:r>
        <w:t>Fraud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>, pour le contrat d'intégration du statut de rapprochement (consommation en lecture de mon API) ;</w:t>
      </w:r>
    </w:p>
    <w:p w:rsidR="009202B5" w:rsidRDefault="009A24BF">
      <w:pPr>
        <w:pStyle w:val="Paragraphedeliste"/>
        <w:numPr>
          <w:ilvl w:val="0"/>
          <w:numId w:val="2"/>
        </w:numPr>
        <w:spacing w:after="60"/>
      </w:pPr>
      <w:proofErr w:type="spellStart"/>
      <w:r>
        <w:t>Dhi</w:t>
      </w:r>
      <w:r>
        <w:t>rar</w:t>
      </w:r>
      <w:proofErr w:type="spellEnd"/>
      <w:r>
        <w:t xml:space="preserve">, pour la coordination de l'intégration finale dans la plateforme </w:t>
      </w:r>
      <w:proofErr w:type="spellStart"/>
      <w:r>
        <w:t>BankMatch</w:t>
      </w:r>
      <w:proofErr w:type="spellEnd"/>
      <w:r>
        <w:t xml:space="preserve"> et l'accès à la base </w:t>
      </w:r>
      <w:proofErr w:type="spellStart"/>
      <w:r>
        <w:t>MongoDB</w:t>
      </w:r>
      <w:proofErr w:type="spellEnd"/>
      <w:r>
        <w:t xml:space="preserve"> Atlas dédiée au projet ;</w:t>
      </w:r>
    </w:p>
    <w:p w:rsidR="009202B5" w:rsidRDefault="009A24BF">
      <w:pPr>
        <w:pStyle w:val="Paragraphedeliste"/>
        <w:numPr>
          <w:ilvl w:val="0"/>
          <w:numId w:val="2"/>
        </w:numPr>
        <w:spacing w:after="60"/>
      </w:pPr>
      <w:proofErr w:type="gramStart"/>
      <w:r>
        <w:t>le</w:t>
      </w:r>
      <w:proofErr w:type="gramEnd"/>
      <w:r>
        <w:t xml:space="preserve"> chef de projet, pour la validation du périmètre MVP et des délais.</w:t>
      </w:r>
    </w:p>
    <w:p w:rsidR="009202B5" w:rsidRDefault="009A24BF">
      <w:pPr>
        <w:pStyle w:val="Titre1"/>
        <w:spacing w:before="300" w:after="150"/>
      </w:pPr>
      <w:r>
        <w:t>2. Approche technique envisagée</w:t>
      </w:r>
    </w:p>
    <w:p w:rsidR="009202B5" w:rsidRDefault="009A24BF">
      <w:pPr>
        <w:pStyle w:val="Titre2"/>
        <w:spacing w:before="200" w:after="100"/>
      </w:pPr>
      <w:r>
        <w:t>2.1 Constat de départ</w:t>
      </w:r>
    </w:p>
    <w:p w:rsidR="009202B5" w:rsidRDefault="009A24BF">
      <w:pPr>
        <w:spacing w:after="120"/>
      </w:pPr>
      <w:r>
        <w:t xml:space="preserve">Le rapprochement actuel ne compare pas réellement </w:t>
      </w:r>
      <w:proofErr w:type="spellStart"/>
      <w:r>
        <w:t>bank_statement_lines</w:t>
      </w:r>
      <w:proofErr w:type="spellEnd"/>
      <w:r>
        <w:t xml:space="preserve"> et </w:t>
      </w:r>
      <w:proofErr w:type="spellStart"/>
      <w:r>
        <w:t>accounting_entries</w:t>
      </w:r>
      <w:proofErr w:type="spellEnd"/>
      <w:r>
        <w:t xml:space="preserve"> (tables déjà modélisées côté génération de données de test, mais jamais confrontées entre elles). L'objectif est de construire ce moteur de comparaison, pas seule</w:t>
      </w:r>
      <w:r>
        <w:t>ment d'en étendre un existant.</w:t>
      </w:r>
    </w:p>
    <w:p w:rsidR="009202B5" w:rsidRDefault="009A24BF">
      <w:pPr>
        <w:pStyle w:val="Titre2"/>
        <w:spacing w:before="200" w:after="100"/>
      </w:pPr>
      <w:r>
        <w:t>2.2 Schéma pivot (normalisation multi-banques)</w:t>
      </w:r>
    </w:p>
    <w:p w:rsidR="009202B5" w:rsidRDefault="009A24BF">
      <w:pPr>
        <w:spacing w:after="120"/>
      </w:pPr>
      <w:r>
        <w:t>Chaque banque exporte ses relevés dans un format différent. Toute donnée entrante est convertie vers un schéma pivot unique avant traitement, incluant : identifiant tenant, ident</w:t>
      </w:r>
      <w:r>
        <w:t>ifiant banque (</w:t>
      </w:r>
      <w:proofErr w:type="spellStart"/>
      <w:r>
        <w:t>bank_id</w:t>
      </w:r>
      <w:proofErr w:type="spellEnd"/>
      <w:r>
        <w:t xml:space="preserve">), IBAN de compte, date de valeur, libellé, montant signé, devise, IBAN de contrepartie, référence, format source, et un hash de </w:t>
      </w:r>
      <w:proofErr w:type="spellStart"/>
      <w:r>
        <w:t>dédoublonnage</w:t>
      </w:r>
      <w:proofErr w:type="spellEnd"/>
      <w:r>
        <w:t xml:space="preserve"> pour éviter les ré-imports en double.</w:t>
      </w:r>
    </w:p>
    <w:p w:rsidR="009202B5" w:rsidRDefault="009A24BF">
      <w:pPr>
        <w:pStyle w:val="Titre2"/>
        <w:spacing w:before="200" w:after="100"/>
      </w:pPr>
      <w:r>
        <w:t>2.3 Ingestion multi-formats</w:t>
      </w:r>
    </w:p>
    <w:p w:rsidR="009202B5" w:rsidRDefault="009A24BF">
      <w:pPr>
        <w:spacing w:after="120"/>
      </w:pPr>
      <w:r>
        <w:t xml:space="preserve">Architecture en parseurs </w:t>
      </w:r>
      <w:r>
        <w:t xml:space="preserve">interchangeables (pattern </w:t>
      </w:r>
      <w:proofErr w:type="spellStart"/>
      <w:r>
        <w:t>Strategy</w:t>
      </w:r>
      <w:proofErr w:type="spellEnd"/>
      <w:r>
        <w:t xml:space="preserve">), chaque parseur convertissant un format source vers le schéma pivot, sans impact sur le moteur de </w:t>
      </w:r>
      <w:proofErr w:type="spellStart"/>
      <w:r>
        <w:t>matching</w:t>
      </w:r>
      <w:proofErr w:type="spellEnd"/>
      <w:r>
        <w:t xml:space="preserve"> lors de l'ajout d'une nouvelle banque :</w:t>
      </w:r>
    </w:p>
    <w:p w:rsidR="009202B5" w:rsidRDefault="009A24BF">
      <w:pPr>
        <w:pStyle w:val="Paragraphedeliste"/>
        <w:numPr>
          <w:ilvl w:val="0"/>
          <w:numId w:val="2"/>
        </w:numPr>
        <w:spacing w:after="60"/>
      </w:pPr>
      <w:r>
        <w:t>CSV générique (format déjà utilisé par les données de test existantes) ;</w:t>
      </w:r>
    </w:p>
    <w:p w:rsidR="009202B5" w:rsidRDefault="009A24BF">
      <w:pPr>
        <w:pStyle w:val="Paragraphedeliste"/>
        <w:numPr>
          <w:ilvl w:val="0"/>
          <w:numId w:val="2"/>
        </w:numPr>
        <w:spacing w:after="60"/>
      </w:pPr>
      <w:r>
        <w:t>CAMT.053 (norme ISO 20022, standard européen le plus répandu) ;</w:t>
      </w:r>
    </w:p>
    <w:p w:rsidR="009202B5" w:rsidRDefault="009A24BF">
      <w:pPr>
        <w:pStyle w:val="Paragraphedeliste"/>
        <w:numPr>
          <w:ilvl w:val="0"/>
          <w:numId w:val="2"/>
        </w:numPr>
        <w:spacing w:after="60"/>
      </w:pPr>
      <w:r>
        <w:t>MT940 (format SWIFT, encore utilisé par certains établissements).</w:t>
      </w:r>
    </w:p>
    <w:p w:rsidR="009202B5" w:rsidRDefault="009A24BF">
      <w:pPr>
        <w:pStyle w:val="Titre2"/>
        <w:spacing w:before="200" w:after="100"/>
      </w:pPr>
      <w:r>
        <w:t xml:space="preserve">2.4 Moteur de </w:t>
      </w:r>
      <w:proofErr w:type="spellStart"/>
      <w:r>
        <w:t>matching</w:t>
      </w:r>
      <w:proofErr w:type="spellEnd"/>
      <w:r>
        <w:t xml:space="preserve"> en deux passes</w:t>
      </w:r>
    </w:p>
    <w:p w:rsidR="009202B5" w:rsidRDefault="009A24BF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Passe 1 — </w:t>
      </w:r>
      <w:proofErr w:type="spellStart"/>
      <w:r>
        <w:rPr>
          <w:b/>
          <w:bCs/>
        </w:rPr>
        <w:t>Matching</w:t>
      </w:r>
      <w:proofErr w:type="spellEnd"/>
      <w:r>
        <w:rPr>
          <w:b/>
          <w:bCs/>
        </w:rPr>
        <w:t xml:space="preserve"> exact (score de confiance 1.0) : </w:t>
      </w:r>
      <w:r>
        <w:t>même IBAN de compte, même montant (t</w:t>
      </w:r>
      <w:r>
        <w:t>olérance centime), date de valeur dans une fenêtre de ±1 jour, et référence identique ou libellé fortement similaire.</w:t>
      </w:r>
    </w:p>
    <w:p w:rsidR="009202B5" w:rsidRDefault="009A24BF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Passe 2 — </w:t>
      </w:r>
      <w:proofErr w:type="spellStart"/>
      <w:r>
        <w:rPr>
          <w:b/>
          <w:bCs/>
        </w:rPr>
        <w:t>Matching</w:t>
      </w:r>
      <w:proofErr w:type="spellEnd"/>
      <w:r>
        <w:rPr>
          <w:b/>
          <w:bCs/>
        </w:rPr>
        <w:t xml:space="preserve"> approché (score de confiance 0.5 à 0.99) : </w:t>
      </w:r>
      <w:r>
        <w:t>fenêtre de date élargie et configurable (ex. ±5 jours pour délais de compens</w:t>
      </w:r>
      <w:r>
        <w:t xml:space="preserve">ation), similarité de libellé par distance de </w:t>
      </w:r>
      <w:proofErr w:type="spellStart"/>
      <w:r>
        <w:t>Levenshtein</w:t>
      </w:r>
      <w:proofErr w:type="spellEnd"/>
      <w:r>
        <w:t xml:space="preserve"> ou </w:t>
      </w:r>
      <w:proofErr w:type="spellStart"/>
      <w:r>
        <w:t>Jaro</w:t>
      </w:r>
      <w:proofErr w:type="spellEnd"/>
      <w:r>
        <w:t>-Winkler, tolérance sur les montants proches (ex. frais bancaires déduits). Statut PROBABLE_MATCH, jamais validé automatiquement — toujours soumis à revue humaine.</w:t>
      </w:r>
    </w:p>
    <w:p w:rsidR="009202B5" w:rsidRDefault="009A24BF">
      <w:pPr>
        <w:spacing w:after="120"/>
      </w:pPr>
      <w:r>
        <w:t>Chaque décision de rapproch</w:t>
      </w:r>
      <w:r>
        <w:t>ement est accompagnée de facteurs explicatifs (</w:t>
      </w:r>
      <w:proofErr w:type="spellStart"/>
      <w:r>
        <w:t>match_reasons</w:t>
      </w:r>
      <w:proofErr w:type="spellEnd"/>
      <w:r>
        <w:t>), dans le même esprit d'</w:t>
      </w:r>
      <w:proofErr w:type="spellStart"/>
      <w:r>
        <w:t>explicabilité</w:t>
      </w:r>
      <w:proofErr w:type="spellEnd"/>
      <w:r>
        <w:t xml:space="preserve"> que le module </w:t>
      </w:r>
      <w:proofErr w:type="spellStart"/>
      <w:r>
        <w:t>Fraud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(cohérence UX et </w:t>
      </w:r>
      <w:proofErr w:type="spellStart"/>
      <w:r>
        <w:t>auditabilité</w:t>
      </w:r>
      <w:proofErr w:type="spellEnd"/>
      <w:r>
        <w:t xml:space="preserve"> réglementaire).</w:t>
      </w:r>
    </w:p>
    <w:p w:rsidR="009202B5" w:rsidRDefault="009A24BF">
      <w:pPr>
        <w:pStyle w:val="Titre2"/>
        <w:spacing w:before="200" w:after="100"/>
      </w:pPr>
      <w:r>
        <w:t>2.5 Cas limites couverts dès le MVP</w:t>
      </w:r>
    </w:p>
    <w:p w:rsidR="009202B5" w:rsidRDefault="009A24BF">
      <w:pPr>
        <w:pStyle w:val="Paragraphedeliste"/>
        <w:numPr>
          <w:ilvl w:val="0"/>
          <w:numId w:val="2"/>
        </w:numPr>
        <w:spacing w:after="60"/>
      </w:pPr>
      <w:proofErr w:type="spellStart"/>
      <w:r>
        <w:t>Multi-devise</w:t>
      </w:r>
      <w:proofErr w:type="spellEnd"/>
      <w:r>
        <w:t xml:space="preserve"> : deux comptes en devises différ</w:t>
      </w:r>
      <w:r>
        <w:t>entes ne matchent jamais sans conversion explicite (hors périmètre MVP, ou taux figé si nécessaire) ;</w:t>
      </w:r>
    </w:p>
    <w:p w:rsidR="009202B5" w:rsidRDefault="009A24BF">
      <w:pPr>
        <w:pStyle w:val="Paragraphedeliste"/>
        <w:numPr>
          <w:ilvl w:val="0"/>
          <w:numId w:val="2"/>
        </w:numPr>
        <w:spacing w:after="60"/>
      </w:pPr>
      <w:r>
        <w:lastRenderedPageBreak/>
        <w:t xml:space="preserve">Rapprochement </w:t>
      </w:r>
      <w:proofErr w:type="spellStart"/>
      <w:r>
        <w:t>many</w:t>
      </w:r>
      <w:proofErr w:type="spellEnd"/>
      <w:r>
        <w:t>-to-one / one-to-</w:t>
      </w:r>
      <w:proofErr w:type="spellStart"/>
      <w:r>
        <w:t>many</w:t>
      </w:r>
      <w:proofErr w:type="spellEnd"/>
      <w:r>
        <w:t xml:space="preserve"> : un virement pouvant correspondre à plusieurs écritures (facture scindée) via un statut PARTIAL_MATCH_GROUP ;</w:t>
      </w:r>
    </w:p>
    <w:p w:rsidR="009202B5" w:rsidRDefault="009A24BF">
      <w:pPr>
        <w:pStyle w:val="Paragraphedeliste"/>
        <w:numPr>
          <w:ilvl w:val="0"/>
          <w:numId w:val="2"/>
        </w:numPr>
        <w:spacing w:after="60"/>
      </w:pPr>
      <w:r>
        <w:t>Déd</w:t>
      </w:r>
      <w:r>
        <w:t xml:space="preserve">uplication à l'import : un même relevé </w:t>
      </w:r>
      <w:proofErr w:type="spellStart"/>
      <w:r>
        <w:t>ré-importé</w:t>
      </w:r>
      <w:proofErr w:type="spellEnd"/>
      <w:r>
        <w:t xml:space="preserve"> ne doit pas dupliquer les lignes (</w:t>
      </w:r>
      <w:proofErr w:type="spellStart"/>
      <w:r>
        <w:t>source_line_hash</w:t>
      </w:r>
      <w:proofErr w:type="spellEnd"/>
      <w:r>
        <w:t>) ;</w:t>
      </w:r>
    </w:p>
    <w:p w:rsidR="009202B5" w:rsidRDefault="009A24BF">
      <w:pPr>
        <w:pStyle w:val="Paragraphedeliste"/>
        <w:numPr>
          <w:ilvl w:val="0"/>
          <w:numId w:val="2"/>
        </w:numPr>
        <w:spacing w:after="60"/>
      </w:pPr>
      <w:r>
        <w:t>Lignes déjà rapprochées manuellement : exclues des relances automatiques du moteur.</w:t>
      </w:r>
    </w:p>
    <w:p w:rsidR="009202B5" w:rsidRDefault="009A24BF">
      <w:pPr>
        <w:pStyle w:val="Titre2"/>
        <w:spacing w:before="200" w:after="100"/>
      </w:pPr>
      <w:r>
        <w:t>2.6 API exposée (contrat d'intégration)</w:t>
      </w:r>
    </w:p>
    <w:p w:rsidR="009202B5" w:rsidRDefault="009A24BF">
      <w:pPr>
        <w:pStyle w:val="Paragraphedeliste"/>
        <w:numPr>
          <w:ilvl w:val="0"/>
          <w:numId w:val="2"/>
        </w:numPr>
        <w:spacing w:after="60"/>
      </w:pPr>
      <w:r>
        <w:t>POST /api/</w:t>
      </w:r>
      <w:proofErr w:type="spellStart"/>
      <w:r>
        <w:t>reconciliation</w:t>
      </w:r>
      <w:proofErr w:type="spellEnd"/>
      <w:r>
        <w:t>/imp</w:t>
      </w:r>
      <w:r>
        <w:t>ort — import d'un relevé, format détecté ou spécifié ;</w:t>
      </w:r>
    </w:p>
    <w:p w:rsidR="009202B5" w:rsidRDefault="009A24BF">
      <w:pPr>
        <w:pStyle w:val="Paragraphedeliste"/>
        <w:numPr>
          <w:ilvl w:val="0"/>
          <w:numId w:val="2"/>
        </w:numPr>
        <w:spacing w:after="60"/>
      </w:pPr>
      <w:r>
        <w:t>POST /api/</w:t>
      </w:r>
      <w:proofErr w:type="spellStart"/>
      <w:r>
        <w:t>reconciliation</w:t>
      </w:r>
      <w:proofErr w:type="spellEnd"/>
      <w:r>
        <w:t>/</w:t>
      </w:r>
      <w:proofErr w:type="spellStart"/>
      <w:r>
        <w:t>run</w:t>
      </w:r>
      <w:proofErr w:type="spellEnd"/>
      <w:r>
        <w:t xml:space="preserve"> — lance le </w:t>
      </w:r>
      <w:proofErr w:type="spellStart"/>
      <w:r>
        <w:t>matching</w:t>
      </w:r>
      <w:proofErr w:type="spellEnd"/>
      <w:r>
        <w:t xml:space="preserve"> sur un tenant / compte / période ;</w:t>
      </w:r>
    </w:p>
    <w:p w:rsidR="009202B5" w:rsidRDefault="009A24BF">
      <w:pPr>
        <w:pStyle w:val="Paragraphedeliste"/>
        <w:numPr>
          <w:ilvl w:val="0"/>
          <w:numId w:val="2"/>
        </w:numPr>
        <w:spacing w:after="60"/>
      </w:pPr>
      <w:r>
        <w:t>GET /api/</w:t>
      </w:r>
      <w:proofErr w:type="spellStart"/>
      <w:r>
        <w:t>reconciliation</w:t>
      </w:r>
      <w:proofErr w:type="spellEnd"/>
      <w:r>
        <w:t>/</w:t>
      </w:r>
      <w:proofErr w:type="spellStart"/>
      <w:r>
        <w:t>status</w:t>
      </w:r>
      <w:proofErr w:type="spellEnd"/>
      <w:r>
        <w:t xml:space="preserve"> — statut de rapprochement d'une transaction donnée (consommé par </w:t>
      </w:r>
      <w:proofErr w:type="spellStart"/>
      <w:r>
        <w:t>Fraud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>) ;</w:t>
      </w:r>
    </w:p>
    <w:p w:rsidR="009202B5" w:rsidRDefault="009A24BF">
      <w:pPr>
        <w:pStyle w:val="Paragraphedeliste"/>
        <w:numPr>
          <w:ilvl w:val="0"/>
          <w:numId w:val="2"/>
        </w:numPr>
        <w:spacing w:after="60"/>
      </w:pPr>
      <w:r>
        <w:t>GE</w:t>
      </w:r>
      <w:r>
        <w:t>T /api/</w:t>
      </w:r>
      <w:proofErr w:type="spellStart"/>
      <w:r>
        <w:t>reconciliation</w:t>
      </w:r>
      <w:proofErr w:type="spellEnd"/>
      <w:r>
        <w:t>/</w:t>
      </w:r>
      <w:proofErr w:type="spellStart"/>
      <w:r>
        <w:t>unmatched</w:t>
      </w:r>
      <w:proofErr w:type="spellEnd"/>
      <w:r>
        <w:t xml:space="preserve"> — file des lignes non rapprochées pour revue manuelle ;</w:t>
      </w:r>
    </w:p>
    <w:p w:rsidR="009202B5" w:rsidRDefault="009A24BF">
      <w:pPr>
        <w:pStyle w:val="Paragraphedeliste"/>
        <w:numPr>
          <w:ilvl w:val="0"/>
          <w:numId w:val="2"/>
        </w:numPr>
        <w:spacing w:after="60"/>
      </w:pPr>
      <w:r>
        <w:t>POST /api/</w:t>
      </w:r>
      <w:proofErr w:type="spellStart"/>
      <w:r>
        <w:t>reconciliation</w:t>
      </w:r>
      <w:proofErr w:type="spellEnd"/>
      <w:r>
        <w:t>/</w:t>
      </w:r>
      <w:proofErr w:type="spellStart"/>
      <w:r>
        <w:t>manual</w:t>
      </w:r>
      <w:proofErr w:type="spellEnd"/>
      <w:r>
        <w:t>-match — validation d'un PROBABLE_MATCH ou rapprochement forcé ;</w:t>
      </w:r>
    </w:p>
    <w:p w:rsidR="009202B5" w:rsidRDefault="009A24BF">
      <w:pPr>
        <w:pStyle w:val="Paragraphedeliste"/>
        <w:numPr>
          <w:ilvl w:val="0"/>
          <w:numId w:val="2"/>
        </w:numPr>
        <w:spacing w:after="60"/>
      </w:pPr>
      <w:r>
        <w:t>GET /api/</w:t>
      </w:r>
      <w:proofErr w:type="spellStart"/>
      <w:r>
        <w:t>reconciliation</w:t>
      </w:r>
      <w:proofErr w:type="spellEnd"/>
      <w:r>
        <w:t>/</w:t>
      </w:r>
      <w:proofErr w:type="spellStart"/>
      <w:r>
        <w:t>health</w:t>
      </w:r>
      <w:proofErr w:type="spellEnd"/>
      <w:r>
        <w:t xml:space="preserve"> — supervision du </w:t>
      </w:r>
      <w:proofErr w:type="spellStart"/>
      <w:r>
        <w:t>microservice</w:t>
      </w:r>
      <w:proofErr w:type="spellEnd"/>
      <w:r>
        <w:t>.</w:t>
      </w:r>
    </w:p>
    <w:p w:rsidR="009202B5" w:rsidRDefault="009A24BF">
      <w:pPr>
        <w:spacing w:after="120"/>
      </w:pPr>
      <w:r>
        <w:t>Authentifi</w:t>
      </w:r>
      <w:r>
        <w:t xml:space="preserve">cation JWT activée dès le départ (contrairement à la dette technique actuellement documentée sur le module </w:t>
      </w:r>
      <w:proofErr w:type="spellStart"/>
      <w:r>
        <w:t>Fraud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>, où elle est désactivée en développement).</w:t>
      </w:r>
    </w:p>
    <w:p w:rsidR="009202B5" w:rsidRDefault="009A24BF">
      <w:pPr>
        <w:pStyle w:val="Titre2"/>
        <w:spacing w:before="200" w:after="100"/>
      </w:pPr>
      <w:r>
        <w:t xml:space="preserve">2.7 </w:t>
      </w:r>
      <w:proofErr w:type="spellStart"/>
      <w:r>
        <w:t>Stack</w:t>
      </w:r>
      <w:proofErr w:type="spellEnd"/>
      <w:r>
        <w:t xml:space="preserve"> et déploiement</w:t>
      </w:r>
    </w:p>
    <w:p w:rsidR="009202B5" w:rsidRDefault="009A24BF">
      <w:pPr>
        <w:pStyle w:val="Paragraphedeliste"/>
        <w:numPr>
          <w:ilvl w:val="0"/>
          <w:numId w:val="2"/>
        </w:numPr>
        <w:spacing w:after="60"/>
      </w:pPr>
      <w:proofErr w:type="spellStart"/>
      <w:r>
        <w:t>FastAPI</w:t>
      </w:r>
      <w:proofErr w:type="spellEnd"/>
      <w:r>
        <w:t xml:space="preserve"> + </w:t>
      </w:r>
      <w:proofErr w:type="spellStart"/>
      <w:r>
        <w:t>Pydantic</w:t>
      </w:r>
      <w:proofErr w:type="spellEnd"/>
      <w:r>
        <w:t xml:space="preserve">, cohérent avec le style déjà en place sur le module </w:t>
      </w:r>
      <w:proofErr w:type="spellStart"/>
      <w:r>
        <w:t>Fraud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;</w:t>
      </w:r>
    </w:p>
    <w:p w:rsidR="009202B5" w:rsidRDefault="009A24BF">
      <w:pPr>
        <w:pStyle w:val="Paragraphedeliste"/>
        <w:numPr>
          <w:ilvl w:val="0"/>
          <w:numId w:val="2"/>
        </w:numPr>
        <w:spacing w:after="60"/>
      </w:pPr>
      <w:r>
        <w:t xml:space="preserve">Persistance sur la base </w:t>
      </w:r>
      <w:proofErr w:type="spellStart"/>
      <w:r>
        <w:t>MongoDB</w:t>
      </w:r>
      <w:proofErr w:type="spellEnd"/>
      <w:r>
        <w:t xml:space="preserve"> Atlas dédiée au projet (partagée par </w:t>
      </w:r>
      <w:proofErr w:type="spellStart"/>
      <w:r>
        <w:t>Dhirar</w:t>
      </w:r>
      <w:proofErr w:type="spellEnd"/>
      <w:r>
        <w:t>), utilisée exclusivement pour ce projet ;</w:t>
      </w:r>
    </w:p>
    <w:p w:rsidR="009202B5" w:rsidRDefault="009A24BF">
      <w:pPr>
        <w:pStyle w:val="Paragraphedeliste"/>
        <w:numPr>
          <w:ilvl w:val="0"/>
          <w:numId w:val="2"/>
        </w:numPr>
        <w:spacing w:after="60"/>
      </w:pPr>
      <w:proofErr w:type="spellStart"/>
      <w:r>
        <w:t>Dockerfile</w:t>
      </w:r>
      <w:proofErr w:type="spellEnd"/>
      <w:r>
        <w:t xml:space="preserve"> et docker-</w:t>
      </w:r>
      <w:proofErr w:type="spellStart"/>
      <w:r>
        <w:t>compose.yml</w:t>
      </w:r>
      <w:proofErr w:type="spellEnd"/>
      <w:r>
        <w:t xml:space="preserve"> propres au servi</w:t>
      </w:r>
      <w:r>
        <w:t>ce, sur un port dédié distinct des autres modules, pour permettre l'exécution en parallèle en local sans conflit.</w:t>
      </w:r>
    </w:p>
    <w:p w:rsidR="009202B5" w:rsidRDefault="009A24BF">
      <w:pPr>
        <w:pStyle w:val="Titre1"/>
        <w:spacing w:before="300" w:after="150"/>
      </w:pPr>
      <w:r>
        <w:t>3. Principales étapes de développement</w:t>
      </w:r>
    </w:p>
    <w:p w:rsidR="009202B5" w:rsidRDefault="009A24BF">
      <w:pPr>
        <w:pStyle w:val="Paragraphedeliste"/>
        <w:numPr>
          <w:ilvl w:val="0"/>
          <w:numId w:val="2"/>
        </w:numPr>
        <w:spacing w:after="60"/>
      </w:pPr>
      <w:r>
        <w:t>Étape 1 — Cadrage &amp; modélisation : schéma pivot, comptes multi-banques, formats à supporter en priorité</w:t>
      </w:r>
      <w:r>
        <w:t xml:space="preserve"> ;</w:t>
      </w:r>
    </w:p>
    <w:p w:rsidR="009202B5" w:rsidRDefault="009A24BF">
      <w:pPr>
        <w:pStyle w:val="Paragraphedeliste"/>
        <w:numPr>
          <w:ilvl w:val="0"/>
          <w:numId w:val="2"/>
        </w:numPr>
        <w:spacing w:after="60"/>
      </w:pPr>
      <w:r>
        <w:t>Étape 2 — Ingestion &amp; normalisation : développement des parseurs par format bancaire ;</w:t>
      </w:r>
    </w:p>
    <w:p w:rsidR="009202B5" w:rsidRDefault="009A24BF">
      <w:pPr>
        <w:pStyle w:val="Paragraphedeliste"/>
        <w:numPr>
          <w:ilvl w:val="0"/>
          <w:numId w:val="2"/>
        </w:numPr>
        <w:spacing w:after="60"/>
      </w:pPr>
      <w:r>
        <w:t xml:space="preserve">Étape 3 — Moteur de </w:t>
      </w:r>
      <w:proofErr w:type="spellStart"/>
      <w:r>
        <w:t>matching</w:t>
      </w:r>
      <w:proofErr w:type="spellEnd"/>
      <w:r>
        <w:t xml:space="preserve"> : passe exacte puis passe approchée, file de revue manuelle pour les cas non tranchés automatiquement ;</w:t>
      </w:r>
    </w:p>
    <w:p w:rsidR="009202B5" w:rsidRDefault="009A24BF">
      <w:pPr>
        <w:pStyle w:val="Paragraphedeliste"/>
        <w:numPr>
          <w:ilvl w:val="0"/>
          <w:numId w:val="2"/>
        </w:numPr>
        <w:spacing w:after="60"/>
      </w:pPr>
      <w:r>
        <w:t xml:space="preserve">Étape 4 — Intégration : exposition de l'API de statut, documentation du contrat pour consommation par le module </w:t>
      </w:r>
      <w:proofErr w:type="spellStart"/>
      <w:r>
        <w:t>Fraud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(sans modification de son code) ;</w:t>
      </w:r>
    </w:p>
    <w:p w:rsidR="009202B5" w:rsidRDefault="009A24BF">
      <w:pPr>
        <w:pStyle w:val="Paragraphedeliste"/>
        <w:numPr>
          <w:ilvl w:val="0"/>
          <w:numId w:val="2"/>
        </w:numPr>
        <w:spacing w:after="60"/>
      </w:pPr>
      <w:r>
        <w:t>Étape 5 — Tests &amp; documentation : tests unitaires par parseur, tests du moteur sur jeux de don</w:t>
      </w:r>
      <w:r>
        <w:t xml:space="preserve">nées synthétiques (exact / approché / non-matché / </w:t>
      </w:r>
      <w:proofErr w:type="spellStart"/>
      <w:r>
        <w:t>multi-devise</w:t>
      </w:r>
      <w:proofErr w:type="spellEnd"/>
      <w:r>
        <w:t>), tests d'intégration API, README complet (formats supportés, lancement, variables d'environnement, exemples d'appels).</w:t>
      </w:r>
    </w:p>
    <w:p w:rsidR="009202B5" w:rsidRDefault="009A24BF">
      <w:pPr>
        <w:pStyle w:val="Titre1"/>
        <w:spacing w:before="300" w:after="150"/>
      </w:pPr>
      <w:r>
        <w:t>4. Estimation des délais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3800"/>
        <w:gridCol w:w="1900"/>
      </w:tblGrid>
      <w:tr w:rsidR="009202B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shd w:val="clear" w:color="auto" w:fill="1F4E79"/>
          </w:tcPr>
          <w:p w:rsidR="009202B5" w:rsidRDefault="009A24BF">
            <w:r>
              <w:rPr>
                <w:b/>
                <w:bCs/>
              </w:rPr>
              <w:t>Étape</w:t>
            </w:r>
          </w:p>
        </w:tc>
        <w:tc>
          <w:tcPr>
            <w:tcW w:w="3800" w:type="dxa"/>
            <w:shd w:val="clear" w:color="auto" w:fill="1F4E79"/>
          </w:tcPr>
          <w:p w:rsidR="009202B5" w:rsidRDefault="009A24BF">
            <w:r>
              <w:rPr>
                <w:b/>
                <w:bCs/>
              </w:rPr>
              <w:t>Contenu</w:t>
            </w:r>
          </w:p>
        </w:tc>
        <w:tc>
          <w:tcPr>
            <w:tcW w:w="1900" w:type="dxa"/>
            <w:shd w:val="clear" w:color="auto" w:fill="1F4E79"/>
          </w:tcPr>
          <w:p w:rsidR="009202B5" w:rsidRDefault="009A24BF">
            <w:r>
              <w:rPr>
                <w:b/>
                <w:bCs/>
              </w:rPr>
              <w:t>Délai estimé</w:t>
            </w:r>
          </w:p>
        </w:tc>
      </w:tr>
      <w:tr w:rsidR="009202B5">
        <w:tblPrEx>
          <w:tblCellMar>
            <w:top w:w="0" w:type="dxa"/>
            <w:bottom w:w="0" w:type="dxa"/>
          </w:tblCellMar>
        </w:tblPrEx>
        <w:tc>
          <w:tcPr>
            <w:tcW w:w="3800" w:type="dxa"/>
          </w:tcPr>
          <w:p w:rsidR="009202B5" w:rsidRDefault="009A24BF">
            <w:r>
              <w:t>1. Cadrage &amp; modéli</w:t>
            </w:r>
            <w:r>
              <w:t>sation</w:t>
            </w:r>
          </w:p>
        </w:tc>
        <w:tc>
          <w:tcPr>
            <w:tcW w:w="3800" w:type="dxa"/>
          </w:tcPr>
          <w:p w:rsidR="009202B5" w:rsidRDefault="009A24BF">
            <w:r>
              <w:t>Schéma pivot, comptes multi-banques, priorisation des formats</w:t>
            </w:r>
          </w:p>
        </w:tc>
        <w:tc>
          <w:tcPr>
            <w:tcW w:w="1900" w:type="dxa"/>
          </w:tcPr>
          <w:p w:rsidR="009202B5" w:rsidRDefault="009A24BF">
            <w:r>
              <w:t>~1 semaine</w:t>
            </w:r>
          </w:p>
        </w:tc>
      </w:tr>
      <w:tr w:rsidR="009202B5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2F2F2"/>
          </w:tcPr>
          <w:p w:rsidR="009202B5" w:rsidRDefault="009A24BF">
            <w:r>
              <w:t>2. Ingestion &amp; normalisation</w:t>
            </w:r>
          </w:p>
        </w:tc>
        <w:tc>
          <w:tcPr>
            <w:tcW w:w="3800" w:type="dxa"/>
            <w:shd w:val="clear" w:color="auto" w:fill="F2F2F2"/>
          </w:tcPr>
          <w:p w:rsidR="009202B5" w:rsidRDefault="009A24BF">
            <w:r>
              <w:t>Parseurs CSV / CAMT.053 / MT940</w:t>
            </w:r>
          </w:p>
        </w:tc>
        <w:tc>
          <w:tcPr>
            <w:tcW w:w="1900" w:type="dxa"/>
            <w:shd w:val="clear" w:color="auto" w:fill="F2F2F2"/>
          </w:tcPr>
          <w:p w:rsidR="009202B5" w:rsidRDefault="009A24BF">
            <w:r>
              <w:t>~1 semaine</w:t>
            </w:r>
          </w:p>
        </w:tc>
      </w:tr>
      <w:tr w:rsidR="009202B5">
        <w:tblPrEx>
          <w:tblCellMar>
            <w:top w:w="0" w:type="dxa"/>
            <w:bottom w:w="0" w:type="dxa"/>
          </w:tblCellMar>
        </w:tblPrEx>
        <w:tc>
          <w:tcPr>
            <w:tcW w:w="3800" w:type="dxa"/>
          </w:tcPr>
          <w:p w:rsidR="009202B5" w:rsidRDefault="009A24BF">
            <w:r>
              <w:t xml:space="preserve">3. Moteur de </w:t>
            </w:r>
            <w:proofErr w:type="spellStart"/>
            <w:r>
              <w:t>matching</w:t>
            </w:r>
            <w:proofErr w:type="spellEnd"/>
          </w:p>
        </w:tc>
        <w:tc>
          <w:tcPr>
            <w:tcW w:w="3800" w:type="dxa"/>
          </w:tcPr>
          <w:p w:rsidR="009202B5" w:rsidRDefault="009A24BF">
            <w:r>
              <w:t>Passe exacte + passe approchée + file de revue</w:t>
            </w:r>
          </w:p>
        </w:tc>
        <w:tc>
          <w:tcPr>
            <w:tcW w:w="1900" w:type="dxa"/>
          </w:tcPr>
          <w:p w:rsidR="009202B5" w:rsidRDefault="009A24BF">
            <w:r>
              <w:t>~1</w:t>
            </w:r>
            <w:r>
              <w:t xml:space="preserve"> semaines</w:t>
            </w:r>
          </w:p>
        </w:tc>
      </w:tr>
      <w:tr w:rsidR="009202B5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2F2F2"/>
          </w:tcPr>
          <w:p w:rsidR="009202B5" w:rsidRDefault="009A24BF">
            <w:r>
              <w:t>4. Intégration</w:t>
            </w:r>
          </w:p>
        </w:tc>
        <w:tc>
          <w:tcPr>
            <w:tcW w:w="3800" w:type="dxa"/>
            <w:shd w:val="clear" w:color="auto" w:fill="F2F2F2"/>
          </w:tcPr>
          <w:p w:rsidR="009202B5" w:rsidRDefault="009A24BF">
            <w:r>
              <w:t>API de statut, documentation du contrat</w:t>
            </w:r>
          </w:p>
        </w:tc>
        <w:tc>
          <w:tcPr>
            <w:tcW w:w="1900" w:type="dxa"/>
            <w:shd w:val="clear" w:color="auto" w:fill="F2F2F2"/>
          </w:tcPr>
          <w:p w:rsidR="009202B5" w:rsidRDefault="009A24BF">
            <w:r>
              <w:t>~2 à 3 jours</w:t>
            </w:r>
          </w:p>
        </w:tc>
      </w:tr>
      <w:tr w:rsidR="009202B5">
        <w:tblPrEx>
          <w:tblCellMar>
            <w:top w:w="0" w:type="dxa"/>
            <w:bottom w:w="0" w:type="dxa"/>
          </w:tblCellMar>
        </w:tblPrEx>
        <w:tc>
          <w:tcPr>
            <w:tcW w:w="3800" w:type="dxa"/>
          </w:tcPr>
          <w:p w:rsidR="009202B5" w:rsidRDefault="009A24BF">
            <w:r>
              <w:t>5. Tests &amp; documentation</w:t>
            </w:r>
          </w:p>
        </w:tc>
        <w:tc>
          <w:tcPr>
            <w:tcW w:w="3800" w:type="dxa"/>
          </w:tcPr>
          <w:p w:rsidR="009202B5" w:rsidRDefault="009A24BF">
            <w:r>
              <w:t>Tests unitaires, tests d'intégration, README</w:t>
            </w:r>
          </w:p>
        </w:tc>
        <w:tc>
          <w:tcPr>
            <w:tcW w:w="1900" w:type="dxa"/>
          </w:tcPr>
          <w:p w:rsidR="009202B5" w:rsidRDefault="009A24BF">
            <w:r>
              <w:t>~2 à 3 jours</w:t>
            </w:r>
          </w:p>
        </w:tc>
      </w:tr>
    </w:tbl>
    <w:p w:rsidR="009202B5" w:rsidRDefault="009A24BF">
      <w:pPr>
        <w:spacing w:before="200" w:after="200"/>
      </w:pPr>
      <w:r>
        <w:rPr>
          <w:b/>
          <w:bCs/>
        </w:rPr>
        <w:t>Délai total estimé pour un MVP exploitable : environ 2 à 3</w:t>
      </w:r>
      <w:r>
        <w:rPr>
          <w:b/>
          <w:bCs/>
        </w:rPr>
        <w:t xml:space="preserve"> semaines</w:t>
      </w:r>
      <w:r>
        <w:t>, incluant un premier compte pilote sur une seule banque avant généralisation multi-établissements.</w:t>
      </w:r>
    </w:p>
    <w:p w:rsidR="009202B5" w:rsidRDefault="009202B5">
      <w:pPr>
        <w:spacing w:after="120"/>
      </w:pPr>
      <w:bookmarkStart w:id="0" w:name="_GoBack"/>
      <w:bookmarkEnd w:id="0"/>
    </w:p>
    <w:sectPr w:rsidR="009202B5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4B3DB2"/>
    <w:multiLevelType w:val="hybridMultilevel"/>
    <w:tmpl w:val="4CF60748"/>
    <w:lvl w:ilvl="0" w:tplc="BE1CBD66">
      <w:start w:val="1"/>
      <w:numFmt w:val="bullet"/>
      <w:lvlText w:val="•"/>
      <w:lvlJc w:val="left"/>
      <w:pPr>
        <w:ind w:left="504" w:hanging="288"/>
      </w:pPr>
    </w:lvl>
    <w:lvl w:ilvl="1" w:tplc="AAE6D2B4">
      <w:start w:val="1"/>
      <w:numFmt w:val="bullet"/>
      <w:lvlText w:val="◦"/>
      <w:lvlJc w:val="left"/>
      <w:pPr>
        <w:ind w:left="1008" w:hanging="288"/>
      </w:pPr>
    </w:lvl>
    <w:lvl w:ilvl="2" w:tplc="C486CBFA">
      <w:numFmt w:val="decimal"/>
      <w:lvlText w:val=""/>
      <w:lvlJc w:val="left"/>
    </w:lvl>
    <w:lvl w:ilvl="3" w:tplc="CF0EC152">
      <w:numFmt w:val="decimal"/>
      <w:lvlText w:val=""/>
      <w:lvlJc w:val="left"/>
    </w:lvl>
    <w:lvl w:ilvl="4" w:tplc="1C78954A">
      <w:numFmt w:val="decimal"/>
      <w:lvlText w:val=""/>
      <w:lvlJc w:val="left"/>
    </w:lvl>
    <w:lvl w:ilvl="5" w:tplc="CCA089B0">
      <w:numFmt w:val="decimal"/>
      <w:lvlText w:val=""/>
      <w:lvlJc w:val="left"/>
    </w:lvl>
    <w:lvl w:ilvl="6" w:tplc="8CBEF1E2">
      <w:numFmt w:val="decimal"/>
      <w:lvlText w:val=""/>
      <w:lvlJc w:val="left"/>
    </w:lvl>
    <w:lvl w:ilvl="7" w:tplc="0C265288">
      <w:numFmt w:val="decimal"/>
      <w:lvlText w:val=""/>
      <w:lvlJc w:val="left"/>
    </w:lvl>
    <w:lvl w:ilvl="8" w:tplc="9BC669B6">
      <w:numFmt w:val="decimal"/>
      <w:lvlText w:val=""/>
      <w:lvlJc w:val="left"/>
    </w:lvl>
  </w:abstractNum>
  <w:abstractNum w:abstractNumId="1" w15:restartNumberingAfterBreak="0">
    <w:nsid w:val="71F80C2E"/>
    <w:multiLevelType w:val="hybridMultilevel"/>
    <w:tmpl w:val="F8882584"/>
    <w:lvl w:ilvl="0" w:tplc="B80415DC">
      <w:start w:val="1"/>
      <w:numFmt w:val="bullet"/>
      <w:lvlText w:val="●"/>
      <w:lvlJc w:val="left"/>
      <w:pPr>
        <w:ind w:left="720" w:hanging="360"/>
      </w:pPr>
    </w:lvl>
    <w:lvl w:ilvl="1" w:tplc="FA12293A">
      <w:start w:val="1"/>
      <w:numFmt w:val="bullet"/>
      <w:lvlText w:val="○"/>
      <w:lvlJc w:val="left"/>
      <w:pPr>
        <w:ind w:left="1440" w:hanging="360"/>
      </w:pPr>
    </w:lvl>
    <w:lvl w:ilvl="2" w:tplc="23B2EAB6">
      <w:start w:val="1"/>
      <w:numFmt w:val="bullet"/>
      <w:lvlText w:val="■"/>
      <w:lvlJc w:val="left"/>
      <w:pPr>
        <w:ind w:left="2160" w:hanging="360"/>
      </w:pPr>
    </w:lvl>
    <w:lvl w:ilvl="3" w:tplc="EEB4259A">
      <w:start w:val="1"/>
      <w:numFmt w:val="bullet"/>
      <w:lvlText w:val="●"/>
      <w:lvlJc w:val="left"/>
      <w:pPr>
        <w:ind w:left="2880" w:hanging="360"/>
      </w:pPr>
    </w:lvl>
    <w:lvl w:ilvl="4" w:tplc="E920F002">
      <w:start w:val="1"/>
      <w:numFmt w:val="bullet"/>
      <w:lvlText w:val="○"/>
      <w:lvlJc w:val="left"/>
      <w:pPr>
        <w:ind w:left="3600" w:hanging="360"/>
      </w:pPr>
    </w:lvl>
    <w:lvl w:ilvl="5" w:tplc="3C726886">
      <w:start w:val="1"/>
      <w:numFmt w:val="bullet"/>
      <w:lvlText w:val="■"/>
      <w:lvlJc w:val="left"/>
      <w:pPr>
        <w:ind w:left="4320" w:hanging="360"/>
      </w:pPr>
    </w:lvl>
    <w:lvl w:ilvl="6" w:tplc="568A819A">
      <w:start w:val="1"/>
      <w:numFmt w:val="bullet"/>
      <w:lvlText w:val="●"/>
      <w:lvlJc w:val="left"/>
      <w:pPr>
        <w:ind w:left="5040" w:hanging="360"/>
      </w:pPr>
    </w:lvl>
    <w:lvl w:ilvl="7" w:tplc="50183C00">
      <w:start w:val="1"/>
      <w:numFmt w:val="bullet"/>
      <w:lvlText w:val="●"/>
      <w:lvlJc w:val="left"/>
      <w:pPr>
        <w:ind w:left="5760" w:hanging="360"/>
      </w:pPr>
    </w:lvl>
    <w:lvl w:ilvl="8" w:tplc="2968C68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02B5"/>
    <w:rsid w:val="009202B5"/>
    <w:rsid w:val="009A2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17DB0"/>
  <w15:docId w15:val="{9C2CE4CA-06BF-4238-B9E0-E6B585445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980</Words>
  <Characters>5392</Characters>
  <Application>Microsoft Office Word</Application>
  <DocSecurity>0</DocSecurity>
  <Lines>44</Lines>
  <Paragraphs>12</Paragraphs>
  <ScaleCrop>false</ScaleCrop>
  <Company/>
  <LinksUpToDate>false</LinksUpToDate>
  <CharactersWithSpaces>6360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2026-07-28T21:27:00Z</dcterms:created>
  <dcterms:modified xsi:type="dcterms:W3CDTF">2026-07-28T21:26:00Z</dcterms:modified>
</cp:coreProperties>
</file>