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Screen Design — marking and feedback sheet</w:t>
      </w:r>
    </w:p>
    <w:p>
      <w:pPr>
        <w:spacing w:after="100" w:before="0"/>
      </w:pPr>
      <w:r>
        <w:rPr>
          <w:rFonts w:ascii="Arial" w:cs="Arial" w:eastAsia="Arial" w:hAnsi="Arial"/>
          <w:color w:val="52606D"/>
          <w:sz w:val="16"/>
          <w:szCs w:val="16"/>
        </w:rPr>
        <w:t xml:space="preserve">Mark against the four criteria from the assessment brief. Highlight the descriptor that fits best in each row, and give each criterion a mark from the scale below. </w:t>
      </w:r>
      <w:r>
        <w:rPr>
          <w:rFonts w:ascii="Arial" w:cs="Arial" w:eastAsia="Arial" w:hAnsi="Arial"/>
          <w:b/>
          <w:bCs/>
          <w:color w:val="1F2933"/>
          <w:sz w:val="16"/>
          <w:szCs w:val="16"/>
        </w:rPr>
        <w:t xml:space="preserve">One overall mark is awarded for the portfolio as a whole; the criteria are not weighted separately.</w:t>
      </w:r>
    </w:p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4000"/>
        <w:gridCol w:w="3778"/>
        <w:gridCol w:w="2700"/>
      </w:tblGrid>
      <w:tr>
        <w:tc>
          <w:tcPr>
            <w:tcW w:type="dxa" w:w="5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Module  </w:t>
            </w:r>
            <w:r>
              <w:rPr>
                <w:rFonts w:ascii="Arial" w:cs="Arial" w:eastAsia="Arial" w:hAnsi="Arial"/>
                <w:color w:val="52606D"/>
                <w:sz w:val="17"/>
                <w:szCs w:val="17"/>
              </w:rPr>
              <w:t xml:space="preserve">Screen Design · 1L4Z0045 · Level 4 · 30 credits</w:t>
            </w:r>
          </w:p>
        </w:tc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Assessment  </w:t>
            </w:r>
            <w:r>
              <w:rPr>
                <w:rFonts w:ascii="Arial" w:cs="Arial" w:eastAsia="Arial" w:hAnsi="Arial"/>
                <w:color w:val="52606D"/>
                <w:sz w:val="17"/>
                <w:szCs w:val="17"/>
              </w:rPr>
              <w:t xml:space="preserve">Portfolio · 100%</w:t>
            </w:r>
          </w:p>
        </w:tc>
        <w:tc>
          <w:tcPr>
            <w:tcW w:type="dxa" w:w="37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Year  </w:t>
            </w:r>
            <w:r>
              <w:rPr>
                <w:rFonts w:ascii="Arial" w:cs="Arial" w:eastAsia="Arial" w:hAnsi="Arial"/>
                <w:color w:val="52606D"/>
                <w:sz w:val="17"/>
                <w:szCs w:val="17"/>
              </w:rPr>
              <w:t xml:space="preserve">2026–27</w:t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Overall mark  </w:t>
            </w:r>
            <w:r>
              <w:rPr>
                <w:rFonts w:ascii="Arial" w:cs="Arial" w:eastAsia="Arial" w:hAnsi="Arial"/>
                <w:color w:val="52606D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Student ID  </w:t>
            </w:r>
            <w:r>
              <w:rPr>
                <w:rFonts w:ascii="Arial" w:cs="Arial" w:eastAsia="Arial" w:hAnsi="Arial"/>
                <w:color w:val="52606D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First marker  </w:t>
            </w:r>
            <w:r>
              <w:rPr>
                <w:rFonts w:ascii="Arial" w:cs="Arial" w:eastAsia="Arial" w:hAnsi="Arial"/>
                <w:color w:val="52606D"/>
                <w:sz w:val="17"/>
                <w:szCs w:val="17"/>
              </w:rPr>
              <w:t xml:space="preserve"/>
            </w:r>
          </w:p>
        </w:tc>
        <w:tc>
          <w:tcPr>
            <w:tcW w:type="dxa" w:w="37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Second marker  </w:t>
            </w:r>
            <w:r>
              <w:rPr>
                <w:rFonts w:ascii="Arial" w:cs="Arial" w:eastAsia="Arial" w:hAnsi="Arial"/>
                <w:color w:val="52606D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Date  </w:t>
            </w:r>
            <w:r>
              <w:rPr>
                <w:rFonts w:ascii="Arial" w:cs="Arial" w:eastAsia="Arial" w:hAnsi="Arial"/>
                <w:color w:val="52606D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/>
      </w:r>
    </w:p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40"/>
        <w:gridCol w:w="2240"/>
        <w:gridCol w:w="2240"/>
        <w:gridCol w:w="2240"/>
        <w:gridCol w:w="2240"/>
        <w:gridCol w:w="1278"/>
      </w:tblGrid>
      <w:tr>
        <w:trPr>
          <w:tblHeader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Criterion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Fail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606D"/>
                <w:sz w:val="14"/>
                <w:szCs w:val="14"/>
              </w:rPr>
              <w:t xml:space="preserve">0–39%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Third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606D"/>
                <w:sz w:val="14"/>
                <w:szCs w:val="14"/>
              </w:rPr>
              <w:t xml:space="preserve">40–49%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2:2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606D"/>
                <w:sz w:val="14"/>
                <w:szCs w:val="14"/>
              </w:rPr>
              <w:t xml:space="preserve">50–59%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2:1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606D"/>
                <w:sz w:val="14"/>
                <w:szCs w:val="14"/>
              </w:rPr>
              <w:t xml:space="preserve">60–69%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606D"/>
                <w:sz w:val="14"/>
                <w:szCs w:val="14"/>
              </w:rPr>
              <w:t xml:space="preserve">70%+</w:t>
            </w:r>
          </w:p>
        </w:tc>
        <w:tc>
          <w:tcPr>
            <w:tcW w:type="dxa" w:w="12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Mark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1. Visual Design &amp; Communication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606D"/>
                <w:sz w:val="14"/>
                <w:szCs w:val="14"/>
              </w:rPr>
              <w:t xml:space="preserve">Applies design principles (layout, typography, colour, hierarchy) to create clear, purposeful screen-based communication.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Design choices are absent or arbitrary. No evidence of intentional application of layout, typography, or colour.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Some design principles applied inconsistently. Layout and typography functional but basic; limited visual coherence.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Design principles applied with reasonable competence. Visual hierarchy is mostly clear; layouts functional and considered.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Design principles applied confidently and purposefully. Strong visual coherence; typography and colour reinforce communication intent.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Sophisticated, distinctive visual language. Design decisions are precisely motivated, creating an exceptional and coherent screen experience.</w:t>
            </w:r>
          </w:p>
        </w:tc>
        <w:tc>
          <w:tcPr>
            <w:tcW w:type="dxa" w:w="12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2. User-Centred Thinking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606D"/>
                <w:sz w:val="14"/>
                <w:szCs w:val="14"/>
              </w:rPr>
              <w:t xml:space="preserve">Demonstrates awareness of user needs, accessibility, and usability in design decisions.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No evidence of user-centred consideration. Accessibility or usability not addressed.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Basic acknowledgement of user needs. Some accessibility consideration but inconsistently applied.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User needs are clearly considered. WCAG-informed decisions evident. Prototype is navigable and accessible.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Strong user-centred rationale. Accessibility, inclusivity, and usability are well integrated throughout the prototype.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Exceptional user-centred approach. Prototype demonstrates sophisticated awareness of diverse user needs, inclusive design, and cross-cultural considerations.</w:t>
            </w:r>
          </w:p>
        </w:tc>
        <w:tc>
          <w:tcPr>
            <w:tcW w:type="dxa" w:w="12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3. Technical Craft &amp; Process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606D"/>
                <w:sz w:val="14"/>
                <w:szCs w:val="14"/>
              </w:rPr>
              <w:t xml:space="preserve">Demonstrates competence in screen design tools and shows a credible design process (sketches, wireframes, prototype).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Process artefacts absent or inadequate. Prototype incomplete or non-functional.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Process artefacts present but underdeveloped. Prototype demonstrates basic tool competence.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Coherent design process evident. Prototype is well-constructed and shows appropriate tool proficiency.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Well-developed, iterative process. Prototype is polished, responsive, and demonstrates confident tool use.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Exemplary process and craft. Prototype is production-quality; process documentation shows critical, iterative thinking.</w:t>
            </w:r>
          </w:p>
        </w:tc>
        <w:tc>
          <w:tcPr>
            <w:tcW w:type="dxa" w:w="12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7"/>
                <w:szCs w:val="17"/>
              </w:rPr>
              <w:t xml:space="preserve">4. Critical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606D"/>
                <w:sz w:val="14"/>
                <w:szCs w:val="14"/>
              </w:rPr>
              <w:t xml:space="preserve">Reflective rationale evaluates design decisions with reference to design theory, user needs, and wider considerations (e.g. ethics, sustainability, AI use).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Reflection absent or descriptive only. No reference to design principles or context.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Basic reflection present. Some reference to design decisions but largely descriptive; limited critical distance.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Clear, structured reflection. Design decisions justified with reference to principles and context; some critical engagement.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Thoughtful, well-evidenced reflection. Evaluates design choices critically; engages with ethical, sustainable, or cultural dimensions.</w:t>
            </w:r>
          </w:p>
        </w:tc>
        <w:tc>
          <w:tcPr>
            <w:tcW w:type="dxa" w:w="22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4"/>
                <w:szCs w:val="14"/>
              </w:rPr>
              <w:t xml:space="preserve">Sophisticated, theoretically grounded reflection. Demonstrates genuine critical autonomy; integrates design theory, ethics, and broader concerns with insight.</w:t>
            </w:r>
          </w:p>
        </w:tc>
        <w:tc>
          <w:tcPr>
            <w:tcW w:type="dxa" w:w="12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/>
            </w:r>
          </w:p>
        </w:tc>
      </w:tr>
    </w:tbl>
    <w:p>
      <w:pPr>
        <w:spacing w:after="30" w:before="90"/>
      </w:pPr>
      <w:r>
        <w:rPr>
          <w:rFonts w:ascii="Arial" w:cs="Arial" w:eastAsia="Arial" w:hAnsi="Arial"/>
          <w:b/>
          <w:bCs/>
          <w:color w:val="1F2933"/>
          <w:sz w:val="15"/>
          <w:szCs w:val="15"/>
        </w:rPr>
        <w:t xml:space="preserve">Marks are given on the university’s stepped scale only:  </w:t>
      </w:r>
      <w:r>
        <w:rPr>
          <w:rFonts w:ascii="Arial" w:cs="Arial" w:eastAsia="Arial" w:hAnsi="Arial"/>
          <w:color w:val="52606D"/>
          <w:sz w:val="15"/>
          <w:szCs w:val="15"/>
        </w:rPr>
        <w:t xml:space="preserve">100 98 95 92  ·  88 85 82  ·  78 75 72  ·  68 65 62  ·  58 55 52  ·  48 45 42  ·  38 35 32  ·  28 25 22  ·  18 15 12  ·  8 5 2 0</w:t>
      </w:r>
    </w:p>
    <w:p>
      <w:pPr>
        <w:spacing w:after="0" w:before="0"/>
      </w:pPr>
      <w:r>
        <w:rPr>
          <w:rFonts w:ascii="Arial" w:cs="Arial" w:eastAsia="Arial" w:hAnsi="Arial"/>
          <w:color w:val="52606D"/>
          <w:sz w:val="15"/>
          <w:szCs w:val="15"/>
        </w:rPr>
        <w:t xml:space="preserve">The overall mark is a judgement the criteria inform, not their sum. If it falls outside the range of the criteria marks, say why under “The overall mark” overleaf.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Feedback</w:t>
      </w:r>
    </w:p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78"/>
      </w:tblGrid>
      <w:tr>
        <w:tc>
          <w:tcPr>
            <w:tcW w:type="dxa" w:w="154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What was done well</w:t>
            </w:r>
            <w:r>
              <w:rPr>
                <w:rFonts w:ascii="Arial" w:cs="Arial" w:eastAsia="Arial" w:hAnsi="Arial"/>
                <w:color w:val="52606D"/>
                <w:sz w:val="15"/>
                <w:szCs w:val="15"/>
              </w:rPr>
              <w:t xml:space="preserve">   two or three specific strengths, each pointing at a section or a screen</w:t>
            </w:r>
          </w:p>
        </w:tc>
      </w:tr>
      <w:tr>
        <w:trPr>
          <w:trHeight w:val="1900" w:hRule="atLeast"/>
        </w:trPr>
        <w:tc>
          <w:tcPr>
            <w:tcW w:type="dxa" w:w="154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/>
      </w:r>
    </w:p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78"/>
      </w:tblGrid>
      <w:tr>
        <w:tc>
          <w:tcPr>
            <w:tcW w:type="dxa" w:w="154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What would have raised the mark</w:t>
            </w:r>
            <w:r>
              <w:rPr>
                <w:rFonts w:ascii="Arial" w:cs="Arial" w:eastAsia="Arial" w:hAnsi="Arial"/>
                <w:color w:val="52606D"/>
                <w:sz w:val="15"/>
                <w:szCs w:val="15"/>
              </w:rPr>
              <w:t xml:space="preserve">   the changes that would have moved this portfolio into the next band</w:t>
            </w:r>
          </w:p>
        </w:tc>
      </w:tr>
      <w:tr>
        <w:trPr>
          <w:trHeight w:val="1900" w:hRule="atLeast"/>
        </w:trPr>
        <w:tc>
          <w:tcPr>
            <w:tcW w:type="dxa" w:w="154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/>
      </w:r>
    </w:p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78"/>
      </w:tblGrid>
      <w:tr>
        <w:tc>
          <w:tcPr>
            <w:tcW w:type="dxa" w:w="154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For your next module</w:t>
            </w:r>
            <w:r>
              <w:rPr>
                <w:rFonts w:ascii="Arial" w:cs="Arial" w:eastAsia="Arial" w:hAnsi="Arial"/>
                <w:color w:val="52606D"/>
                <w:sz w:val="15"/>
                <w:szCs w:val="15"/>
              </w:rPr>
              <w:t xml:space="preserve">   one habit to keep and one to build — feedforward, not a list of faults</w:t>
            </w:r>
          </w:p>
        </w:tc>
      </w:tr>
      <w:tr>
        <w:trPr>
          <w:trHeight w:val="1300" w:hRule="atLeast"/>
        </w:trPr>
        <w:tc>
          <w:tcPr>
            <w:tcW w:type="dxa" w:w="154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/>
      </w:r>
    </w:p>
    <w:tbl>
      <w:tblPr>
        <w:tblW w:type="dxa" w:w="154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78"/>
      </w:tblGrid>
      <w:tr>
        <w:tc>
          <w:tcPr>
            <w:tcW w:type="dxa" w:w="154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9ECE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20"/>
                <w:szCs w:val="20"/>
              </w:rPr>
              <w:t xml:space="preserve">The overall mark</w:t>
            </w:r>
            <w:r>
              <w:rPr>
                <w:rFonts w:ascii="Arial" w:cs="Arial" w:eastAsia="Arial" w:hAnsi="Arial"/>
                <w:color w:val="52606D"/>
                <w:sz w:val="15"/>
                <w:szCs w:val="15"/>
              </w:rPr>
              <w:t xml:space="preserve">   one sentence, required only if it sits outside the range of the criteria marks</w:t>
            </w:r>
          </w:p>
        </w:tc>
      </w:tr>
      <w:tr>
        <w:trPr>
          <w:trHeight w:val="700" w:hRule="atLeast"/>
        </w:trPr>
        <w:tc>
          <w:tcPr>
            <w:tcW w:type="dxa" w:w="1547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/>
            </w:r>
          </w:p>
        </w:tc>
      </w:tr>
    </w:tbl>
    <w:sectPr>
      <w:pgSz w:w="16838" w:h="11906" w:orient="landscape"/>
      <w:pgMar w:top="600" w:right="680" w:bottom="56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Design — marking and feedback sheet</dc:title>
  <dc:creator>Screen Design module team</dc:creator>
  <cp:lastModifiedBy>Un-named</cp:lastModifiedBy>
  <cp:revision>1</cp:revision>
  <dcterms:created xsi:type="dcterms:W3CDTF">2026-10-07T15:05:06.492Z</dcterms:created>
  <dcterms:modified xsi:type="dcterms:W3CDTF">2026-10-07T15:05:06.499Z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