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jc w:val="center"/>
      </w:pPr>
      <w:r>
        <w:rPr>
          <w:b/>
          <w:color w:val="000000"/>
          <w:sz w:val="48"/>
        </w:rPr>
        <w:t xml:space="preserve">Institutions internationales Cours complémentaire UNJF</w:t>
      </w:r>
    </w:p>
    <w:p>
      <w:pPr>
        <w:pageBreakBefore w:val="0"/>
        <w:jc w:val="center"/>
      </w:pPr>
      <w:r>
        <w:rPr>
          <w:b/>
          <w:color w:val="3C3C3C"/>
          <w:sz w:val="24"/>
        </w:rPr>
        <w:t xml:space="preserve">L1 Droit S1 Diplomatie justice et protection des populations</w:t>
      </w:r>
    </w:p>
    <w:p>
      <w:pPr>
        <w:pageBreakBefore w:val="0"/>
      </w:pPr>
      <w:r>
        <w:t xml:space="preserve">Ce support développe les cinq thèmes annoncés au plan officiel après la partie du CM transmise. Il s’appuie principalement sur les leçons UNJF fournies et sur tes fiches de révision. Les textes de la Convention de Vienne, de la Charte et du Statut de la CIJ, ainsi que les publications officielles de l’ONU et du CICR, précisent les points qui demandent une vérification ou un développement.</w:t>
      </w:r>
    </w:p>
    <w:p>
      <w:pPr>
        <w:pStyle w:val="SmallNote"/>
        <w:pageBreakBefore w:val="0"/>
      </w:pPr>
      <w:r>
        <w:t xml:space="preserve">Cours complémentaire préparé le 14 octobre 2026. Ce texte est une rédaction pédagogique ajoutée, distincte du CM du professeur. La numérotation 7 à 11 prolonge les chapitres du site. Moodle et les consignes officielles restent les références pour le programme effectivement traité et les examens. Le véritable syllabus 2026–2027 reste à transmettre.</w:t>
      </w:r>
    </w:p>
    <w:p>
      <w:pPr>
        <w:pStyle w:val="Heading2"/>
        <w:keepNext/>
        <w:pageBreakBefore w:val="0"/>
      </w:pPr>
      <w:r>
        <w:t xml:space="preserve">Plan du complément</w:t>
      </w:r>
    </w:p>
    <w:p>
      <w:pPr>
        <w:pageBreakBefore w:val="0"/>
      </w:pPr>
      <w:r>
        <w:t xml:space="preserve">Chapitre 7 Les relations diplomatiques et le règlement diplomatique</w:t>
      </w:r>
    </w:p>
    <w:p>
      <w:pPr>
        <w:pageBreakBefore w:val="0"/>
      </w:pPr>
      <w:r>
        <w:t xml:space="preserve">Chapitre 8 Les règlements juridictionnels des conflits</w:t>
      </w:r>
    </w:p>
    <w:p>
      <w:pPr>
        <w:pageBreakBefore w:val="0"/>
      </w:pPr>
      <w:r>
        <w:t xml:space="preserve">Chapitre 9 L’usage de la force et les conflits armés</w:t>
      </w:r>
    </w:p>
    <w:p>
      <w:pPr>
        <w:pageBreakBefore w:val="0"/>
      </w:pPr>
      <w:r>
        <w:t xml:space="preserve">Chapitre 10 Droit humanitaire et intervention humanitaire</w:t>
      </w:r>
    </w:p>
    <w:p>
      <w:pPr>
        <w:pageBreakBefore w:val="0"/>
      </w:pPr>
      <w:r>
        <w:t xml:space="preserve">Chapitre 11 Guerre juste et responsabilité de protéger</w:t>
      </w:r>
    </w:p>
    <w:p>
      <w:pPr>
        <w:pStyle w:val="Heading1"/>
        <w:keepNext/>
        <w:pageBreakBefore w:val="0"/>
      </w:pPr>
      <w:r>
        <w:t xml:space="preserve">Les relations diplomatiques et le règlement diplomatique</w:t>
      </w:r>
    </w:p>
    <w:p>
      <w:pPr>
        <w:pStyle w:val="SmallNote"/>
        <w:pageBreakBefore w:val="0"/>
      </w:pPr>
      <w:r>
        <w:t xml:space="preserve">Complément pédagogique rédigé à partir des ressources UNJF fournies et des fiches de révision. Il poursuit le thème du CM reçu après les fondements des immunités ; il ne constitue pas une transcription du professeur. Les exemples sont des hypothèses de travail, sauf l’affaire de Téhéran expressément identifiée.</w:t>
      </w:r>
    </w:p>
    <w:p>
      <w:pPr>
        <w:pageBreakBefore w:val="0"/>
      </w:pPr>
      <w:r>
        <w:t xml:space="preserve">Le cours transmis s’achève après avoir présenté les justifications des privilèges diplomatiques. Pour comprendre la suite, il faut relier deux questions : comment protéger les représentants étrangers afin que les États continuent de communiquer, et comment employer cette communication pour régler un désaccord ? La première concerne le statut de la mission ; la seconde les procédures diplomatiques. Ces deux dimensions se renforcent : une négociation devient difficile si les envoyés risquent une arrestation arbitraire, mais les immunités ne suffisent pas à faire disparaître les oppositions d’intérêts.</w:t>
      </w:r>
    </w:p>
    <w:p>
      <w:pPr>
        <w:pStyle w:val="Heading2"/>
        <w:keepNext/>
        <w:pageBreakBefore w:val="0"/>
      </w:pPr>
      <w:r>
        <w:t xml:space="preserve">I La protection de la mission diplomatique garantir une fonction</w:t>
      </w:r>
    </w:p>
    <w:p>
      <w:pPr>
        <w:pStyle w:val="Heading3"/>
        <w:keepNext/>
        <w:pageBreakBefore w:val="0"/>
      </w:pPr>
      <w:r>
        <w:t xml:space="preserve">A Identifier les bénéficiaires et la raison de la protection</w:t>
      </w:r>
    </w:p>
    <w:p>
      <w:pPr>
        <w:pStyle w:val="Definition"/>
        <w:pageBreakBefore w:val="0"/>
      </w:pPr>
      <w:r>
        <w:t xml:space="preserve">L’État accréditant envoie la mission ; l’État accréditaire la reçoit. L’inviolabilité interdit certaines atteintes à une personne, à des locaux ou à des documents. L’immunité de juridiction fait obstacle à l’exercice de la compétence de certains tribunaux ; l’immunité d’exécution protège contre certaines mesures de contrainte.</w:t>
      </w:r>
    </w:p>
    <w:p>
      <w:pPr>
        <w:pageBreakBefore w:val="0"/>
      </w:pPr>
      <w:r>
        <w:t xml:space="preserve">La nécessité fonctionnelle fournit l’explication principale du statut diplomatique : le représentant doit pouvoir travailler avec une indépendance suffisante vis-à-vis du gouvernement auprès duquel il est envoyé. La protection n’est donc pas une récompense attachée à sa personne. Elle répond à l’intérêt des relations entre États. Cette logique explique aussi qu’il faille toujours identifier le bénéficiaire : un diplomate, un consul, un chef d’État et un agent d’organisation internationale ne relèvent pas mécaniquement des mêmes règles.</w:t>
      </w:r>
    </w:p>
    <w:p>
      <w:pPr>
        <w:pageBreakBefore w:val="0"/>
      </w:pPr>
      <w:r>
        <w:t xml:space="preserve">Il faut également distinguer la mission de chacun de ses membres. La protection des locaux n’est pas l’addition des protections personnelles des agents. De même, l’étendue des immunités peut varier selon les fonctions exercées. En cas pratique, on commence par qualifier la personne et l’objet concernés, avant de rechercher la procédure envisagée : arrestation, poursuite judiciaire, saisie, perquisition ou obligation fiscale. Cette démarche empêche de déduire d’un statut international une exemption universelle.</w:t>
      </w:r>
    </w:p>
    <w:p>
      <w:pPr>
        <w:pStyle w:val="SmallNote"/>
        <w:pageBreakBefore w:val="0"/>
      </w:pPr>
      <w:r>
        <w:t xml:space="preserve">Sources : </w:t>
      </w:r>
      <w:hyperlink r:id="rId17">
        <w:r>
          <w:t xml:space="preserve">UNJF Leçon 7 pages 2, 3, 8, 9</w:t>
        </w:r>
      </w:hyperlink>
    </w:p>
    <w:p>
      <w:pPr>
        <w:pageBreakBefore w:val="0"/>
      </w:pPr>
      <w:r>
        <w:t xml:space="preserve">L’établissement des relations diplomatiques et d’une mission permanente repose sur le consentement mutuel des États. L’État d’envoi doit obtenir l’agrément de l’État d’accueil pour le chef de mission envisagé. La mission représente son État, protège ses intérêts dans les limites du droit international, négocie, s’informe par des moyens licites et favorise les relations amicales. L’information diplomatique ne constitue donc pas une autorisation générale d’espionner.</w:t>
      </w:r>
    </w:p>
    <w:p>
      <w:pPr>
        <w:pStyle w:val="SmallNote"/>
        <w:pageBreakBefore w:val="0"/>
      </w:pPr>
      <w:r>
        <w:t xml:space="preserve">Sources : </w:t>
      </w:r>
      <w:hyperlink r:id="rId18">
        <w:r>
          <w:t xml:space="preserve">Convention de Vienne de 1961 articles 2 à 4</w:t>
        </w:r>
      </w:hyperlink>
    </w:p>
    <w:p>
      <w:pPr>
        <w:pStyle w:val="Heading3"/>
        <w:keepNext/>
        <w:pageBreakBefore w:val="0"/>
      </w:pPr>
      <w:r>
        <w:t xml:space="preserve">B Distinguer inviolabilité immunité et responsabilité</w:t>
      </w:r>
    </w:p>
    <w:p>
      <w:pPr>
        <w:pageBreakBefore w:val="0"/>
      </w:pPr>
      <w:r>
        <w:t xml:space="preserve">L’inviolabilité personnelle protège l’agent diplomatique contre l’arrestation et la détention par l’État d’accueil. Elle impose également une conduite protectrice : les autorités doivent prendre les mesures appropriées contre les atteintes à sa personne. Les locaux de la mission sont eux aussi protégés. Leur sécurité ne consiste donc pas seulement à tenir la police à distance ; l’État d’accueil doit également les protéger contre des intrusions de personnes privées. Une carence des autorités peut ainsi engager la responsabilité internationale de l’État.</w:t>
      </w:r>
    </w:p>
    <w:p>
      <w:pPr>
        <w:pageBreakBefore w:val="0"/>
      </w:pPr>
      <w:r>
        <w:t xml:space="preserve">L’immunité de juridiction répond à une autre question : un tribunal de l’État d’accueil peut-il poursuivre ou juger l’agent ? La protection pénale de l’agent diplomatique en fonction est très étendue. En matière civile et administrative, le régime prévoit certaines exceptions. Enfin, la possibilité de juger ne se confond pas avec celle de saisir des biens ou d’exécuter un jugement. Ces protections ont des objets différents ; il faut les examiner séparément plutôt que de les réunir sous une formule vague telle que « le diplomate est intouchable ».</w:t>
      </w:r>
    </w:p>
    <w:p>
      <w:pPr>
        <w:pStyle w:val="SmallNote"/>
        <w:pageBreakBefore w:val="0"/>
      </w:pPr>
      <w:r>
        <w:t xml:space="preserve">Vérification du texte applicable : l’article 31 prévoit des exceptions civiles et administratives concernant certains immeubles privés, successions et activités privées professionnelles ou commerciales. Il ne formule aucune exception pénale générale pour les crimes internationaux. L’article 32 exige une renonciation expresse de l’État d’envoi ; la renonciation civile ou administrative ne vaut pas automatiquement pour l’exécution. Les exemptions fiscales comportent des exceptions, notamment pour les impôts indirects incorporés aux prix. Le diplomate doit respecter les lois locales ; l’État d’accueil peut le déclarer persona non grata. Ces précisions rectifient certaines formulations trop générales de la leçon UNJF.</w:t>
      </w:r>
    </w:p>
    <w:p>
      <w:pPr>
        <w:pStyle w:val="SmallNote"/>
        <w:pageBreakBefore w:val="0"/>
      </w:pPr>
      <w:r>
        <w:t xml:space="preserve">Sources : </w:t>
      </w:r>
      <w:hyperlink r:id="rId19">
        <w:r>
          <w:t xml:space="preserve">Convention de Vienne de 1961, articles 9, 22, 29, 31, 32, 34 et 41</w:t>
        </w:r>
      </w:hyperlink>
    </w:p>
    <w:p>
      <w:pPr>
        <w:pageBreakBefore w:val="0"/>
      </w:pPr>
      <w:r>
        <w:t xml:space="preserve">Hypothèse : un agent diplomatique est soupçonné d’une infraction ordinaire. Affirmer que les faits sont graves ne suffit pas à autoriser son arrestation par la police locale. Il faut identifier son statut et les protections applicables. Cela ne rend pas les faits licites : l’État d’envoi peut notamment renoncer à l’immunité ou exercer sa propre compétence. L’État d’accueil dispose aussi de moyens diplomatiques pour obtenir le départ de l’agent. L’immunité organise l’exercice de la justice ; elle n’efface pas l’obligation juridique violée.</w:t>
      </w:r>
    </w:p>
    <w:p>
      <w:pPr>
        <w:pageBreakBefore w:val="0"/>
      </w:pPr>
      <w:r>
        <w:t xml:space="preserve">L’affaire du Personnel diplomatique et consulaire des États-Unis à Téhéran, tranchée par la CIJ le 24 mai 1980 et déjà mentionnée dans le CM, rend cette protection concrète. L’occupation de l’ambassade et la détention de ses membres mettent en cause les obligations de l’État d’accueil. Pour l’apprentissage, l’essentiel est de distinguer les actes des personnes qui envahissent les locaux et le comportement juridiquement imputable à l’État. La responsabilité internationale ne se réduit pas à rechercher si un policier a lui-même accompli chaque acte matériel.</w:t>
      </w:r>
    </w:p>
    <w:p>
      <w:pPr>
        <w:pStyle w:val="SmallNote"/>
        <w:pageBreakBefore w:val="0"/>
      </w:pPr>
      <w:r>
        <w:t xml:space="preserve">Sources : </w:t>
      </w:r>
      <w:hyperlink r:id="rId20">
        <w:r>
          <w:t xml:space="preserve">UNJF Leçon 7 pages 8, 9</w:t>
        </w:r>
      </w:hyperlink>
    </w:p>
    <w:p>
      <w:pPr>
        <w:pStyle w:val="Heading2"/>
        <w:keepNext/>
        <w:pageBreakBefore w:val="0"/>
      </w:pPr>
      <w:r>
        <w:t xml:space="preserve">II Les procédés diplomatiques construire une solution acceptée</w:t>
      </w:r>
    </w:p>
    <w:p>
      <w:pPr>
        <w:pStyle w:val="Heading3"/>
        <w:keepNext/>
        <w:pageBreakBefore w:val="0"/>
      </w:pPr>
      <w:r>
        <w:t xml:space="preserve">A Du différend à la négociation</w:t>
      </w:r>
    </w:p>
    <w:p>
      <w:pPr>
        <w:pStyle w:val="Definition"/>
        <w:pageBreakBefore w:val="0"/>
      </w:pPr>
      <w:r>
        <w:rPr>
          <w:b/>
        </w:rPr>
        <w:t xml:space="preserve">Un différend suppose une opposition identifiable entre les positions de sujets internationaux : </w:t>
      </w:r>
      <w:r>
        <w:t xml:space="preserve">une demande rencontre une contestation. Dans un règlement diplomatique, les parties recherchent une solution par la discussion, directement ou avec un tiers. La solution proposée ne devient pas obligatoire par le seul fait qu’un médiateur ou une commission l’a formulée.</w:t>
      </w:r>
    </w:p>
    <w:p>
      <w:pPr>
        <w:pageBreakBefore w:val="0"/>
      </w:pPr>
      <w:r>
        <w:t xml:space="preserve">L’obligation de règlement pacifique interdit de traiter la force armée comme un moyen ordinaire de résoudre une contestation. Elle n’impose cependant pas que chaque désaccord aboutisse immédiatement à un accord. Les parties choisissent des moyens adaptés, sous réserve des procédures particulières auxquelles elles ont déjà consenti. Il faut donc distinguer l’obligation d’agir pacifiquement et les conditions de mise en œuvre d’une procédure déterminée. Un traité peut prévoir des étapes de consultation ou de conciliation qu’on ne peut ignorer au nom d’une liberté abstraite.</w:t>
      </w:r>
    </w:p>
    <w:p>
      <w:pPr>
        <w:pageBreakBefore w:val="0"/>
      </w:pPr>
      <w:r>
        <w:t xml:space="preserve">La négociation constitue le procédé le plus direct. Des représentants exposent leurs prétentions, confrontent leurs arguments et recherchent des concessions réciproques. Elle peut être bilatérale ou multilatérale, ponctuelle ou prolongée. Sa souplesse permet de traiter ensemble des éléments juridiques, techniques et politiques. La bonne foi exige une démarche réelle ; elle ne signifie pas que chacun doive accepter les demandes de l’autre. On évitera donc de transformer toute obligation de négocier en obligation de conclure un accord.</w:t>
      </w:r>
    </w:p>
    <w:p>
      <w:pPr>
        <w:pStyle w:val="SmallNote"/>
        <w:pageBreakBefore w:val="0"/>
      </w:pPr>
      <w:r>
        <w:t xml:space="preserve">Sources : </w:t>
      </w:r>
      <w:hyperlink r:id="rId21">
        <w:r>
          <w:t xml:space="preserve">UNJF Leçon 6 pages 2, 3</w:t>
        </w:r>
      </w:hyperlink>
    </w:p>
    <w:p>
      <w:pPr>
        <w:pStyle w:val="SmallNote"/>
        <w:pageBreakBefore w:val="0"/>
      </w:pPr>
      <w:r>
        <w:t xml:space="preserve">L’article 33 de la Charte énumère plusieurs moyens pacifiques pour les différends dont la prolongation menace la paix et la sécurité internationales. Cette liste comprend des procédés diplomatiques et juridictionnels : « pacifique » ne signifie donc pas nécessairement « diplomatique ». Le choix reste encadré par les engagements applicables.</w:t>
      </w:r>
    </w:p>
    <w:p>
      <w:pPr>
        <w:pStyle w:val="SmallNote"/>
        <w:pageBreakBefore w:val="0"/>
      </w:pPr>
      <w:r>
        <w:t xml:space="preserve">Sources : </w:t>
      </w:r>
      <w:hyperlink r:id="rId22">
        <w:r>
          <w:t xml:space="preserve">Charte des Nations Unies, articles 2 §3 et 33 à 38</w:t>
        </w:r>
      </w:hyperlink>
    </w:p>
    <w:p>
      <w:pPr>
        <w:pStyle w:val="Heading3"/>
        <w:keepNext/>
        <w:pageBreakBefore w:val="0"/>
      </w:pPr>
      <w:r>
        <w:t xml:space="preserve">B Quatre fonctions du tiers à distinguer</w:t>
      </w:r>
    </w:p>
    <w:p>
      <w:pPr>
        <w:pageBreakBefore w:val="0"/>
      </w:pPr>
      <w:r>
        <w:t xml:space="preserve">Dans les bons offices, un tiers facilite principalement la reprise du contact : il permet une rencontre, transmet un message ou aide à installer un cadre de discussion. La médiation va plus loin : le tiers participe au rapprochement des positions et peut proposer une solution. La différence tient donc au degré d’implication dans la recherche du règlement. Dans les deux cas, le tiers ne dispose pas, du seul fait de cette qualité, du pouvoir d’imposer sa proposition aux parties.</w:t>
      </w:r>
    </w:p>
    <w:p>
      <w:pPr>
        <w:pageBreakBefore w:val="0"/>
      </w:pPr>
      <w:r>
        <w:t xml:space="preserve">L’enquête internationale vise d’abord à clarifier les faits. Une commission peut établir le déroulement d’un incident, confronter des témoignages ou analyser des données techniques. Cette clarification est importante lorsqu’un désaccord persiste sur ce qui s’est réellement produit. Mais établir les faits ne règle pas nécessairement toutes les questions de responsabilité ou de réparation. L’efficacité de l’enquête dépend notamment de son mandat, de l’accès aux informations et de la coopération des acteurs concernés.</w:t>
      </w:r>
    </w:p>
    <w:p>
      <w:pPr>
        <w:pageBreakBefore w:val="0"/>
      </w:pPr>
      <w:r>
        <w:t xml:space="preserve">La conciliation associe l’examen du différend à la proposition d’un règlement. La commission ne se limite pas à une description factuelle : elle étudie les positions et suggère une issue. Son rapport n’est cependant pas une sentence arbitrale. La proposition peut être refusée, sous réserve des engagements procéduraux particuliers des parties. Le caractère organisé de la commission ne suffit donc pas à transformer la conciliation en juridiction. Le bon critère est l’effet juridique de sa conclusion.</w:t>
      </w:r>
    </w:p>
    <w:p>
      <w:pPr>
        <w:pStyle w:val="SmallNote"/>
        <w:pageBreakBefore w:val="0"/>
      </w:pPr>
      <w:r>
        <w:t xml:space="preserve">Sources : </w:t>
      </w:r>
      <w:hyperlink r:id="rId23">
        <w:r>
          <w:t xml:space="preserve">UNJF Leçon 6 pages 3, 4, 5</w:t>
        </w:r>
      </w:hyperlink>
    </w:p>
    <w:p>
      <w:pPr>
        <w:pageBreakBefore w:val="0"/>
      </w:pPr>
      <w:r>
        <w:t xml:space="preserve">Hypothèse : deux États se reprochent une pollution transfrontière. S’ils discutent seuls des mesures de réparation, ils négocient. Si un voisin les aide seulement à se rencontrer, il exerce des bons offices. S’il propose un compromis, il assure une médiation. Une commission chargée d’identifier l’origine de la pollution mène une enquête ; si elle examine aussi les prétentions et propose un règlement, elle exerce une conciliation. Une même crise peut combiner successivement plusieurs de ces procédés.</w:t>
      </w:r>
    </w:p>
    <w:p>
      <w:pPr>
        <w:pStyle w:val="Heading2"/>
        <w:keepNext/>
        <w:pageBreakBefore w:val="0"/>
      </w:pPr>
      <w:r>
        <w:t xml:space="preserve">III Le cadre institutionnel et les limites du règlement diplomatique</w:t>
      </w:r>
    </w:p>
    <w:p>
      <w:pPr>
        <w:pStyle w:val="Heading3"/>
        <w:keepNext/>
        <w:pageBreakBefore w:val="0"/>
      </w:pPr>
      <w:r>
        <w:t xml:space="preserve">A Les organisations internationales comme lieux de règlement</w:t>
      </w:r>
    </w:p>
    <w:p>
      <w:pPr>
        <w:pageBreakBefore w:val="0"/>
      </w:pPr>
      <w:r>
        <w:t xml:space="preserve">Les organisations internationales offrent des contacts réguliers entre États, des secrétariats et des procédures de discussion. Elles favorisent ainsi la prévention des différends autant que leur règlement. Dans le cadre des Nations Unies, le Conseil de sécurité peut recommander des méthodes de règlement et faire examiner une situation. Le Secrétaire général peut exercer des bons offices ou une médiation. Les cadres régionaux peuvent également fournir un interlocuteur proche du différend. Il faut distinguer ces démarches de la fonction d’un juge indépendant qui tranche un litige.</w:t>
      </w:r>
    </w:p>
    <w:p>
      <w:pPr>
        <w:pStyle w:val="SmallNote"/>
        <w:pageBreakBefore w:val="0"/>
      </w:pPr>
      <w:r>
        <w:t xml:space="preserve">Sources : </w:t>
      </w:r>
      <w:hyperlink r:id="rId24">
        <w:r>
          <w:t xml:space="preserve">UNJF Leçon 6 pages 5, 6, 7, 8, 9</w:t>
        </w:r>
      </w:hyperlink>
    </w:p>
    <w:p>
      <w:pPr>
        <w:pStyle w:val="Heading3"/>
        <w:keepNext/>
        <w:pageBreakBefore w:val="0"/>
      </w:pPr>
      <w:r>
        <w:t xml:space="preserve">B La souplesse et sa contrepartie</w:t>
      </w:r>
    </w:p>
    <w:p>
      <w:pPr>
        <w:pageBreakBefore w:val="0"/>
      </w:pPr>
      <w:r>
        <w:t xml:space="preserve">L’avantage diplomatique est d’adapter une issue au contexte : les parties peuvent organiser un calendrier, convenir d’une coopération future ou combiner plusieurs concessions. Sa limite est la dépendance envers leur volonté politique. Un refus de coopérer peut bloquer la procédure ; une proposition acceptée dans son principe peut rester imprécise dans son exécution. Pour analyser un règlement, il faut donc séparer trois étapes : la procédure suivie, la solution proposée et l’engagement finalement accepté. Un accord conclu peut créer des obligations même si la médiation qui l’a préparé n’avait aucun pouvoir de décision.</w:t>
      </w:r>
    </w:p>
    <w:p>
      <w:pPr>
        <w:pageBreakBefore w:val="0"/>
      </w:pPr>
      <w:r>
        <w:t xml:space="preserve">Le passage à l’arbitrage ou au règlement judiciaire répond à une autre logique : les parties acceptent qu’un tiers tranche juridiquement. Il ne faut pas opposer les deux voies comme si elles s’excluaient toujours. Une négociation peut préparer un compromis juridictionnel ; un arrêt peut laisser aux États la discussion pratique d’une réparation. Le choix utile dépend de l’objet du désaccord, des engagements déjà pris et du résultat recherché.</w:t>
      </w:r>
    </w:p>
    <w:p>
      <w:pPr>
        <w:pStyle w:val="SmallNote"/>
        <w:pageBreakBefore w:val="0"/>
      </w:pPr>
      <w:r>
        <w:t xml:space="preserve">Sources : </w:t>
      </w:r>
      <w:hyperlink r:id="rId25">
        <w:r>
          <w:t xml:space="preserve">UNJF Leçon 6 pages 3, 4, 10</w:t>
        </w:r>
      </w:hyperlink>
      <w:r>
        <w:t xml:space="preserve"> · </w:t>
      </w:r>
      <w:hyperlink r:id="rId26">
        <w:r>
          <w:t xml:space="preserve">UNJF Leçon 7 pages 9</w:t>
        </w:r>
      </w:hyperlink>
    </w:p>
    <w:p>
      <w:pPr>
        <w:pStyle w:val="Heading1"/>
        <w:keepNext/>
        <w:pageBreakBefore w:val="0"/>
      </w:pPr>
      <w:r>
        <w:t xml:space="preserve">Les règlements juridictionnels des conflits</w:t>
      </w:r>
    </w:p>
    <w:p>
      <w:pPr>
        <w:pStyle w:val="SmallNote"/>
        <w:pageBreakBefore w:val="0"/>
      </w:pPr>
      <w:r>
        <w:t xml:space="preserve">Complément pédagogique rédigé à partir de la leçon UNJF sur le règlement pacifique. Il développe le thème annoncé au plan officiel ; il ne reproduit pas une séance du professeur. Les exemples fictifs servent à comprendre les mécanismes et ne constituent pas des consignes d’examen.</w:t>
      </w:r>
    </w:p>
    <w:p>
      <w:pPr>
        <w:pageBreakBefore w:val="0"/>
      </w:pPr>
      <w:r>
        <w:t xml:space="preserve">Lorsqu’une discussion ne suffit pas, les États peuvent accepter qu’un tiers indépendant tranche leur différend par le droit. Le règlement juridictionnel comprend principalement l’arbitrage et le règlement judiciaire. Il se distingue de la médiation par l’effet de sa décision : sous réserve de la compétence de l’organe et des règles applicables, celle-ci oblige les parties. Pourtant, le consentement ne disparaît pas. Dans une société internationale dépourvue de juridiction générale automatiquement imposée à tous les États, il reste un élément essentiel de l’accès au juge.</w:t>
      </w:r>
    </w:p>
    <w:p>
      <w:pPr>
        <w:pStyle w:val="Heading2"/>
        <w:keepNext/>
        <w:pageBreakBefore w:val="0"/>
      </w:pPr>
      <w:r>
        <w:t xml:space="preserve">I Arbitrage et décision obligatoire dans un cadre choisi</w:t>
      </w:r>
    </w:p>
    <w:p>
      <w:pPr>
        <w:pStyle w:val="Heading3"/>
        <w:keepNext/>
        <w:pageBreakBefore w:val="0"/>
      </w:pPr>
      <w:r>
        <w:t xml:space="preserve">A Le fondement du recours à un tribunal arbitral</w:t>
      </w:r>
    </w:p>
    <w:p>
      <w:pPr>
        <w:pStyle w:val="Definition"/>
        <w:pageBreakBefore w:val="0"/>
      </w:pPr>
      <w:r>
        <w:t xml:space="preserve">L’arbitrage international consiste à confier à un tiers indépendant le règlement d’un différend par une décision obligatoire, appelée sentence. Dans l’arbitrage interétatique, les États déterminent par leur consentement l’étendue de la mission confiée au tribunal.</w:t>
      </w:r>
    </w:p>
    <w:p>
      <w:pPr>
        <w:pageBreakBefore w:val="0"/>
      </w:pPr>
      <w:r>
        <w:t xml:space="preserve">Le consentement peut intervenir après la naissance du différend. Les parties concluent alors un compromis qui précise la question soumise et organise le règlement. Il peut aussi être donné à l’avance dans une clause compromissoire insérée dans un traité : les futurs différends relevant de cette clause pourront être portés devant l’organe prévu. Un traité d’arbitrage peut enfin organiser un engagement plus général. Il faut lire exactement l’instrument applicable : consentir à l’arbitrage d’une catégorie de litiges ne revient pas à accepter l’arbitrage de toutes les relations entre les États.</w:t>
      </w:r>
    </w:p>
    <w:p>
      <w:pPr>
        <w:pageBreakBefore w:val="0"/>
      </w:pPr>
      <w:r>
        <w:t xml:space="preserve">L’arbitrage présente une souplesse institutionnelle. Les parties peuvent convenir du nombre des arbitres, des modalités de leur désignation et de certains éléments procéduraux. Le tribunal peut être constitué pour le litige concerné, même s’il bénéficie de l’appui d’une institution permanente. Les arbitres n’en deviennent pas des représentants politiques chargés de défendre l’État qui les a désignés : leur fonction est juridictionnelle. La liberté d’organisation s’accompagne donc d’exigences d’indépendance et de respect de la mission confiée.</w:t>
      </w:r>
    </w:p>
    <w:p>
      <w:pPr>
        <w:pStyle w:val="SmallNote"/>
        <w:pageBreakBefore w:val="0"/>
      </w:pPr>
      <w:r>
        <w:t xml:space="preserve">Sources : </w:t>
      </w:r>
      <w:hyperlink r:id="rId27">
        <w:r>
          <w:t xml:space="preserve">UNJF Leçon 6 pages 10, 11</w:t>
        </w:r>
      </w:hyperlink>
    </w:p>
    <w:p>
      <w:pPr>
        <w:pStyle w:val="Heading3"/>
        <w:keepNext/>
        <w:pageBreakBefore w:val="0"/>
      </w:pPr>
      <w:r>
        <w:t xml:space="preserve">B La sentence et ses effets</w:t>
      </w:r>
    </w:p>
    <w:p>
      <w:pPr>
        <w:pageBreakBefore w:val="0"/>
      </w:pPr>
      <w:r>
        <w:t xml:space="preserve">Le tribunal doit vérifier sa compétence et respecter les limites fixées par l’engagement d’arbitrage. Il examine les prétentions et les preuves selon la procédure applicable. Les parties peuvent déterminer le droit à appliquer dans les limites permises par leur accord. Une décision fondée en équité suppose une habilitation ; l’arbitrage ne signifie pas qu’un tiers puisse librement couper la différence entre deux demandes. Il faut donc distinguer la souplesse de l’organisation, le droit applicable et la portée obligatoire du résultat.</w:t>
      </w:r>
    </w:p>
    <w:p>
      <w:pPr>
        <w:pageBreakBefore w:val="0"/>
      </w:pPr>
      <w:r>
        <w:t xml:space="preserve">La sentence clôt normalement le litige soumis. Les voies éventuelles de contestation ou d’interprétation dépendent du régime applicable ; l’arbitrage ne comporte pas, par nature, un appel général équivalent à celui des juridictions internes. La force obligatoire ne signifie pas davantage qu’une police internationale vienne automatiquement exécuter la décision. Il faut distinguer l’obligation juridique de se conformer à la sentence et les moyens permettant d’obtenir cette conformité. Une difficulté d’exécution ne transforme pas rétroactivement la sentence en simple recommandation.</w:t>
      </w:r>
    </w:p>
    <w:p>
      <w:pPr>
        <w:pStyle w:val="SmallNote"/>
        <w:pageBreakBefore w:val="0"/>
      </w:pPr>
      <w:r>
        <w:t xml:space="preserve">Sources : </w:t>
      </w:r>
      <w:hyperlink r:id="rId28">
        <w:r>
          <w:t xml:space="preserve">UNJF Leçon 6 pages 11, 12</w:t>
        </w:r>
      </w:hyperlink>
    </w:p>
    <w:p>
      <w:pPr>
        <w:pageBreakBefore w:val="0"/>
      </w:pPr>
      <w:r>
        <w:t xml:space="preserve">Hypothèse : deux États soumettent à trois arbitres la localisation d’une frontière. Le tribunal doit répondre à cette question et appliquer les règles convenues ; il n’a pas reçu le pouvoir de redessiner librement leur politique étrangère. Si sa sentence détermine la frontière, les travaux matériels de bornage peuvent encore nécessiter une coopération technique. La persistance de ces opérations ne retire pas son caractère obligatoire à la décision juridique.</w:t>
      </w:r>
    </w:p>
    <w:p>
      <w:pPr>
        <w:pStyle w:val="Heading2"/>
        <w:keepNext/>
        <w:pageBreakBefore w:val="0"/>
      </w:pPr>
      <w:r>
        <w:t xml:space="preserve">II La Cour internationale de Justice une juridiction permanente</w:t>
      </w:r>
    </w:p>
    <w:p>
      <w:pPr>
        <w:pStyle w:val="Heading3"/>
        <w:keepNext/>
        <w:pageBreakBefore w:val="0"/>
      </w:pPr>
      <w:r>
        <w:t xml:space="preserve">A Une compétence générale qui suppose un fondement</w:t>
      </w:r>
    </w:p>
    <w:p>
      <w:pPr>
        <w:pageBreakBefore w:val="0"/>
      </w:pPr>
      <w:r>
        <w:t xml:space="preserve">La Cour internationale de Justice est l’organe judiciaire principal des Nations Unies. Elle siège à La Haye et succède à la Cour permanente de Justice internationale. Elle est permanente, contrairement au tribunal arbitral constitué pour un seul litige, et sa compétence matérielle est générale : elle n’est pas limitée à une branche unique du droit international. Cette généralité ne lui donne pourtant pas une juridiction automatique sur tous les différends internationaux. Il faut distinguer l’existence de la Cour et l’existence de sa compétence dans une affaire déterminée.</w:t>
      </w:r>
    </w:p>
    <w:p>
      <w:pPr>
        <w:pageBreakBefore w:val="0"/>
      </w:pPr>
      <w:r>
        <w:t xml:space="preserve">En matière contentieuse, la CIJ règle des différends entre États. Un particulier, une ONG ou une entreprise ne peut pas y déposer directement sa propre demande comme devant un tribunal civil. Cela n’exclut pas qu’un litige interétatique ait pour origine les dommages subis par des personnes privées. Il faut alors distinguer les personnes dont la situation explique le différend et les États qui ont juridiquement qualité de parties devant la Cour. La nature humaine du préjudice ne suffit pas à modifier les règles d’accès.</w:t>
      </w:r>
    </w:p>
    <w:p>
      <w:pPr>
        <w:pStyle w:val="SmallNote"/>
        <w:pageBreakBefore w:val="0"/>
      </w:pPr>
      <w:r>
        <w:t xml:space="preserve">Le Statut confirme trois repères : l’article 34 réserve la qualité de partie aux États ; l’article 36 organise les fondements de compétence et prévoit que la Cour tranche les contestations sur sa compétence ; l’article 59 limite la force obligatoire de la décision aux parties et au cas jugé. L’article 65 concerne la fonction consultative. Ces règles ne doivent pas être confondues avec une compétence pénale sur les individus.</w:t>
      </w:r>
    </w:p>
    <w:p>
      <w:pPr>
        <w:pStyle w:val="SmallNote"/>
        <w:pageBreakBefore w:val="0"/>
      </w:pPr>
      <w:r>
        <w:t xml:space="preserve">Sources : </w:t>
      </w:r>
      <w:hyperlink r:id="rId29">
        <w:r>
          <w:t xml:space="preserve">Statut de la CIJ, articles 34 à 36, 59, 60 et 65</w:t>
        </w:r>
      </w:hyperlink>
    </w:p>
    <w:p>
      <w:pPr>
        <w:pageBreakBefore w:val="0"/>
      </w:pPr>
      <w:r>
        <w:t xml:space="preserve">Comme pour l’arbitrage, un compromis peut soumettre un différend déjà né à la Cour. Une clause compromissoire peut prévoir sa saisine pour les litiges relatifs à un traité. Le consentement peut donc être antérieur à la crise et devenir juridiquement opérant lorsqu’un différend entre dans le champ de la clause. Il ne suffit pas qu’un État dise aujourd’hui qu’il refuse le procès pour effacer un engagement de compétence valablement accepté auparavant : l’enjeu est de déterminer si cet engagement couvre effectivement le litige.</w:t>
      </w:r>
    </w:p>
    <w:p>
      <w:pPr>
        <w:pageBreakBefore w:val="0"/>
      </w:pPr>
      <w:r>
        <w:t xml:space="preserve">La déclaration facultative de juridiction obligatoire repose sur une autre technique : un État accepte par déclaration la compétence de la Cour à l’égard d’autres États ayant accepté la même obligation. La rencontre des acceptations doit être examinée, notamment au regard de leurs limites. Le mot « facultative » concerne la décision de souscrire à ce mécanisme ; le mot « obligatoire » exprime l’effet produit pour les litiges couverts. Il serait donc contradictoire d’apprendre que la clause est facultative pour conclure que l’État peut ignorer librement chaque affaire.</w:t>
      </w:r>
    </w:p>
    <w:p>
      <w:pPr>
        <w:pageBreakBefore w:val="0"/>
      </w:pPr>
      <w:r>
        <w:t xml:space="preserve">Enfin, le forum prorogatum désigne un consentement donné après une saisine initialement dépourvue de fondement suffisant, dans les conditions reconnues par la Cour. Le raisonnement ne consiste jamais à déduire une acceptation de tout silence ou de toute présence procédurale : un comportement visant uniquement à contester la compétence ne vaut pas automatiquement consentement. La question centrale demeure l’expression juridiquement pertinente d’une acceptation. La CIJ contrôle elle-même sa compétence.</w:t>
      </w:r>
    </w:p>
    <w:p>
      <w:pPr>
        <w:pStyle w:val="SmallNote"/>
        <w:pageBreakBefore w:val="0"/>
      </w:pPr>
      <w:r>
        <w:t xml:space="preserve">Sources : </w:t>
      </w:r>
      <w:hyperlink r:id="rId30">
        <w:r>
          <w:t xml:space="preserve">UNJF Leçon 6 pages 13, 14, 15</w:t>
        </w:r>
      </w:hyperlink>
    </w:p>
    <w:p>
      <w:pPr>
        <w:pStyle w:val="Heading3"/>
        <w:keepNext/>
        <w:pageBreakBefore w:val="0"/>
      </w:pPr>
      <w:r>
        <w:t xml:space="preserve">B De la procédure à la décision</w:t>
      </w:r>
    </w:p>
    <w:p>
      <w:pPr>
        <w:pageBreakBefore w:val="0"/>
      </w:pPr>
      <w:r>
        <w:t xml:space="preserve">La procédure contentieuse permet aux États de présenter leurs positions et de répondre à celles de l’adversaire. Elle comporte des échanges écrits et une phase orale. Avant de trancher le fond, la Cour peut devoir examiner sa compétence et la recevabilité de la demande. Une décision sur ces questions ne signifie pas que le comportement litigieux a déjà été déclaré licite ou illicite. Les conditions d’accès au juge et l’existence d’une violation sont deux niveaux de raisonnement différents.</w:t>
      </w:r>
    </w:p>
    <w:p>
      <w:pPr>
        <w:pageBreakBefore w:val="0"/>
      </w:pPr>
      <w:r>
        <w:t xml:space="preserve">Des mesures conservatoires peuvent être indiquées pour préserver des droits dans l’attente de la décision définitive lorsque les conditions requises sont réunies. Elles ne préjugent pas la solution au fond. La leçon UNJF rappelle leur caractère obligatoire. Il faut éviter deux erreurs inverses : les réduire à de simples conseils dépourvus d’effet, ou les présenter comme la reconnaissance définitive de toutes les violations alléguées. Le provisoire concerne ici le stade de la procédure, non l’absence de portée juridique.</w:t>
      </w:r>
    </w:p>
    <w:p>
      <w:pPr>
        <w:pageBreakBefore w:val="0"/>
      </w:pPr>
      <w:r>
        <w:t xml:space="preserve">L’arrêt au fond répond aux questions juridiquement soumises à la Cour. Il est motivé, obligatoire pour les parties dans l’affaire jugée et définitif. Des mécanismes particuliers d’interprétation ou de révision existent dans les conditions prévues ; ils ne constituent pas un appel ordinaire sur l’ensemble du raisonnement. La jurisprudence exerce par ailleurs une influence au-delà des seuls plaideurs : une distinction doit être faite entre l’autorité obligatoire d’une décision déterminée et la valeur persuasive de ses analyses pour d’autres affaires.</w:t>
      </w:r>
    </w:p>
    <w:p>
      <w:pPr>
        <w:pageBreakBefore w:val="0"/>
      </w:pPr>
      <w:r>
        <w:t xml:space="preserve">L’exécution demeure une question distincte du prononcé de l’arrêt. Le droit international impose le respect des engagements juridictionnels, mais ne reproduit pas exactement l’appareil coercitif d’un État. Le cadre des Nations Unies prévoit notamment la possibilité d’un recours au Conseil de sécurité en cas de non-exécution d’un arrêt, sans garantir une réaction automatique. L’existence d’une difficulté politique d’exécution ne dispense donc pas de qualifier précisément l’obligation juridique.</w:t>
      </w:r>
    </w:p>
    <w:p>
      <w:pPr>
        <w:pStyle w:val="SmallNote"/>
        <w:pageBreakBefore w:val="0"/>
      </w:pPr>
      <w:r>
        <w:t xml:space="preserve">Sources : </w:t>
      </w:r>
      <w:hyperlink r:id="rId31">
        <w:r>
          <w:t xml:space="preserve">UNJF Leçon 6 pages 15, 16</w:t>
        </w:r>
      </w:hyperlink>
    </w:p>
    <w:p>
      <w:pPr>
        <w:pStyle w:val="Heading2"/>
        <w:keepNext/>
        <w:pageBreakBefore w:val="0"/>
      </w:pPr>
      <w:r>
        <w:t xml:space="preserve">III Avis consultatifs et diversité des juridictions</w:t>
      </w:r>
    </w:p>
    <w:p>
      <w:pPr>
        <w:pStyle w:val="Heading3"/>
        <w:keepNext/>
        <w:pageBreakBefore w:val="0"/>
      </w:pPr>
      <w:r>
        <w:t xml:space="preserve">A Éclairer une question juridique par un avis consultatif</w:t>
      </w:r>
    </w:p>
    <w:p>
      <w:pPr>
        <w:pageBreakBefore w:val="0"/>
      </w:pPr>
      <w:r>
        <w:t xml:space="preserve">La fonction consultative permet à la CIJ de répondre à une question juridique posée par un organe ou une institution habilités. L’Assemblée générale et le Conseil de sécurité peuvent demander un avis ; les autres demandes obéissent aux autorisations et limites applicables. Un État ne transforme pas sa contestation bilatérale en procédure consultative simplement en adressant lui-même une lettre à la Cour. Le demandeur institutionnel et l’objet de la question doivent être identifiés.</w:t>
      </w:r>
    </w:p>
    <w:p>
      <w:pPr>
        <w:pageBreakBefore w:val="0"/>
      </w:pPr>
      <w:r>
        <w:t xml:space="preserve">L’avis n’a en principe pas la même force obligatoire qu’un arrêt contentieux entre États, mais il possède une importante autorité juridique. Il peut clarifier une règle, éclairer l’activité d’une organisation ou guider un débat institutionnel. La présence d’enjeux politiques n’empêche pas nécessairement une question d’être juridique : les relations internationales mêlent souvent les deux dimensions. Il faut rechercher si la Cour est appelée à fournir une réponse en droit, plutôt qu’opposer artificiellement tout le politique à tout le juridique.</w:t>
      </w:r>
    </w:p>
    <w:p>
      <w:pPr>
        <w:pStyle w:val="SmallNote"/>
        <w:pageBreakBefore w:val="0"/>
      </w:pPr>
      <w:r>
        <w:t xml:space="preserve">Sources : </w:t>
      </w:r>
      <w:hyperlink r:id="rId32">
        <w:r>
          <w:t xml:space="preserve">UNJF Leçon 6 pages 14, 15</w:t>
        </w:r>
      </w:hyperlink>
    </w:p>
    <w:p>
      <w:pPr>
        <w:pStyle w:val="Heading3"/>
        <w:keepNext/>
        <w:pageBreakBefore w:val="0"/>
      </w:pPr>
      <w:r>
        <w:t xml:space="preserve">B Choisir la bonne juridiction selon sa fonction</w:t>
      </w:r>
    </w:p>
    <w:p>
      <w:pPr>
        <w:pageBreakBefore w:val="0"/>
      </w:pPr>
      <w:r>
        <w:t xml:space="preserve">La CIJ ne résume pas toute la justice internationale. Des juridictions spécialisées interviennent notamment dans les droits de l’homme, le droit de la mer, l’intégration régionale ou le droit pénal international. Elles diffèrent par leurs textes constitutifs, leurs conditions d’accès et les effets de leurs décisions. La CPI vise la responsabilité pénale d’individus ; la CIJ tranche, dans sa fonction contentieuse, des différends entre États. Assimiler les deux conduirait à se tromper de défendeur, de fondement et de résultat attendu.</w:t>
      </w:r>
    </w:p>
    <w:p>
      <w:pPr>
        <w:pageBreakBefore w:val="0"/>
      </w:pPr>
      <w:r>
        <w:t xml:space="preserve">Hypothèse : un État réclame réparation à un autre pour la violation d’un traité et un responsable individuel est parallèlement soupçonné d’un crime international. La première question relève d’un différend interétatique, sous réserve d’un fondement de compétence. La seconde relève d’une éventuelle procédure pénale répondant à ses propres conditions. Les deux responsabilités peuvent être envisagées à partir d’un même contexte factuel, sans que l’arrêt contre l’État constitue la condamnation pénale du responsable.</w:t>
      </w:r>
    </w:p>
    <w:p>
      <w:pPr>
        <w:pStyle w:val="SmallNote"/>
        <w:pageBreakBefore w:val="0"/>
      </w:pPr>
      <w:r>
        <w:t xml:space="preserve">Sources : </w:t>
      </w:r>
      <w:hyperlink r:id="rId33">
        <w:r>
          <w:t xml:space="preserve">UNJF Leçon 6 pages 12, 13</w:t>
        </w:r>
      </w:hyperlink>
    </w:p>
    <w:p>
      <w:pPr>
        <w:pStyle w:val="Heading1"/>
        <w:keepNext/>
        <w:pageBreakBefore w:val="0"/>
      </w:pPr>
      <w:r>
        <w:t xml:space="preserve">Usage de la force et conflits armés</w:t>
      </w:r>
    </w:p>
    <w:p>
      <w:pPr>
        <w:pStyle w:val="SmallNote"/>
        <w:pageBreakBefore w:val="0"/>
      </w:pPr>
      <w:r>
        <w:t xml:space="preserve">Complément de cours rédigé à partir des ressources UNJF fournies, puis vérifié avec les textes officiels. Ce chapitre poursuit l’apprentissage au-delà du CM transmis ; il ne constitue ni la suite rédigée par le professeur ni une consigne de partiel.</w:t>
      </w:r>
    </w:p>
    <w:p>
      <w:pPr>
        <w:pStyle w:val="SmallNote"/>
        <w:pageBreakBefore w:val="0"/>
      </w:pPr>
      <w:r>
        <w:t xml:space="preserve">Sources : </w:t>
      </w:r>
      <w:hyperlink r:id="rId34">
        <w:r>
          <w:t xml:space="preserve">UNJF Leçon 8 pages 1, 2</w:t>
        </w:r>
      </w:hyperlink>
    </w:p>
    <w:p>
      <w:pPr>
        <w:pageBreakBefore w:val="0"/>
      </w:pPr>
      <w:r>
        <w:t xml:space="preserve">Le règlement pacifique des différends et l’interdiction du recours à la force sont complémentaires. Si les États ne peuvent plus considérer la guerre comme un instrument ordinaire de leur politique extérieure, ils doivent rechercher d’autres voies pour défendre leurs prétentions. Le droit contemporain organise néanmoins certaines utilisations licites de la force. La question centrale devient donc celle du fondement juridique de chaque opération, et non celle de la seule puissance militaire de son auteur.</w:t>
      </w:r>
    </w:p>
    <w:p>
      <w:pPr>
        <w:pStyle w:val="SmallNote"/>
        <w:pageBreakBefore w:val="0"/>
      </w:pPr>
      <w:r>
        <w:t xml:space="preserve">Sources : </w:t>
      </w:r>
      <w:hyperlink r:id="rId35">
        <w:r>
          <w:t xml:space="preserve">UNJF Leçon 8 pages 2, 4</w:t>
        </w:r>
      </w:hyperlink>
    </w:p>
    <w:p>
      <w:pPr>
        <w:pStyle w:val="Heading2"/>
        <w:keepNext/>
        <w:pageBreakBefore w:val="0"/>
      </w:pPr>
      <w:r>
        <w:t xml:space="preserve">I De la liberté de faire la guerre à son encadrement juridique</w:t>
      </w:r>
    </w:p>
    <w:p>
      <w:pPr>
        <w:pStyle w:val="Heading3"/>
        <w:keepNext/>
        <w:pageBreakBefore w:val="0"/>
      </w:pPr>
      <w:r>
        <w:t xml:space="preserve">A Une interdiction construite progressivement</w:t>
      </w:r>
    </w:p>
    <w:p>
      <w:pPr>
        <w:pageBreakBefore w:val="0"/>
      </w:pPr>
      <w:r>
        <w:t xml:space="preserve">Dans le droit international classique, les États disposaient d’une grande liberté pour employer la guerre dans leurs relations extérieures. Les premières limitations ont été sectorielles. La convention Drago-Porter de 1907 encadre ainsi le recours à la force pour recouvrer certaines dettes contractuelles. Le Pacte de la Société des Nations impose ensuite des obligations de règlement pacifique et des délais avant certaines guerres, mais laisse subsister des possibilités de conflit licite.</w:t>
      </w:r>
    </w:p>
    <w:p>
      <w:pPr>
        <w:pStyle w:val="SmallNote"/>
        <w:pageBreakBefore w:val="0"/>
      </w:pPr>
      <w:r>
        <w:t xml:space="preserve">Sources : </w:t>
      </w:r>
      <w:hyperlink r:id="rId36">
        <w:r>
          <w:t xml:space="preserve">UNJF Leçon 8 pages 2, 3</w:t>
        </w:r>
      </w:hyperlink>
    </w:p>
    <w:p>
      <w:pPr>
        <w:pageBreakBefore w:val="0"/>
      </w:pPr>
      <w:r>
        <w:t xml:space="preserve">Le pacte Briand-Kellogg de 1928 marque une nouvelle étape : les parties renoncent à la guerre comme instrument de politique nationale. Sa faiblesse tient notamment à l’absence de mécanismes collectifs efficaces pour imposer cette renonciation. En 1945, la Charte des Nations Unies associe une interdiction générale à une organisation chargée du maintien de la paix. Elle cherche donc à articuler une règle de comportement, des procédures pacifiques et une capacité de réaction collective.</w:t>
      </w:r>
    </w:p>
    <w:p>
      <w:pPr>
        <w:pStyle w:val="SmallNote"/>
        <w:pageBreakBefore w:val="0"/>
      </w:pPr>
      <w:r>
        <w:t xml:space="preserve">Sources : </w:t>
      </w:r>
      <w:hyperlink r:id="rId37">
        <w:r>
          <w:t xml:space="preserve">UNJF Leçon 8 pages 3, 4</w:t>
        </w:r>
      </w:hyperlink>
    </w:p>
    <w:p>
      <w:pPr>
        <w:pStyle w:val="Heading3"/>
        <w:keepNext/>
        <w:pageBreakBefore w:val="0"/>
      </w:pPr>
      <w:r>
        <w:t xml:space="preserve">B Deux questions juridiques à séparer</w:t>
      </w:r>
    </w:p>
    <w:p>
      <w:pPr>
        <w:pStyle w:val="Definition"/>
        <w:pageBreakBefore w:val="0"/>
      </w:pPr>
      <w:r>
        <w:t xml:space="preserve">Le jus ad bellum désigne les règles qui déterminent si le recours à la force est licite. Le jus in bello, ou droit international humanitaire, régit la conduite des hostilités et la protection des personnes pendant un conflit armé. Le premier examine pourquoi la force peut être employée ; le second encadre comment elle l’est.</w:t>
      </w:r>
    </w:p>
    <w:p>
      <w:pPr>
        <w:pStyle w:val="SmallNote"/>
        <w:pageBreakBefore w:val="0"/>
      </w:pPr>
      <w:r>
        <w:t xml:space="preserve">Sources : </w:t>
      </w:r>
      <w:hyperlink r:id="rId38">
        <w:r>
          <w:t xml:space="preserve">CICR Définition du DIH et indépendance du jus ad bellum</w:t>
        </w:r>
      </w:hyperlink>
    </w:p>
    <w:p>
      <w:pPr>
        <w:pageBreakBefore w:val="0"/>
      </w:pPr>
      <w:r>
        <w:t xml:space="preserve">Cette séparation protège les victimes : un État qui invoque une cause légitime reste tenu par le droit humanitaire, tandis que les personnes appartenant au camp agresseur conservent les protections applicables. La violation de la Charte n’autorise donc pas l’adversaire à méconnaître les règles de conduite du conflit. Il faut établir deux raisonnements distincts, même lorsque les faits étudiés sont identiques.</w:t>
      </w:r>
    </w:p>
    <w:p>
      <w:pPr>
        <w:pStyle w:val="SmallNote"/>
        <w:pageBreakBefore w:val="0"/>
      </w:pPr>
      <w:r>
        <w:t xml:space="preserve">Sources : </w:t>
      </w:r>
      <w:hyperlink r:id="rId39">
        <w:r>
          <w:t xml:space="preserve">CICR Définition du DIH et indépendance du jus ad bellum</w:t>
        </w:r>
      </w:hyperlink>
    </w:p>
    <w:p>
      <w:pPr>
        <w:pStyle w:val="Heading2"/>
        <w:keepNext/>
        <w:pageBreakBefore w:val="0"/>
      </w:pPr>
      <w:r>
        <w:t xml:space="preserve">II Interdiction de la force et protection de la souveraineté</w:t>
      </w:r>
    </w:p>
    <w:p>
      <w:pPr>
        <w:pStyle w:val="Heading3"/>
        <w:keepNext/>
        <w:pageBreakBefore w:val="0"/>
      </w:pPr>
      <w:r>
        <w:t xml:space="preserve">A Article 2 paragraphe 4 de la Charte</w:t>
      </w:r>
    </w:p>
    <w:p>
      <w:pPr>
        <w:pageBreakBefore w:val="0"/>
      </w:pPr>
      <w:r>
        <w:t xml:space="preserve">L’article 2 §4 de la Charte interdit aux États, dans leurs relations internationales, la menace et l’emploi de la force contre l’intégrité territoriale ou l’indépendance politique d’un autre État, ainsi que toute autre utilisation incompatible avec les buts des Nations Unies. La règle concerne la force armée ; toute pression politique ou économique n’est donc pas automatiquement une violation de cette disposition. L’absence de déclaration formelle de guerre ne soustrait pas une opération militaire à l’interdiction.</w:t>
      </w:r>
    </w:p>
    <w:p>
      <w:pPr>
        <w:pStyle w:val="SmallNote"/>
        <w:pageBreakBefore w:val="0"/>
      </w:pPr>
      <w:r>
        <w:t xml:space="preserve">Sources : </w:t>
      </w:r>
      <w:hyperlink r:id="rId40">
        <w:r>
          <w:t xml:space="preserve">UNJF Leçon 8 pages 4, 6</w:t>
        </w:r>
      </w:hyperlink>
      <w:r>
        <w:t xml:space="preserve"> · </w:t>
      </w:r>
      <w:hyperlink r:id="rId41">
        <w:r>
          <w:t xml:space="preserve">Charte de l’ONU - Article 2, paragraphe 4</w:t>
        </w:r>
      </w:hyperlink>
    </w:p>
    <w:p>
      <w:pPr>
        <w:pageBreakBefore w:val="0"/>
      </w:pPr>
      <w:r>
        <w:t xml:space="preserve">Le non-recours à la force ne résulte pas seulement d’un traité. Dans l’affaire des Activités militaires et paramilitaires au Nicaragua, l’arrêt du 27 juin 1986 reconnaît aussi son caractère coutumier. Cette double base importe : la règle ne se réduit pas à une obligation entre les seuls signataires d’un texte. Il faut toutefois éviter de déduire trop rapidement de son importance le régime exact de toutes ses composantes, notamment lorsque sont discutées les normes impératives et leurs rapports avec les usages licites de la force.</w:t>
      </w:r>
    </w:p>
    <w:p>
      <w:pPr>
        <w:pStyle w:val="SmallNote"/>
        <w:pageBreakBefore w:val="0"/>
      </w:pPr>
      <w:r>
        <w:t xml:space="preserve">Sources : </w:t>
      </w:r>
      <w:hyperlink r:id="rId42">
        <w:r>
          <w:t xml:space="preserve">UNJF Leçon 8 pages 6, 7</w:t>
        </w:r>
      </w:hyperlink>
    </w:p>
    <w:p>
      <w:pPr>
        <w:pStyle w:val="Heading3"/>
        <w:keepNext/>
        <w:pageBreakBefore w:val="0"/>
      </w:pPr>
      <w:r>
        <w:t xml:space="preserve">B La non intervention et le consentement territorial</w:t>
      </w:r>
    </w:p>
    <w:p>
      <w:pPr>
        <w:pageBreakBefore w:val="0"/>
      </w:pPr>
      <w:r>
        <w:t xml:space="preserve">La non-intervention interdit la contrainte exercée sur les choix qu’un État peut librement effectuer, notamment concernant son organisation politique. Elle ne se confond pas entièrement avec l’interdiction de la force : le soutien apporté à des groupes armés peut soulever plusieurs qualifications. Dans l’affaire Nicaragua, la CIJ rejette l’idée qu’une simple demande de l’opposition permettrait à un autre État d’intervenir militairement pour renverser le gouvernement. Une préférence politique étrangère ne constitue pas un titre juridique d’intervention.</w:t>
      </w:r>
    </w:p>
    <w:p>
      <w:pPr>
        <w:pStyle w:val="SmallNote"/>
        <w:pageBreakBefore w:val="0"/>
      </w:pPr>
      <w:r>
        <w:t xml:space="preserve">Sources : </w:t>
      </w:r>
      <w:hyperlink r:id="rId43">
        <w:r>
          <w:t xml:space="preserve">CIJ - Nicaragua, arrêt du 27 juin 1986, notamment paragraphes 202 à 209 et 246</w:t>
        </w:r>
      </w:hyperlink>
    </w:p>
    <w:p>
      <w:pPr>
        <w:pageBreakBefore w:val="0"/>
      </w:pPr>
      <w:r>
        <w:t xml:space="preserve">Le consentement valable de l’État territorial constitue une situation différente d’une opération menée contre lui. Il doit être établi, émaner d’une autorité compétente et rester dans les limites acceptées. Une autorisation donnée pour une mission précise ne permet pas n’importe quelle opération sur l’ensemble du territoire ni pour une durée illimitée. Dans l’affaire des Activités armées sur le territoire du Congo, l’arrêt du 19 décembre 2005 montre qu’une présence initialement acceptée ne fournit pas un fondement permanent à toutes les opérations ultérieures de l’État intervenant.</w:t>
      </w:r>
    </w:p>
    <w:p>
      <w:pPr>
        <w:pStyle w:val="SmallNote"/>
        <w:pageBreakBefore w:val="0"/>
      </w:pPr>
      <w:r>
        <w:t xml:space="preserve">Sources : </w:t>
      </w:r>
      <w:hyperlink r:id="rId44">
        <w:r>
          <w:t xml:space="preserve">CIJ - Activités armées sur le territoire du Congo, arrêt du 19 décembre 2005</w:t>
        </w:r>
      </w:hyperlink>
    </w:p>
    <w:p>
      <w:pPr>
        <w:pStyle w:val="Heading2"/>
        <w:keepNext/>
        <w:pageBreakBefore w:val="0"/>
      </w:pPr>
      <w:r>
        <w:t xml:space="preserve">III Les fondements des recours licites à la force</w:t>
      </w:r>
    </w:p>
    <w:p>
      <w:pPr>
        <w:pStyle w:val="Heading3"/>
        <w:keepNext/>
        <w:pageBreakBefore w:val="0"/>
      </w:pPr>
      <w:r>
        <w:t xml:space="preserve">A La légitime défense individuelle ou collective</w:t>
      </w:r>
    </w:p>
    <w:p>
      <w:pPr>
        <w:pStyle w:val="Definition"/>
        <w:pageBreakBefore w:val="0"/>
      </w:pPr>
      <w:r>
        <w:t xml:space="preserve">La légitime défense est le droit d’un État victime d’une agression armée de prendre les mesures nécessaires et proportionnées pour se défendre. L’article 51 de la Charte en reconnaît l’exercice individuel ou collectif. La légitime défense collective permet à d’autres États de porter assistance à la victime ; elle ne dispense pas d’établir l’agression ni la demande d’aide de l’État concerné.</w:t>
      </w:r>
    </w:p>
    <w:p>
      <w:pPr>
        <w:pStyle w:val="SmallNote"/>
        <w:pageBreakBefore w:val="0"/>
      </w:pPr>
      <w:r>
        <w:t xml:space="preserve">Sources : </w:t>
      </w:r>
      <w:hyperlink r:id="rId45">
        <w:r>
          <w:t xml:space="preserve">UNJF Leçon 8 pages 7, 8</w:t>
        </w:r>
      </w:hyperlink>
    </w:p>
    <w:p>
      <w:pPr>
        <w:pageBreakBefore w:val="0"/>
      </w:pPr>
      <w:r>
        <w:t xml:space="preserve">L’agression armée constitue un seuil juridique : toute tension, tout différend ou tout comportement inamical ne suffit pas. La nécessité impose que l’action serve effectivement à répondre à l’attaque. La proportionnalité limite l’opération à ce qu’exige cet objectif défensif ; elle ne se résume pas à une égalité arithmétique entre les pertes ou les armes utilisées. Ces exigences coutumières sont rappelées notamment par la CIJ dans l’affaire des Plates-formes pétrolières, le 6 novembre 2003.</w:t>
      </w:r>
    </w:p>
    <w:p>
      <w:pPr>
        <w:pStyle w:val="SmallNote"/>
        <w:pageBreakBefore w:val="0"/>
      </w:pPr>
      <w:r>
        <w:t xml:space="preserve">Sources : </w:t>
      </w:r>
      <w:hyperlink r:id="rId46">
        <w:r>
          <w:t xml:space="preserve">UNJF Leçon 8 pages 7, 8</w:t>
        </w:r>
      </w:hyperlink>
      <w:r>
        <w:t xml:space="preserve"> · </w:t>
      </w:r>
      <w:hyperlink r:id="rId47">
        <w:r>
          <w:t xml:space="preserve">CIJ - Plates-formes pétrolières, notamment paragraphes 51, 73 et 74</w:t>
        </w:r>
      </w:hyperlink>
    </w:p>
    <w:p>
      <w:pPr>
        <w:pageBreakBefore w:val="0"/>
      </w:pPr>
      <w:r>
        <w:t xml:space="preserve">La légitime défense n’exige pas une autorisation préalable du Conseil de sécurité. L’article 51 impose cependant de l’informer immédiatement des mesures prises. Il maintient sa compétence et prévoit l’exercice de ce droit jusqu’à ce qu’il ait adopté les mesures nécessaires au maintien de la paix. Informer le Conseil ne transforme pas une opération injustifiée en opération licite : les conditions de fond doivent aussi être satisfaites.</w:t>
      </w:r>
    </w:p>
    <w:p>
      <w:pPr>
        <w:pStyle w:val="SmallNote"/>
        <w:pageBreakBefore w:val="0"/>
      </w:pPr>
      <w:r>
        <w:t xml:space="preserve">Sources : </w:t>
      </w:r>
      <w:hyperlink r:id="rId48">
        <w:r>
          <w:t xml:space="preserve">Charte de l’ONU - Article 51</w:t>
        </w:r>
      </w:hyperlink>
    </w:p>
    <w:p>
      <w:pPr>
        <w:pageBreakBefore w:val="0"/>
      </w:pPr>
      <w:r>
        <w:t xml:space="preserve">Si les forces de l’État A franchissent la frontière et attaquent l’État B, celui-ci peut, sous ces conditions, se défendre et solliciter une aide extérieure. La qualification ne donne pourtant pas carte blanche pour une guerre de conquête ou une punition sans rapport avec la défense. Inversement, attaquer un voisin au seul motif qu’il pourrait devenir dangereux dans plusieurs années ne suffit pas à établir la légitime défense.</w:t>
      </w:r>
    </w:p>
    <w:p>
      <w:pPr>
        <w:pStyle w:val="SmallNote"/>
        <w:pageBreakBefore w:val="0"/>
      </w:pPr>
      <w:r>
        <w:t xml:space="preserve">Sources : </w:t>
      </w:r>
      <w:hyperlink r:id="rId49">
        <w:r>
          <w:t xml:space="preserve">UNJF Leçon 8 pages 7, 8</w:t>
        </w:r>
      </w:hyperlink>
    </w:p>
    <w:p>
      <w:pPr>
        <w:pStyle w:val="SmallNote"/>
        <w:pageBreakBefore w:val="0"/>
      </w:pPr>
      <w:r>
        <w:t xml:space="preserve">Il ne faut pas apprendre l’existence d’un droit général à la guerre préventive. Les débats relatifs à une attaque imminente ou aux violences de groupes armés exigent des analyses particulières ; ils ne suppriment ni l’interdiction de principe ni la nécessité de justifier précisément le fondement invoqué.</w:t>
      </w:r>
    </w:p>
    <w:p>
      <w:pPr>
        <w:pStyle w:val="SmallNote"/>
        <w:pageBreakBefore w:val="0"/>
      </w:pPr>
      <w:r>
        <w:t xml:space="preserve">Sources : </w:t>
      </w:r>
      <w:hyperlink r:id="rId50">
        <w:r>
          <w:t xml:space="preserve">UNJF Leçon 8 pages 7, 8</w:t>
        </w:r>
      </w:hyperlink>
    </w:p>
    <w:p>
      <w:pPr>
        <w:pStyle w:val="Heading3"/>
        <w:keepNext/>
        <w:pageBreakBefore w:val="0"/>
      </w:pPr>
      <w:r>
        <w:t xml:space="preserve">B Le système de sécurité collective du Conseil de sécurité</w:t>
      </w:r>
    </w:p>
    <w:p>
      <w:pPr>
        <w:pageBreakBefore w:val="0"/>
      </w:pPr>
      <w:r>
        <w:t xml:space="preserve">La sécurité collective répond à une logique différente de la légitime défense. Le Conseil agit pour maintenir ou rétablir la paix, au titre du chapitre VII. Selon l’article 39, il qualifie une situation comme menace contre la paix, rupture de la paix ou acte d’agression. La menace à la paix permet de saisir des crises diverses ; son identification ne signifie pas automatiquement que le Conseil autorise une opération militaire.</w:t>
      </w:r>
    </w:p>
    <w:p>
      <w:pPr>
        <w:pStyle w:val="SmallNote"/>
        <w:pageBreakBefore w:val="0"/>
      </w:pPr>
      <w:r>
        <w:t xml:space="preserve">Sources : </w:t>
      </w:r>
      <w:hyperlink r:id="rId51">
        <w:r>
          <w:t xml:space="preserve">UNJF Leçon 5 pages 3, 4</w:t>
        </w:r>
      </w:hyperlink>
    </w:p>
    <w:p>
      <w:pPr>
        <w:pageBreakBefore w:val="0"/>
      </w:pPr>
      <w:r>
        <w:t xml:space="preserve">Le Conseil dispose de plusieurs instruments. L’article 40 envisage des mesures provisoires destinées à éviter l’aggravation de la situation. L’article 41 concerne des mesures sans emploi de la force armée, par exemple des restrictions économiques ou la rupture de relations diplomatiques. Si ces moyens sont ou paraissent inadéquats, l’article 42 permet une action militaire. Il n’est donc pas nécessaire d’attendre l’échec matériel de toutes les sanctions possibles avant de décider une telle action.</w:t>
      </w:r>
    </w:p>
    <w:p>
      <w:pPr>
        <w:pStyle w:val="SmallNote"/>
        <w:pageBreakBefore w:val="0"/>
      </w:pPr>
      <w:r>
        <w:t xml:space="preserve">Sources : </w:t>
      </w:r>
      <w:hyperlink r:id="rId52">
        <w:r>
          <w:t xml:space="preserve">UNJF Leçon 5 pages 5, 6</w:t>
        </w:r>
      </w:hyperlink>
    </w:p>
    <w:p>
      <w:pPr>
        <w:pageBreakBefore w:val="0"/>
      </w:pPr>
      <w:r>
        <w:t xml:space="preserve">Les forces prévues par les accords spéciaux de l’article 43 n’ayant pas été constituées selon le dispositif initial, le Conseil s’appuie notamment sur des États autorisés à agir. Il faut lire le mandat : objectif, bénéficiaires, moyens permis et limites. Une coalition ne tient pas son autorisation du seul fait que ses membres appartiennent à l’ONU ou invoquent la paix. La résolution 678 de 1990, relative à l’invasion du Koweït, fournit un exemple historique d’habilitation à employer la force.</w:t>
      </w:r>
    </w:p>
    <w:p>
      <w:pPr>
        <w:pStyle w:val="SmallNote"/>
        <w:pageBreakBefore w:val="0"/>
      </w:pPr>
      <w:r>
        <w:t xml:space="preserve">Sources : </w:t>
      </w:r>
      <w:hyperlink r:id="rId53">
        <w:r>
          <w:t xml:space="preserve">UNJF Leçon 8 pages 8, 9</w:t>
        </w:r>
      </w:hyperlink>
      <w:r>
        <w:t xml:space="preserve"> · </w:t>
      </w:r>
      <w:hyperlink r:id="rId54">
        <w:r>
          <w:t xml:space="preserve">UNJF Leçon 5 pages 6, 7</w:t>
        </w:r>
      </w:hyperlink>
    </w:p>
    <w:p>
      <w:pPr>
        <w:pageBreakBefore w:val="0"/>
      </w:pPr>
      <w:r>
        <w:t xml:space="preserve">La mise en œuvre demeure dépendante des choix politiques, du veto et des moyens fournis par les États. Ces limites expliquent certaines paralysies ; elles ne créent pas, à elles seules, une nouvelle exception à l’interdiction de la force. De même, l’existence d’une opération de maintien de la paix ne doit pas être confondue avec une permission générale de combattre : sa capacité d’action dépend de son mandat.</w:t>
      </w:r>
    </w:p>
    <w:p>
      <w:pPr>
        <w:pStyle w:val="SmallNote"/>
        <w:pageBreakBefore w:val="0"/>
      </w:pPr>
      <w:r>
        <w:t xml:space="preserve">Sources : </w:t>
      </w:r>
      <w:hyperlink r:id="rId55">
        <w:r>
          <w:t xml:space="preserve">UNJF Leçon 5 pages 6, 7, 13, 14, 17</w:t>
        </w:r>
      </w:hyperlink>
    </w:p>
    <w:p>
      <w:pPr>
        <w:pStyle w:val="Heading2"/>
        <w:keepNext/>
        <w:pageBreakBefore w:val="0"/>
      </w:pPr>
      <w:r>
        <w:t xml:space="preserve">IV Qualifier le conflit pour déterminer les règles applicables</w:t>
      </w:r>
    </w:p>
    <w:p>
      <w:pPr>
        <w:pStyle w:val="Heading3"/>
        <w:keepNext/>
        <w:pageBreakBefore w:val="0"/>
      </w:pPr>
      <w:r>
        <w:t xml:space="preserve">A Conflit international et conflit non international</w:t>
      </w:r>
    </w:p>
    <w:p>
      <w:pPr>
        <w:pStyle w:val="Definition"/>
        <w:pageBreakBefore w:val="0"/>
      </w:pPr>
      <w:r>
        <w:t xml:space="preserve">Un conflit armé international oppose des États recourant à la force armée l’un contre l’autre. Une déclaration de guerre n’est pas nécessaire ; même un affrontement limité peut déclencher l’application des règles correspondantes. Ces règles couvrent aussi l’occupation d’un territoire étranger, même sans résistance armée. La qualification repose sur les faits et les parties impliquées, non sur l’appellation choisie par les gouvernements.</w:t>
      </w:r>
    </w:p>
    <w:p>
      <w:pPr>
        <w:pStyle w:val="SmallNote"/>
        <w:pageBreakBefore w:val="0"/>
      </w:pPr>
      <w:r>
        <w:t xml:space="preserve">Sources : </w:t>
      </w:r>
      <w:hyperlink r:id="rId56">
        <w:r>
          <w:t xml:space="preserve">CICR Article 2 commun et commentaire Conflits entre États et occupation</w:t>
        </w:r>
      </w:hyperlink>
    </w:p>
    <w:p>
      <w:pPr>
        <w:pStyle w:val="Definition"/>
        <w:pageBreakBefore w:val="0"/>
      </w:pPr>
      <w:r>
        <w:t xml:space="preserve">Un conflit armé non international peut opposer les autorités étatiques à un groupe armé organisé, ou de tels groupes entre eux. Il suppose notamment une organisation suffisante des groupes et une intensité suffisante des hostilités. Les émeutes, troubles et violences isolées n’atteignent donc pas automatiquement ce seuil. Cette distinction ouvre l’étude du droit humanitaire, qui sera développée au chapitre suivant.</w:t>
      </w:r>
    </w:p>
    <w:p>
      <w:pPr>
        <w:pStyle w:val="SmallNote"/>
        <w:pageBreakBefore w:val="0"/>
      </w:pPr>
      <w:r>
        <w:t xml:space="preserve">Sources : </w:t>
      </w:r>
      <w:hyperlink r:id="rId57">
        <w:r>
          <w:t xml:space="preserve">CICR - Commentaire de l’article 3 commun, notamment paragraphes 456 et 457</w:t>
        </w:r>
      </w:hyperlink>
    </w:p>
    <w:p>
      <w:pPr>
        <w:pStyle w:val="Heading3"/>
        <w:keepNext/>
        <w:pageBreakBefore w:val="0"/>
      </w:pPr>
      <w:r>
        <w:t xml:space="preserve">B Le raisonnement à retenir</w:t>
      </w:r>
    </w:p>
    <w:p>
      <w:pPr>
        <w:pageBreakBefore w:val="0"/>
      </w:pPr>
      <w:r>
        <w:t xml:space="preserve">Pour analyser une opération, il faut successivement identifier les acteurs, qualifier le comportement, rechercher un fondement licite et vérifier ses conditions. Si un conflit armé existe, il faut ensuite déterminer les règles humanitaires applicables. Dire qu’une intervention poursuit un but généreux, qu’elle est politiquement nécessaire ou qu’elle respecte certaines règles humanitaires ne répond pas, à soi seul, à la question de sa licéité au regard de la Charte.</w:t>
      </w:r>
    </w:p>
    <w:p>
      <w:pPr>
        <w:pStyle w:val="SmallNote"/>
        <w:pageBreakBefore w:val="0"/>
      </w:pPr>
      <w:r>
        <w:t xml:space="preserve">Sources : </w:t>
      </w:r>
      <w:hyperlink r:id="rId58">
        <w:r>
          <w:t xml:space="preserve">UNJF Leçon 8 pages 7, 8, 9, 10</w:t>
        </w:r>
      </w:hyperlink>
    </w:p>
    <w:p>
      <w:pPr>
        <w:pStyle w:val="Heading1"/>
        <w:keepNext/>
        <w:pageBreakBefore w:val="0"/>
      </w:pPr>
      <w:r>
        <w:t xml:space="preserve">Droit humanitaire et intervention humanitaire</w:t>
      </w:r>
    </w:p>
    <w:p>
      <w:pPr>
        <w:pStyle w:val="SmallNote"/>
        <w:pageBreakBefore w:val="0"/>
      </w:pPr>
      <w:r>
        <w:t xml:space="preserve">Support ajouté : cours de complément, rédigé à partir de la leçon UNJF 8 et de sources officielles du CICR. La leçon fournie traite surtout de l’assistance et de l’ingérence ; les développements généraux sur le droit international humanitaire viennent des sources officielles indiquées. Ce texte ne reproduit pas la suite du CM du professeur.</w:t>
      </w:r>
    </w:p>
    <w:p>
      <w:pPr>
        <w:pStyle w:val="SmallNote"/>
        <w:pageBreakBefore w:val="0"/>
      </w:pPr>
      <w:r>
        <w:t xml:space="preserve">Sources : </w:t>
      </w:r>
      <w:hyperlink r:id="rId59">
        <w:r>
          <w:t xml:space="preserve">UNJF Leçon 8 pages 9, 10</w:t>
        </w:r>
      </w:hyperlink>
    </w:p>
    <w:p>
      <w:pPr>
        <w:pageBreakBefore w:val="0"/>
      </w:pPr>
      <w:r>
        <w:t xml:space="preserve">La protection des victimes soulève deux questions différentes : quelles règles doivent respecter ceux qui combattent, et dans quelles conditions des tiers peuvent-ils venir secourir les populations ? Une opération présentée comme humanitaire ne règle pas, à elle seule, sa qualification juridique. Il faut identifier ses acteurs, ses moyens et son fondement avant de conclure.</w:t>
      </w:r>
    </w:p>
    <w:p>
      <w:pPr>
        <w:pStyle w:val="SmallNote"/>
        <w:pageBreakBefore w:val="0"/>
      </w:pPr>
      <w:r>
        <w:t xml:space="preserve">Sources : </w:t>
      </w:r>
      <w:hyperlink r:id="rId60">
        <w:r>
          <w:t xml:space="preserve">UNJF Leçon 8 pages 9, 10</w:t>
        </w:r>
      </w:hyperlink>
    </w:p>
    <w:p>
      <w:pPr>
        <w:pStyle w:val="Heading2"/>
        <w:keepNext/>
        <w:pageBreakBefore w:val="0"/>
      </w:pPr>
      <w:r>
        <w:t xml:space="preserve">I Le droit applicable pendant les conflits armés</w:t>
      </w:r>
    </w:p>
    <w:p>
      <w:pPr>
        <w:pStyle w:val="Heading3"/>
        <w:keepNext/>
        <w:pageBreakBefore w:val="0"/>
      </w:pPr>
      <w:r>
        <w:t xml:space="preserve">A Séparer le droit du recours à la force et le droit dans la guerre</w:t>
      </w:r>
    </w:p>
    <w:p>
      <w:pPr>
        <w:pStyle w:val="Definition"/>
        <w:pageBreakBefore w:val="0"/>
      </w:pPr>
      <w:r>
        <w:rPr>
          <w:b/>
        </w:rPr>
        <w:t xml:space="preserve">Le jus ad bellum encadre le recours à la force entre États. Le jus in bello, ou droit international humanitaire (DIH), limite les effets des conflits armés : </w:t>
      </w:r>
      <w:r>
        <w:t xml:space="preserve">il protège les personnes qui ne participent pas ou plus aux hostilités et restreint les moyens et méthodes de combat.</w:t>
      </w:r>
    </w:p>
    <w:p>
      <w:pPr>
        <w:pageBreakBefore w:val="0"/>
      </w:pPr>
      <w:r>
        <w:t xml:space="preserve">Ces deux contrôles sont indépendants. Le DIH s’impose aux parties sans attendre que soit tranchée la responsabilité du déclenchement du conflit. Une partie qui affirme défendre une cause légitime reste tenue de respecter ses adversaires hors de combat et les civils. Réciproquement, l’illégalité d’un recours à la force ne prive pas sa population de protection.</w:t>
      </w:r>
    </w:p>
    <w:p>
      <w:pPr>
        <w:pStyle w:val="SmallNote"/>
        <w:pageBreakBefore w:val="0"/>
      </w:pPr>
      <w:r>
        <w:t xml:space="preserve">Source de cette distinction : CICR, « Jus ad bellum et jus in bello ».</w:t>
      </w:r>
    </w:p>
    <w:p>
      <w:pPr>
        <w:pStyle w:val="SmallNote"/>
        <w:pageBreakBefore w:val="0"/>
      </w:pPr>
      <w:r>
        <w:t xml:space="preserve">Sources : </w:t>
      </w:r>
      <w:hyperlink r:id="rId61">
        <w:r>
          <w:t xml:space="preserve">CICR — Jus ad bellum et jus in bello</w:t>
        </w:r>
      </w:hyperlink>
    </w:p>
    <w:p>
      <w:pPr>
        <w:pStyle w:val="Heading3"/>
        <w:keepNext/>
        <w:pageBreakBefore w:val="0"/>
      </w:pPr>
      <w:r>
        <w:t xml:space="preserve">B Qualifier le conflit et identifier les protections</w:t>
      </w:r>
    </w:p>
    <w:p>
      <w:pPr>
        <w:pageBreakBefore w:val="0"/>
      </w:pPr>
      <w:r>
        <w:t xml:space="preserve">Un conflit armé international oppose des États ; l’occupation relève également du DIH. Un conflit armé non international oppose un État à des groupes armés organisés, ou de tels groupes entre eux, avec une organisation et une intensité des hostilités suffisantes. Toute émeute n’est donc pas un conflit armé.</w:t>
      </w:r>
    </w:p>
    <w:p>
      <w:pPr>
        <w:pageBreakBefore w:val="0"/>
      </w:pPr>
      <w:r>
        <w:t xml:space="preserve">Les quatre Conventions de Genève du 12 août 1949 concernent les blessés sur terre, les naufragés et blessés sur mer, les prisonniers de guerre et les civils. Article 3 commun, protocoles additionnels et coutume complètent les protections selon le conflit.</w:t>
      </w:r>
    </w:p>
    <w:p>
      <w:pPr>
        <w:pStyle w:val="SmallNote"/>
        <w:pageBreakBefore w:val="0"/>
      </w:pPr>
      <w:r>
        <w:t xml:space="preserve">Source de la qualification et des textes applicables : CICR, questions fréquentes sur les conflits armés internationaux, rubriques CAI/CANI et Conventions de Genève.</w:t>
      </w:r>
    </w:p>
    <w:p>
      <w:pPr>
        <w:pStyle w:val="SmallNote"/>
        <w:pageBreakBefore w:val="0"/>
      </w:pPr>
      <w:r>
        <w:t xml:space="preserve">Sources : </w:t>
      </w:r>
      <w:hyperlink r:id="rId62">
        <w:r>
          <w:t xml:space="preserve">CICR — Qualification des conflits et Conventions de Genève</w:t>
        </w:r>
      </w:hyperlink>
    </w:p>
    <w:p>
      <w:pPr>
        <w:pStyle w:val="Heading2"/>
        <w:keepNext/>
        <w:pageBreakBefore w:val="0"/>
      </w:pPr>
      <w:r>
        <w:t xml:space="preserve">II Limiter la violence et protéger les personnes</w:t>
      </w:r>
    </w:p>
    <w:p>
      <w:pPr>
        <w:pStyle w:val="Heading3"/>
        <w:keepNext/>
        <w:pageBreakBefore w:val="0"/>
      </w:pPr>
      <w:r>
        <w:t xml:space="preserve">A Distinction proportionnalité et précautions</w:t>
      </w:r>
    </w:p>
    <w:p>
      <w:pPr>
        <w:pageBreakBefore w:val="0"/>
      </w:pPr>
      <w:r>
        <w:t xml:space="preserve">La distinction impose de séparer civils et combattants, ainsi que biens civils et objectifs militaires. Les civils ne peuvent être attaqués en tant que tels ; ils perdent leur protection contre l’attaque pendant leur participation directe aux hostilités. Une attaque sans discrimination demeure interdite. Le principe d’humanité interdit aussi de considérer la souffrance des personnes comme une conséquence juridiquement indifférente de la guerre.</w:t>
      </w:r>
    </w:p>
    <w:p>
      <w:pPr>
        <w:pageBreakBefore w:val="0"/>
      </w:pPr>
      <w:r>
        <w:t xml:space="preserve">La proportionnalité interdit une attaque dont les dommages civils incidents prévisibles seraient excessifs par rapport à l’avantage militaire concret et direct attendu. Elle ne signifie ni égalité des pertes entre les camps, ni autorisation de viser volontairement des civils. Il faut apprécier les conséquences anticipables et l’avantage de l’attaque, sans transformer toute perte civile en preuve automatique de licéité ou d’illicéité.</w:t>
      </w:r>
    </w:p>
    <w:p>
      <w:pPr>
        <w:pStyle w:val="SmallNote"/>
        <w:pageBreakBefore w:val="0"/>
      </w:pPr>
      <w:r>
        <w:t xml:space="preserve">Sources : CICR, règles de la guerre ; Protocole additionnel I, article 51, notamment paragraphes 2 à 5. Ces repères généraux ne remplacent pas l’examen du droit applicable au conflit considéré.</w:t>
      </w:r>
    </w:p>
    <w:p>
      <w:pPr>
        <w:pStyle w:val="SmallNote"/>
        <w:pageBreakBefore w:val="0"/>
      </w:pPr>
      <w:r>
        <w:t xml:space="preserve">Sources : </w:t>
      </w:r>
      <w:hyperlink r:id="rId63">
        <w:r>
          <w:t xml:space="preserve">CICR — Règles de la guerre</w:t>
        </w:r>
      </w:hyperlink>
      <w:r>
        <w:t xml:space="preserve"> · </w:t>
      </w:r>
      <w:hyperlink r:id="rId64">
        <w:r>
          <w:t xml:space="preserve">Protocole additionnel I — Article 51</w:t>
        </w:r>
      </w:hyperlink>
    </w:p>
    <w:p>
      <w:pPr>
        <w:pageBreakBefore w:val="0"/>
      </w:pPr>
      <w:r>
        <w:t xml:space="preserve">Les précautions obligent à préparer et conduire les opérations en cherchant à épargner les civils : vérifier les cibles, choisir les moyens et le moment de l’attaque, et la suspendre ou l’annuler lorsque les conditions légales ne sont plus réunies. La présence d’un objectif militaire ne dispense donc jamais de cette analyse.</w:t>
      </w:r>
    </w:p>
    <w:p>
      <w:pPr>
        <w:pStyle w:val="SmallNote"/>
        <w:pageBreakBefore w:val="0"/>
      </w:pPr>
      <w:r>
        <w:t xml:space="preserve">Sources : </w:t>
      </w:r>
      <w:hyperlink r:id="rId65">
        <w:r>
          <w:t xml:space="preserve">Protocole additionnel I — Article 57 (texte anglais)</w:t>
        </w:r>
      </w:hyperlink>
    </w:p>
    <w:p>
      <w:pPr>
        <w:pageBreakBefore w:val="0"/>
      </w:pPr>
      <w:r>
        <w:t xml:space="preserve">Exemple pédagogique : un dépôt militaire est situé près d’habitations. Identifier un objectif militaire constitue seulement le début du raisonnement. Il faut aussi étudier les dommages civils attendus et les précautions possibles. Le seul mot « militaire » ne suffit pas à justifier l’attaque, et le nombre de victimes du camp adverse ne fournit pas le critère de proportionnalité.</w:t>
      </w:r>
    </w:p>
    <w:p>
      <w:pPr>
        <w:pStyle w:val="SmallNote"/>
        <w:pageBreakBefore w:val="0"/>
      </w:pPr>
      <w:r>
        <w:t xml:space="preserve">Sources : </w:t>
      </w:r>
      <w:hyperlink r:id="rId66">
        <w:r>
          <w:t xml:space="preserve">Protocole additionnel I — Article 57 (texte anglais)</w:t>
        </w:r>
      </w:hyperlink>
    </w:p>
    <w:p>
      <w:pPr>
        <w:pStyle w:val="Heading3"/>
        <w:keepNext/>
        <w:pageBreakBefore w:val="0"/>
      </w:pPr>
      <w:r>
        <w:t xml:space="preserve">B Humanité détention et déplacements</w:t>
      </w:r>
    </w:p>
    <w:p>
      <w:pPr>
        <w:pageBreakBefore w:val="0"/>
      </w:pPr>
      <w:r>
        <w:t xml:space="preserve">Être capturé ou blessé ne fait pas disparaître la protection juridique. L’article 3 commun prohibe notamment meurtre, torture, traitements cruels, prises d’otages et atteintes à la dignité des personnes ne participant pas ou plus aux hostilités. Il prévoit aussi le recueil et les soins des blessés. Traiter humainement un adversaire ne revient pas à approuver son comportement.</w:t>
      </w:r>
    </w:p>
    <w:p>
      <w:pPr>
        <w:pStyle w:val="SmallNote"/>
        <w:pageBreakBefore w:val="0"/>
      </w:pPr>
      <w:r>
        <w:t xml:space="preserve">Sources : </w:t>
      </w:r>
      <w:hyperlink r:id="rId67">
        <w:r>
          <w:t xml:space="preserve">Conventions de Genève — Article 3 commun</w:t>
        </w:r>
      </w:hyperlink>
    </w:p>
    <w:p>
      <w:pPr>
        <w:pageBreakBefore w:val="0"/>
      </w:pPr>
      <w:r>
        <w:t xml:space="preserve">Le DIH et le droit des réfugiés doivent être distingués. Le déplacement à l’intérieur du pays ne fait pas, à lui seul, de la personne un réfugié. Le statut de réfugié relève notamment de la Convention de 1951 et de ses conditions ; le franchissement d’une frontière ne suffit pas automatiquement. En situation de conflit, ces personnes peuvent également bénéficier du DIH. Les protections peuvent se cumuler sans devenir identiques.</w:t>
      </w:r>
    </w:p>
    <w:p>
      <w:pPr>
        <w:pStyle w:val="SmallNote"/>
        <w:pageBreakBefore w:val="0"/>
      </w:pPr>
      <w:r>
        <w:t xml:space="preserve">Sources : </w:t>
      </w:r>
      <w:hyperlink r:id="rId68">
        <w:r>
          <w:t xml:space="preserve">CICR — Réfugiés, personnes déplacées et DIH</w:t>
        </w:r>
      </w:hyperlink>
    </w:p>
    <w:p>
      <w:pPr>
        <w:pStyle w:val="Heading2"/>
        <w:keepNext/>
        <w:pageBreakBefore w:val="0"/>
      </w:pPr>
      <w:r>
        <w:t xml:space="preserve">III Assistance humanitaire et limites des interventions</w:t>
      </w:r>
    </w:p>
    <w:p>
      <w:pPr>
        <w:pStyle w:val="Heading3"/>
        <w:keepNext/>
        <w:pageBreakBefore w:val="0"/>
      </w:pPr>
      <w:r>
        <w:t xml:space="preserve">A Secourir sans prendre parti</w:t>
      </w:r>
    </w:p>
    <w:p>
      <w:pPr>
        <w:pageBreakBefore w:val="0"/>
      </w:pPr>
      <w:r>
        <w:t xml:space="preserve">L’assistance consiste à fournir des secours destinés aux besoins des populations : nourriture, soins, eau ou abris. L’UNJF la distingue de l’intervention armée et présente les débats sur l’ingérence. Il faut toutefois éviter d’enfermer toute l’aide humanitaire dans une seule catégorie d’acteurs : son caractère humanitaire dépend notamment de son objet et de son impartialité.</w:t>
      </w:r>
    </w:p>
    <w:p>
      <w:pPr>
        <w:pStyle w:val="SmallNote"/>
        <w:pageBreakBefore w:val="0"/>
      </w:pPr>
      <w:r>
        <w:t xml:space="preserve">Sources : </w:t>
      </w:r>
      <w:hyperlink r:id="rId69">
        <w:r>
          <w:t xml:space="preserve">UNJF Leçon 8 pages 9, 10</w:t>
        </w:r>
      </w:hyperlink>
    </w:p>
    <w:p>
      <w:pPr>
        <w:pageBreakBefore w:val="0"/>
      </w:pPr>
      <w:r>
        <w:t xml:space="preserve">Le CICR agit selon une mission humanitaire, avec neutralité, impartialité et indépendance. La neutralité signifie qu’il ne prend pas parti dans les hostilités ; l’impartialité conduit à répondre aux besoins sans discrimination défavorable. Ces principes permettent de rechercher l’accès aux personnes de tous les camps. Ils ne signifient ni indifférence devant les souffrances ni approbation des violations.</w:t>
      </w:r>
    </w:p>
    <w:p>
      <w:pPr>
        <w:pStyle w:val="SmallNote"/>
        <w:pageBreakBefore w:val="0"/>
      </w:pPr>
      <w:r>
        <w:t xml:space="preserve">Sources : </w:t>
      </w:r>
      <w:hyperlink r:id="rId70">
        <w:r>
          <w:t xml:space="preserve">CICR — Neutralité : questions et réponses</w:t>
        </w:r>
      </w:hyperlink>
    </w:p>
    <w:p>
      <w:pPr>
        <w:pageBreakBefore w:val="0"/>
      </w:pPr>
      <w:r>
        <w:t xml:space="preserve">Une organisation humanitaire impartiale peut offrir ses services. Leur mise en œuvre dépend en principe du consentement des parties concernées, qui ne peut être refusé arbitrairement. Une fois l’aide acceptée, son passage doit être facilité, sous des contrôles compatibles avec l’acheminement des secours. Les règles comportent des dispositions spécifiques, notamment en territoire occupé : il faut les examiner, plutôt qu’affirmer que le CICR pourrait toujours entrer sans accord.</w:t>
      </w:r>
    </w:p>
    <w:p>
      <w:pPr>
        <w:pStyle w:val="SmallNote"/>
        <w:pageBreakBefore w:val="0"/>
      </w:pPr>
      <w:r>
        <w:t xml:space="preserve">Sources : </w:t>
      </w:r>
      <w:hyperlink r:id="rId71">
        <w:r>
          <w:t xml:space="preserve">CICR — Accès humanitaire : ce que dit le droit</w:t>
        </w:r>
      </w:hyperlink>
    </w:p>
    <w:p>
      <w:pPr>
        <w:pStyle w:val="Heading3"/>
        <w:keepNext/>
        <w:pageBreakBefore w:val="0"/>
      </w:pPr>
      <w:r>
        <w:t xml:space="preserve">B Une finalité humanitaire ne crée pas une permission générale de combattre</w:t>
      </w:r>
    </w:p>
    <w:p>
      <w:pPr>
        <w:pageBreakBefore w:val="0"/>
      </w:pPr>
      <w:r>
        <w:t xml:space="preserve">Une opération militaire destinée à protéger une population reste soumise au droit du recours à la force. L’UNJF rappelle le rôle du consentement de l’État territorial et du système de sécurité collective. Le Conseil de sécurité peut décider ou autoriser des mesures dans le cadre de ses compétences ; un État ne reçoit pas une autorisation générale d’employer la force du seul fait qu’il invoque une urgence humanitaire.</w:t>
      </w:r>
    </w:p>
    <w:p>
      <w:pPr>
        <w:pStyle w:val="SmallNote"/>
        <w:pageBreakBefore w:val="0"/>
      </w:pPr>
      <w:r>
        <w:t xml:space="preserve">Sources : </w:t>
      </w:r>
      <w:hyperlink r:id="rId72">
        <w:r>
          <w:t xml:space="preserve">UNJF Leçon 8 pages 8, 9, 10</w:t>
        </w:r>
      </w:hyperlink>
    </w:p>
    <w:p>
      <w:pPr>
        <w:pageBreakBefore w:val="0"/>
      </w:pPr>
      <w:r>
        <w:t xml:space="preserve">Méthode : si un énoncé décrit un convoi de médicaments, on examine le secours et les conditions d’accès. S’il décrit le bombardement d’un État pour sauver ses habitants, on vérifie d’abord le fondement du recours à la force, puis le respect du DIH pendant l’opération. Le vocabulaire de l’urgence ne permet pas de sauter une de ces étapes.</w:t>
      </w:r>
    </w:p>
    <w:p>
      <w:pPr>
        <w:pStyle w:val="SmallNote"/>
        <w:pageBreakBefore w:val="0"/>
      </w:pPr>
      <w:r>
        <w:t xml:space="preserve">Sources : </w:t>
      </w:r>
      <w:hyperlink r:id="rId73">
        <w:r>
          <w:t xml:space="preserve">UNJF Leçon 8 pages 9, 10</w:t>
        </w:r>
      </w:hyperlink>
    </w:p>
    <w:p>
      <w:pPr>
        <w:pStyle w:val="Heading1"/>
        <w:keepNext/>
        <w:pageBreakBefore w:val="0"/>
      </w:pPr>
      <w:r>
        <w:t xml:space="preserve">Guerre juste et responsabilité de protéger</w:t>
      </w:r>
    </w:p>
    <w:p>
      <w:pPr>
        <w:pStyle w:val="SmallNote"/>
        <w:pageBreakBefore w:val="0"/>
      </w:pPr>
      <w:r>
        <w:t xml:space="preserve">Support ajouté : développement pédagogique fondé sur la leçon UNJF 8 et sur les textes officiels de l’ONU. Il présente les distinctions nécessaires pour travailler les dernières rubriques du plan ; il ne prétend pas reconstituer les formulations, exemples ou attentes d’examen du professeur.</w:t>
      </w:r>
    </w:p>
    <w:p>
      <w:pPr>
        <w:pStyle w:val="SmallNote"/>
        <w:pageBreakBefore w:val="0"/>
      </w:pPr>
      <w:r>
        <w:t xml:space="preserve">Sources : </w:t>
      </w:r>
      <w:hyperlink r:id="rId74">
        <w:r>
          <w:t xml:space="preserve">UNJF Leçon 8 pages 2, 3, 4, 8, 9, 10</w:t>
        </w:r>
      </w:hyperlink>
    </w:p>
    <w:p>
      <w:pPr>
        <w:pageBreakBefore w:val="0"/>
      </w:pPr>
      <w:r>
        <w:t xml:space="preserve">Comment protéger des populations menacées sans transformer chaque État en juge de la conduite de tous les autres ? Cette tension relie les débats anciens sur la guerre juste aux discussions contemporaines sur la responsabilité de protéger. Les deux notions ne se confondent pourtant pas : une appréciation morale de la guerre n’est pas un fondement juridique autonome du recours à la force.</w:t>
      </w:r>
    </w:p>
    <w:p>
      <w:pPr>
        <w:pStyle w:val="SmallNote"/>
        <w:pageBreakBefore w:val="0"/>
      </w:pPr>
      <w:r>
        <w:t xml:space="preserve">Sources : </w:t>
      </w:r>
      <w:hyperlink r:id="rId75">
        <w:r>
          <w:t xml:space="preserve">UNJF Leçon 8 pages 2, 10</w:t>
        </w:r>
      </w:hyperlink>
    </w:p>
    <w:p>
      <w:pPr>
        <w:pStyle w:val="Heading2"/>
        <w:keepNext/>
        <w:pageBreakBefore w:val="0"/>
      </w:pPr>
      <w:r>
        <w:t xml:space="preserve">I De la justification de la guerre à son encadrement juridique</w:t>
      </w:r>
    </w:p>
    <w:p>
      <w:pPr>
        <w:pStyle w:val="Heading3"/>
        <w:keepNext/>
        <w:pageBreakBefore w:val="0"/>
      </w:pPr>
      <w:r>
        <w:t xml:space="preserve">A Histoire des idées sur la guerre juste</w:t>
      </w:r>
    </w:p>
    <w:p>
      <w:pPr>
        <w:pStyle w:val="Definition"/>
        <w:pageBreakBefore w:val="0"/>
      </w:pPr>
      <w:r>
        <w:t xml:space="preserve">La notion de guerre juste renvoie aux doctrines qui cherchent à distinguer les guerres moralement ou politiquement justifiables de celles qui ne le sont pas. Elle interroge notamment les motifs et les conditions de l’emploi de la violence. Il faut distinguer ce débat de la constatation d’une compétence juridique permettant aujourd’hui de recourir à la force.</w:t>
      </w:r>
    </w:p>
    <w:p>
      <w:pPr>
        <w:pStyle w:val="SmallNote"/>
        <w:pageBreakBefore w:val="0"/>
      </w:pPr>
      <w:r>
        <w:t xml:space="preserve">Sources : </w:t>
      </w:r>
      <w:hyperlink r:id="rId76">
        <w:r>
          <w:t xml:space="preserve">UNJF Leçon 8 pages 2</w:t>
        </w:r>
      </w:hyperlink>
    </w:p>
    <w:p>
      <w:pPr>
        <w:pageBreakBefore w:val="0"/>
      </w:pPr>
      <w:r>
        <w:t xml:space="preserve">L’UNJF rappelle qu’une longue période de l’histoire des relations internationales a admis une large liberté étatique de faire la guerre. Les références à la justice de la cause n’empêchaient donc pas les États de défendre leur propre lecture de leurs droits. Pour comprendre l’évolution, il faut opposer la prétention à décider soi-même du bien-fondé d’une guerre et la construction de règles communes limitant cette décision.</w:t>
      </w:r>
    </w:p>
    <w:p>
      <w:pPr>
        <w:pStyle w:val="SmallNote"/>
        <w:pageBreakBefore w:val="0"/>
      </w:pPr>
      <w:r>
        <w:t xml:space="preserve">Sources : </w:t>
      </w:r>
      <w:hyperlink r:id="rId77">
        <w:r>
          <w:t xml:space="preserve">UNJF Leçon 8 pages 2</w:t>
        </w:r>
      </w:hyperlink>
    </w:p>
    <w:p>
      <w:pPr>
        <w:pageBreakBefore w:val="0"/>
      </w:pPr>
      <w:r>
        <w:t xml:space="preserve">Thomas d’Aquin, dans la Somme théologique, IIa-IIae, question 40, article 1, formule trois conditions de la guerre juste : l’autorité du prince, une cause juste et une intention droite. La décision ne relève pas de l’initiative de chaque particulier ; elle engage l’autorité chargée du bien commun. La cause et l’intention ne sont pas interchangeables : même une autorité compétente invoquant une cause juste peut agir avec une intention mauvaise. Ces critères appartiennent à une réflexion théologique et morale historique. Ils aident à comprendre les débats sur la justification de la guerre, mais ne constituent pas, en droit contemporain, trois exceptions supplémentaires à la Charte des Nations Unies.</w:t>
      </w:r>
    </w:p>
    <w:p>
      <w:pPr>
        <w:pStyle w:val="SmallNote"/>
        <w:pageBreakBefore w:val="0"/>
      </w:pPr>
      <w:r>
        <w:t xml:space="preserve">Sources : </w:t>
      </w:r>
      <w:hyperlink r:id="rId78">
        <w:r>
          <w:t xml:space="preserve">Thomas d’Aquin Somme théologique IIa IIae question 40 article 1 Texte primaire traduction anglaise</w:t>
        </w:r>
      </w:hyperlink>
    </w:p>
    <w:p>
      <w:pPr>
        <w:pStyle w:val="Heading3"/>
        <w:keepNext/>
        <w:pageBreakBefore w:val="0"/>
      </w:pPr>
      <w:r>
        <w:t xml:space="preserve">B Interdiction contemporaine du recours à la force</w:t>
      </w:r>
    </w:p>
    <w:p>
      <w:pPr>
        <w:pageBreakBefore w:val="0"/>
      </w:pPr>
      <w:r>
        <w:t xml:space="preserve">L’évolution s’est faite progressivement. La Convention Drago-Porter de 1907 limite un emploi particulier de la force, lié au recouvrement des dettes contractuelles. Le Pacte de la Société des Nations encadre la guerre sans la supprimer complètement. Le Pacte Briand-Kellogg de 1928 condamne la guerre comme instrument de politique nationale, mais ses mécanismes d’application restent limités. La Charte de 1945 institue ensuite un cadre plus général.</w:t>
      </w:r>
    </w:p>
    <w:p>
      <w:pPr>
        <w:pStyle w:val="SmallNote"/>
        <w:pageBreakBefore w:val="0"/>
      </w:pPr>
      <w:r>
        <w:t xml:space="preserve">Sources : </w:t>
      </w:r>
      <w:hyperlink r:id="rId79">
        <w:r>
          <w:t xml:space="preserve">UNJF Leçon 8 pages 2, 3, 4</w:t>
        </w:r>
      </w:hyperlink>
    </w:p>
    <w:p>
      <w:pPr>
        <w:pageBreakBefore w:val="0"/>
      </w:pPr>
      <w:r>
        <w:t xml:space="preserve">L’article 2, paragraphe 4, de la Charte interdit la menace ou l’emploi de la force dans les relations internationales. La légitime défense et les mesures décidées ou autorisées dans le cadre de la sécurité collective relèvent de conditions juridiques précises. Une cause proclamée juste ne dispense pas de les vérifier ; la conviction d’agir moralement ne remplace ni ces conditions ni l’examen des faits.</w:t>
      </w:r>
    </w:p>
    <w:p>
      <w:pPr>
        <w:pStyle w:val="SmallNote"/>
        <w:pageBreakBefore w:val="0"/>
      </w:pPr>
      <w:r>
        <w:t xml:space="preserve">Sources : </w:t>
      </w:r>
      <w:hyperlink r:id="rId80">
        <w:r>
          <w:t xml:space="preserve">UNJF Leçon 8 pages 4, 7, 8</w:t>
        </w:r>
      </w:hyperlink>
    </w:p>
    <w:p>
      <w:pPr>
        <w:pageBreakBefore w:val="0"/>
      </w:pPr>
      <w:r>
        <w:t xml:space="preserve">Exemple pédagogique : un État annonce qu’il va employer la force afin de punir un gouvernement qu’il juge immoral. L’analyse ne peut pas s’arrêter à la gravité alléguée des faits. Elle doit demander quelle règle autorise l’opération et quelles conditions elle impose. L’affirmation d’une bonne intention constitue un élément du discours politique ; elle ne produit pas, par elle-même, une autorisation juridique.</w:t>
      </w:r>
    </w:p>
    <w:p>
      <w:pPr>
        <w:pStyle w:val="SmallNote"/>
        <w:pageBreakBefore w:val="0"/>
      </w:pPr>
      <w:r>
        <w:t xml:space="preserve">Sources : </w:t>
      </w:r>
      <w:hyperlink r:id="rId81">
        <w:r>
          <w:t xml:space="preserve">UNJF Leçon 8 pages 4, 8, 9, 10</w:t>
        </w:r>
      </w:hyperlink>
    </w:p>
    <w:p>
      <w:pPr>
        <w:pStyle w:val="Heading2"/>
        <w:keepNext/>
        <w:pageBreakBefore w:val="0"/>
      </w:pPr>
      <w:r>
        <w:t xml:space="preserve">II La responsabilité de protéger objet et acteurs</w:t>
      </w:r>
    </w:p>
    <w:p>
      <w:pPr>
        <w:pStyle w:val="Heading3"/>
        <w:keepNext/>
        <w:pageBreakBefore w:val="0"/>
      </w:pPr>
      <w:r>
        <w:t xml:space="preserve">A Atrocités concernées et responsabilité première des États</w:t>
      </w:r>
    </w:p>
    <w:p>
      <w:pPr>
        <w:pStyle w:val="Definition"/>
        <w:pageBreakBefore w:val="0"/>
      </w:pPr>
      <w:r>
        <w:t xml:space="preserve">La responsabilité de protéger, souvent abrégée R2P, est l’engagement de protéger les populations contre le génocide, les crimes de guerre, le nettoyage ethnique et les crimes contre l’humanité. Elle est consacrée aux paragraphes 138 et 139 du Document final du Sommet mondial de 2005, adopté par la résolution 60/1 de l’Assemblée générale le 16 septembre 2005.</w:t>
      </w:r>
    </w:p>
    <w:p>
      <w:pPr>
        <w:pStyle w:val="SmallNote"/>
        <w:pageBreakBefore w:val="0"/>
      </w:pPr>
      <w:r>
        <w:t xml:space="preserve">Sources : </w:t>
      </w:r>
      <w:hyperlink r:id="rId82">
        <w:r>
          <w:t xml:space="preserve">UNJF Leçon 8 pages 10</w:t>
        </w:r>
      </w:hyperlink>
    </w:p>
    <w:p>
      <w:pPr>
        <w:pageBreakBefore w:val="0"/>
      </w:pPr>
      <w:r>
        <w:t xml:space="preserve">Le premier responsable est chaque État à l’égard de ses populations. La prévention fait partie de cet engagement : la protection ne commence pas seulement après la commission d’atrocités. Le texte prévoit aussi une aide internationale aux États pour qu’ils puissent remplir cette responsabilité. La souveraineté est donc envisagée avec des responsabilités de protection, sans être purement effacée.</w:t>
      </w:r>
    </w:p>
    <w:p>
      <w:pPr>
        <w:pStyle w:val="SmallNote"/>
        <w:pageBreakBefore w:val="0"/>
      </w:pPr>
      <w:r>
        <w:t xml:space="preserve">Sources : </w:t>
      </w:r>
      <w:hyperlink r:id="rId83">
        <w:r>
          <w:t xml:space="preserve">UNJF Leçon 8 pages 10</w:t>
        </w:r>
      </w:hyperlink>
    </w:p>
    <w:p>
      <w:pPr>
        <w:pStyle w:val="SmallNote"/>
        <w:pageBreakBefore w:val="0"/>
      </w:pPr>
      <w:r>
        <w:t xml:space="preserve">Source : Document final du Sommet mondial de 2005, paragraphes 138–139, pages 33–34. Il s’agit d’un engagement adopté par résolution, et non d’un nouveau traité autorisant automatiquement une intervention militaire.</w:t>
      </w:r>
    </w:p>
    <w:p>
      <w:pPr>
        <w:pStyle w:val="SmallNote"/>
        <w:pageBreakBefore w:val="0"/>
      </w:pPr>
      <w:r>
        <w:t xml:space="preserve">Sources : </w:t>
      </w:r>
      <w:hyperlink r:id="rId84">
        <w:r>
          <w:t xml:space="preserve">ONU — Résolution 60/1, §§ 138–139</w:t>
        </w:r>
      </w:hyperlink>
    </w:p>
    <w:p>
      <w:pPr>
        <w:pageBreakBefore w:val="0"/>
      </w:pPr>
      <w:r>
        <w:t xml:space="preserve">L’UNJF souligne que la protection internationale n’est pas conçue comme un remplacement permanent des institutions nationales. Elle traite la question des autorités qui ne protègent manifestement pas leurs populations et explique les réticences à l’ingérence. Pour réviser, il faut donc retenir ensemble l’objet limité de la R2P, le rôle premier de l’État et la possibilité d’une action internationale encadrée.</w:t>
      </w:r>
    </w:p>
    <w:p>
      <w:pPr>
        <w:pStyle w:val="SmallNote"/>
        <w:pageBreakBefore w:val="0"/>
      </w:pPr>
      <w:r>
        <w:t xml:space="preserve">Sources : </w:t>
      </w:r>
      <w:hyperlink r:id="rId85">
        <w:r>
          <w:t xml:space="preserve">UNJF Leçon 8 pages 10</w:t>
        </w:r>
      </w:hyperlink>
    </w:p>
    <w:p>
      <w:pPr>
        <w:pStyle w:val="Heading3"/>
        <w:keepNext/>
        <w:pageBreakBefore w:val="0"/>
      </w:pPr>
      <w:r>
        <w:t xml:space="preserve">B Les trois piliers de mise en œuvre</w:t>
      </w:r>
    </w:p>
    <w:p>
      <w:pPr>
        <w:pageBreakBefore w:val="0"/>
      </w:pPr>
      <w:r>
        <w:t xml:space="preserve">La présentation de l’ONU distingue trois piliers : la protection assurée par l’État ; l’aide et le renforcement de ses capacités par la communauté internationale ; la réaction collective, résolue et en temps voulu, lorsque l’État manque manifestement à sa responsabilité. La R2P ne se réduit donc pas au dernier pilier ni à son éventuelle dimension militaire.</w:t>
      </w:r>
    </w:p>
    <w:p>
      <w:pPr>
        <w:pStyle w:val="SmallNote"/>
        <w:pageBreakBefore w:val="0"/>
      </w:pPr>
      <w:r>
        <w:t xml:space="preserve">Sources : </w:t>
      </w:r>
      <w:hyperlink r:id="rId86">
        <w:r>
          <w:t xml:space="preserve">ONU — Les trois piliers de la responsabilité de protéger</w:t>
        </w:r>
      </w:hyperlink>
    </w:p>
    <w:p>
      <w:pPr>
        <w:pageBreakBefore w:val="0"/>
      </w:pPr>
      <w:r>
        <w:t xml:space="preserve">Le rapport du Secrétaire général de 2009 précise que ces piliers ne constituent pas une succession mécanique. Prévention, assistance et réaction doivent pouvoir être adaptées à la situation. L’alerte rapide, la circulation d’informations fiables et la capacité d’agir avant une crise sont importantes ; attendre l’échec complet de chaque mesure avant d’en envisager une autre risquerait de rendre la protection tardive.</w:t>
      </w:r>
    </w:p>
    <w:p>
      <w:pPr>
        <w:pStyle w:val="SmallNote"/>
        <w:pageBreakBefore w:val="0"/>
      </w:pPr>
      <w:r>
        <w:t xml:space="preserve">Sources : </w:t>
      </w:r>
      <w:hyperlink r:id="rId87">
        <w:r>
          <w:t xml:space="preserve">ONU — Rapport A/63/677, §§ 10–12</w:t>
        </w:r>
      </w:hyperlink>
    </w:p>
    <w:p>
      <w:pPr>
        <w:pStyle w:val="Heading2"/>
        <w:keepNext/>
        <w:pageBreakBefore w:val="0"/>
      </w:pPr>
      <w:r>
        <w:t xml:space="preserve">III Des moyens encadrés par la Charte et des limites réelles</w:t>
      </w:r>
    </w:p>
    <w:p>
      <w:pPr>
        <w:pStyle w:val="Heading3"/>
        <w:keepNext/>
        <w:pageBreakBefore w:val="0"/>
      </w:pPr>
      <w:r>
        <w:t xml:space="preserve">A Prévenir assister et agir collectivement</w:t>
      </w:r>
    </w:p>
    <w:p>
      <w:pPr>
        <w:pageBreakBefore w:val="0"/>
      </w:pPr>
      <w:r>
        <w:t xml:space="preserve">Le paragraphe 139 prévoit les moyens diplomatiques, humanitaires et pacifiques, puis une action collective par le Conseil de sécurité, conformément à la Charte et au cas par cas, lorsque les moyens pacifiques sont inadéquats et les autorités nationales manifestement défaillantes. Il n’établit donc pas une exception générale nouvelle permettant à n’importe quel État de contourner l’article 2, paragraphe 4.</w:t>
      </w:r>
    </w:p>
    <w:p>
      <w:pPr>
        <w:pStyle w:val="SmallNote"/>
        <w:pageBreakBefore w:val="0"/>
      </w:pPr>
      <w:r>
        <w:t xml:space="preserve">Sources : </w:t>
      </w:r>
      <w:hyperlink r:id="rId88">
        <w:r>
          <w:t xml:space="preserve">UNJF Leçon 8 pages 10</w:t>
        </w:r>
      </w:hyperlink>
      <w:r>
        <w:t xml:space="preserve"> · </w:t>
      </w:r>
      <w:hyperlink r:id="rId89">
        <w:r>
          <w:t xml:space="preserve">ONU — Résolution 60/1, § 139</w:t>
        </w:r>
      </w:hyperlink>
    </w:p>
    <w:p>
      <w:pPr>
        <w:pageBreakBefore w:val="0"/>
      </w:pPr>
      <w:r>
        <w:t xml:space="preserve">Si une mesure militaire coercitive est envisagée au titre de cette responsabilité, il faut vérifier l’action du Conseil dans le cadre du chapitre VII et lire exactement la décision pertinente. Le constat d’une menace, le choix d’une mesure et sa mise en œuvre constituent des étapes différentes. Une autorisation limitée ne permet pas n’importe quelle action sous couvert de protection.</w:t>
      </w:r>
    </w:p>
    <w:p>
      <w:pPr>
        <w:pStyle w:val="SmallNote"/>
        <w:pageBreakBefore w:val="0"/>
      </w:pPr>
      <w:r>
        <w:t xml:space="preserve">Sources : </w:t>
      </w:r>
      <w:hyperlink r:id="rId90">
        <w:r>
          <w:t xml:space="preserve">UNJF Leçon 8 pages 8, 9, 10</w:t>
        </w:r>
      </w:hyperlink>
    </w:p>
    <w:p>
      <w:pPr>
        <w:pStyle w:val="Heading3"/>
        <w:keepNext/>
        <w:pageBreakBefore w:val="0"/>
      </w:pPr>
      <w:r>
        <w:t xml:space="preserve">B Comprendre les limites de la protection collective</w:t>
      </w:r>
    </w:p>
    <w:p>
      <w:pPr>
        <w:pageBreakBefore w:val="0"/>
      </w:pPr>
      <w:r>
        <w:t xml:space="preserve">L’UNJF relève les controverses sur l’effectivité de cette responsabilité : divergences entre États, réticences envers l’ingérence et paralysie possible du Conseil. Ces difficultés expliquent l’écart entre la protection souhaitée et les mesures effectivement prises. Elles ne prouvent cependant pas l’existence d’une permission générale d’intervenir unilatéralement lorsque la procédure collective n’aboutit pas.</w:t>
      </w:r>
    </w:p>
    <w:p>
      <w:pPr>
        <w:pStyle w:val="SmallNote"/>
        <w:pageBreakBefore w:val="0"/>
      </w:pPr>
      <w:r>
        <w:t xml:space="preserve">Sources : </w:t>
      </w:r>
      <w:hyperlink r:id="rId91">
        <w:r>
          <w:t xml:space="preserve">UNJF Leçon 8 pages 10</w:t>
        </w:r>
      </w:hyperlink>
    </w:p>
    <w:p>
      <w:pPr>
        <w:pageBreakBefore w:val="0"/>
      </w:pPr>
      <w:r>
        <w:t xml:space="preserve">Cas pédagogique : des crimes de masse sont signalés et le Conseil ne parvient pas à décider d’une opération. Il faut distinguer la nécessité de protéger, les mesures pacifiques encore possibles et le fondement juridique de toute force envisagée. Conclure que le blocage autorise automatiquement une coalition serait une erreur ; conclure qu’aucune protection ne peut plus être recherchée serait également trop rapide.</w:t>
      </w:r>
    </w:p>
    <w:p>
      <w:pPr>
        <w:pStyle w:val="SmallNote"/>
        <w:pageBreakBefore w:val="0"/>
      </w:pPr>
      <w:r>
        <w:t xml:space="preserve">Sources : </w:t>
      </w:r>
      <w:hyperlink r:id="rId92">
        <w:r>
          <w:t xml:space="preserve">UNJF Leçon 8 pages 10</w:t>
        </w:r>
      </w:hyperlink>
    </w:p>
    <w:p>
      <w:pPr>
        <w:pageBreakBefore w:val="0"/>
      </w:pPr>
      <w:r>
        <w:t xml:space="preserve">Méthode de synthèse : préciser les faits et les catégories d’atrocités invoquées ; rechercher l’action de l’État territorial et l’aide possible ; identifier l’organe compétent et les moyens autorisés ; contrôler séparément le respect du DIH si un conflit existe. Cette démarche maintient la distinction entre la finalité de protection, la compétence pour agir et les limites imposées à l’action.</w:t>
      </w:r>
    </w:p>
    <w:p>
      <w:pPr>
        <w:pStyle w:val="SmallNote"/>
        <w:pageBreakBefore w:val="0"/>
      </w:pPr>
      <w:r>
        <w:t xml:space="preserve">Sources : </w:t>
      </w:r>
      <w:hyperlink r:id="rId93">
        <w:r>
          <w:t xml:space="preserve">UNJF Leçon 8 pages 8, 9, 10</w:t>
        </w:r>
      </w:hyperlink>
    </w:p>
    <w:sectPr w:rsidR="00FC693F" w:rsidRPr="0006063C" w:rsidSect="00034616">
      <w:headerReference w:type="default" r:id="rId9"/>
      <w:footerReference w:type="default" r:id="rId10"/>
      <w:pgSz w:w="12240" w:h="15840"/>
      <w:pgMar w:top="935"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L1 Toulouse Capitole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E6E6E"/>
        <w:sz w:val="16"/>
      </w:rPr>
      <w:t>Institutions internationales - Complément UNJF L1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Liberation Sans" w:hAnsi="Liberation Sans"/>
      <w:sz w:val="21"/>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20"/>
      <w:outlineLvl w:val="0"/>
    </w:pPr>
    <w:rPr>
      <w:rFonts w:asciiTheme="majorHAnsi" w:eastAsiaTheme="majorEastAsia" w:hAnsiTheme="majorHAnsi" w:cstheme="majorBidi" w:ascii="Liberation Sans" w:hAnsi="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80"/>
      <w:outlineLvl w:val="1"/>
    </w:pPr>
    <w:rPr>
      <w:rFonts w:asciiTheme="majorHAnsi" w:eastAsiaTheme="majorEastAsia" w:hAnsiTheme="majorHAnsi" w:cstheme="majorBidi" w:ascii="Liberation Sans" w:hAnsi="Liberation Sans"/>
      <w:b/>
      <w:bCs/>
      <w:color w:val="234D7D"/>
      <w:sz w:val="26"/>
      <w:szCs w:val="26"/>
    </w:rPr>
  </w:style>
  <w:style w:type="paragraph" w:styleId="Heading3">
    <w:name w:val="heading 3"/>
    <w:basedOn w:val="Normal"/>
    <w:next w:val="Normal"/>
    <w:link w:val="Heading3Char"/>
    <w:uiPriority w:val="9"/>
    <w:unhideWhenUsed/>
    <w:qFormat/>
    <w:rsid w:val="00FC693F"/>
    <w:pPr>
      <w:keepNext/>
      <w:keepLines/>
      <w:widowControl/>
      <w:spacing w:before="140" w:after="60"/>
      <w:outlineLvl w:val="2"/>
    </w:pPr>
    <w:rPr>
      <w:rFonts w:asciiTheme="majorHAnsi" w:eastAsiaTheme="majorEastAsia" w:hAnsiTheme="majorHAnsi" w:cstheme="majorBidi" w:ascii="Liberation Sans" w:hAnsi="Liberation Sans"/>
      <w:b/>
      <w:bCs/>
      <w:color w:val="365F91"/>
      <w:sz w:val="22"/>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00" w:line="240" w:lineRule="auto" w:before="0"/>
      <w:contextualSpacing/>
    </w:pPr>
    <w:rPr>
      <w:rFonts w:asciiTheme="majorHAnsi" w:eastAsiaTheme="majorEastAsia" w:hAnsiTheme="majorHAnsi" w:cstheme="majorBidi" w:ascii="Liberation Sans" w:hAnsi="Liberation Sans"/>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inition">
    <w:name w:val="Definition"/>
    <w:pPr>
      <w:widowControl/>
      <w:spacing w:after="80"/>
      <w:ind w:left="198"/>
    </w:pPr>
    <w:rPr>
      <w:rFonts w:ascii="Liberation Sans" w:hAnsi="Liberation Sans"/>
      <w:b w:val="0"/>
      <w:sz w:val="20"/>
    </w:rPr>
  </w:style>
  <w:style w:type="paragraph" w:customStyle="1" w:styleId="KeyPoint">
    <w:name w:val="KeyPoint"/>
    <w:pPr>
      <w:widowControl/>
      <w:spacing w:after="100"/>
      <w:ind w:left="198"/>
    </w:pPr>
    <w:rPr>
      <w:rFonts w:ascii="Liberation Sans" w:hAnsi="Liberation Sans"/>
      <w:b/>
      <w:sz w:val="20"/>
    </w:rPr>
  </w:style>
  <w:style w:type="paragraph" w:customStyle="1" w:styleId="Correction">
    <w:name w:val="Correction"/>
    <w:pPr>
      <w:widowControl/>
      <w:spacing w:after="80"/>
      <w:ind w:left="170"/>
    </w:pPr>
    <w:rPr>
      <w:rFonts w:ascii="Liberation Sans" w:hAnsi="Liberation Sans"/>
      <w:color w:val="8F2222"/>
      <w:sz w:val="19"/>
    </w:rPr>
  </w:style>
  <w:style w:type="paragraph" w:customStyle="1" w:styleId="SmallNote">
    <w:name w:val="SmallNote"/>
    <w:pPr>
      <w:widowControl/>
      <w:spacing w:after="80"/>
    </w:pPr>
    <w:rPr>
      <w:rFonts w:ascii="Liberation Sans" w:hAnsi="Liberation San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unhcr.org/about-unhcr/overview/1951-refugee-convention" TargetMode="External"/><Relationship Id="rId12" Type="http://schemas.openxmlformats.org/officeDocument/2006/relationships/hyperlink" Target="https://legal.un.org/ilc/reports/2006/french/chp4.pdf" TargetMode="External"/><Relationship Id="rId13" Type="http://schemas.openxmlformats.org/officeDocument/2006/relationships/hyperlink" Target="https://www.icj-cij.org/fr/statut" TargetMode="External"/><Relationship Id="rId14" Type="http://schemas.openxmlformats.org/officeDocument/2006/relationships/hyperlink" Target="https://www.echr.coe.int/documents/d/echr/convention_fra" TargetMode="External"/><Relationship Id="rId15" Type="http://schemas.openxmlformats.org/officeDocument/2006/relationships/hyperlink" Target="https://www.diplomatie.gouv.fr/fr/IMG/pdf/Dossier_de_presse-2.pdf" TargetMode="External"/><Relationship Id="rId16" Type="http://schemas.openxmlformats.org/officeDocument/2006/relationships/hyperlink" Target="https://www.diplomatie.gouv.fr/IMG/pdf/mn_444qo_blocus_ministere_cle07151f.pdf" TargetMode="External"/><Relationship Id="rId17" Type="http://schemas.openxmlformats.org/officeDocument/2006/relationships/hyperlink" Target="https://oustryilan63-blip.github.io/atelier-du-droit/documents/unjf-7.pdf#page=2" TargetMode="External"/><Relationship Id="rId18" Type="http://schemas.openxmlformats.org/officeDocument/2006/relationships/hyperlink" Target="https://legal.un.org/ilc/texts/instruments/french/conventions/9_1_1961.pdf" TargetMode="External"/><Relationship Id="rId19" Type="http://schemas.openxmlformats.org/officeDocument/2006/relationships/hyperlink" Target="https://legal.un.org/ilc/texts/instruments/french/conventions/9_1_1961.pdf" TargetMode="External"/><Relationship Id="rId20" Type="http://schemas.openxmlformats.org/officeDocument/2006/relationships/hyperlink" Target="https://oustryilan63-blip.github.io/atelier-du-droit/documents/unjf-7.pdf#page=8" TargetMode="External"/><Relationship Id="rId21" Type="http://schemas.openxmlformats.org/officeDocument/2006/relationships/hyperlink" Target="https://oustryilan63-blip.github.io/atelier-du-droit/documents/unjf-6.pdf#page=2" TargetMode="External"/><Relationship Id="rId22" Type="http://schemas.openxmlformats.org/officeDocument/2006/relationships/hyperlink" Target="https://www.un.org/fr/about-us/un-charter/full-text" TargetMode="External"/><Relationship Id="rId23" Type="http://schemas.openxmlformats.org/officeDocument/2006/relationships/hyperlink" Target="https://oustryilan63-blip.github.io/atelier-du-droit/documents/unjf-6.pdf#page=3" TargetMode="External"/><Relationship Id="rId24" Type="http://schemas.openxmlformats.org/officeDocument/2006/relationships/hyperlink" Target="https://oustryilan63-blip.github.io/atelier-du-droit/documents/unjf-6.pdf#page=5" TargetMode="External"/><Relationship Id="rId25" Type="http://schemas.openxmlformats.org/officeDocument/2006/relationships/hyperlink" Target="https://oustryilan63-blip.github.io/atelier-du-droit/documents/unjf-6.pdf#page=3" TargetMode="External"/><Relationship Id="rId26" Type="http://schemas.openxmlformats.org/officeDocument/2006/relationships/hyperlink" Target="https://oustryilan63-blip.github.io/atelier-du-droit/documents/unjf-7.pdf#page=9" TargetMode="External"/><Relationship Id="rId27" Type="http://schemas.openxmlformats.org/officeDocument/2006/relationships/hyperlink" Target="https://oustryilan63-blip.github.io/atelier-du-droit/documents/unjf-6.pdf#page=10" TargetMode="External"/><Relationship Id="rId28" Type="http://schemas.openxmlformats.org/officeDocument/2006/relationships/hyperlink" Target="https://oustryilan63-blip.github.io/atelier-du-droit/documents/unjf-6.pdf#page=11" TargetMode="External"/><Relationship Id="rId29" Type="http://schemas.openxmlformats.org/officeDocument/2006/relationships/hyperlink" Target="https://www.icj-cij.org/fr/statut" TargetMode="External"/><Relationship Id="rId30" Type="http://schemas.openxmlformats.org/officeDocument/2006/relationships/hyperlink" Target="https://oustryilan63-blip.github.io/atelier-du-droit/documents/unjf-6.pdf#page=13" TargetMode="External"/><Relationship Id="rId31" Type="http://schemas.openxmlformats.org/officeDocument/2006/relationships/hyperlink" Target="https://oustryilan63-blip.github.io/atelier-du-droit/documents/unjf-6.pdf#page=15" TargetMode="External"/><Relationship Id="rId32" Type="http://schemas.openxmlformats.org/officeDocument/2006/relationships/hyperlink" Target="https://oustryilan63-blip.github.io/atelier-du-droit/documents/unjf-6.pdf#page=14" TargetMode="External"/><Relationship Id="rId33" Type="http://schemas.openxmlformats.org/officeDocument/2006/relationships/hyperlink" Target="https://oustryilan63-blip.github.io/atelier-du-droit/documents/unjf-6.pdf#page=12" TargetMode="External"/><Relationship Id="rId34" Type="http://schemas.openxmlformats.org/officeDocument/2006/relationships/hyperlink" Target="https://oustryilan63-blip.github.io/atelier-du-droit/documents/unjf-8.pdf#page=1" TargetMode="External"/><Relationship Id="rId35" Type="http://schemas.openxmlformats.org/officeDocument/2006/relationships/hyperlink" Target="https://oustryilan63-blip.github.io/atelier-du-droit/documents/unjf-8.pdf#page=2" TargetMode="External"/><Relationship Id="rId36" Type="http://schemas.openxmlformats.org/officeDocument/2006/relationships/hyperlink" Target="https://oustryilan63-blip.github.io/atelier-du-droit/documents/unjf-8.pdf#page=2" TargetMode="External"/><Relationship Id="rId37" Type="http://schemas.openxmlformats.org/officeDocument/2006/relationships/hyperlink" Target="https://oustryilan63-blip.github.io/atelier-du-droit/documents/unjf-8.pdf#page=3" TargetMode="External"/><Relationship Id="rId38" Type="http://schemas.openxmlformats.org/officeDocument/2006/relationships/hyperlink" Target="https://www.icrc.org/fr/document/quest-ce-que-le-droit-international-humanitaire" TargetMode="External"/><Relationship Id="rId39" Type="http://schemas.openxmlformats.org/officeDocument/2006/relationships/hyperlink" Target="https://www.icrc.org/fr/document/quest-ce-que-le-droit-international-humanitaire" TargetMode="External"/><Relationship Id="rId40" Type="http://schemas.openxmlformats.org/officeDocument/2006/relationships/hyperlink" Target="https://oustryilan63-blip.github.io/atelier-du-droit/documents/unjf-8.pdf#page=4" TargetMode="External"/><Relationship Id="rId41" Type="http://schemas.openxmlformats.org/officeDocument/2006/relationships/hyperlink" Target="https://www.un.org/fr/about-us/un-charter/chapter-1" TargetMode="External"/><Relationship Id="rId42" Type="http://schemas.openxmlformats.org/officeDocument/2006/relationships/hyperlink" Target="https://oustryilan63-blip.github.io/atelier-du-droit/documents/unjf-8.pdf#page=6" TargetMode="External"/><Relationship Id="rId43" Type="http://schemas.openxmlformats.org/officeDocument/2006/relationships/hyperlink" Target="https://www.icj-cij.org/fr/node/103143" TargetMode="External"/><Relationship Id="rId44" Type="http://schemas.openxmlformats.org/officeDocument/2006/relationships/hyperlink" Target="https://www.icj-cij.org/fr/affaire/116" TargetMode="External"/><Relationship Id="rId45" Type="http://schemas.openxmlformats.org/officeDocument/2006/relationships/hyperlink" Target="https://oustryilan63-blip.github.io/atelier-du-droit/documents/unjf-8.pdf#page=7" TargetMode="External"/><Relationship Id="rId46" Type="http://schemas.openxmlformats.org/officeDocument/2006/relationships/hyperlink" Target="https://oustryilan63-blip.github.io/atelier-du-droit/documents/unjf-8.pdf#page=7" TargetMode="External"/><Relationship Id="rId47" Type="http://schemas.openxmlformats.org/officeDocument/2006/relationships/hyperlink" Target="https://www.icj-cij.org/fr/node/103215" TargetMode="External"/><Relationship Id="rId48" Type="http://schemas.openxmlformats.org/officeDocument/2006/relationships/hyperlink" Target="https://www.un.org/fr/about-us/un-charter/chapter-7" TargetMode="External"/><Relationship Id="rId49" Type="http://schemas.openxmlformats.org/officeDocument/2006/relationships/hyperlink" Target="https://oustryilan63-blip.github.io/atelier-du-droit/documents/unjf-8.pdf#page=7" TargetMode="External"/><Relationship Id="rId50" Type="http://schemas.openxmlformats.org/officeDocument/2006/relationships/hyperlink" Target="https://oustryilan63-blip.github.io/atelier-du-droit/documents/unjf-8.pdf#page=7" TargetMode="External"/><Relationship Id="rId51" Type="http://schemas.openxmlformats.org/officeDocument/2006/relationships/hyperlink" Target="https://oustryilan63-blip.github.io/atelier-du-droit/documents/unjf-5.pdf#page=3" TargetMode="External"/><Relationship Id="rId52" Type="http://schemas.openxmlformats.org/officeDocument/2006/relationships/hyperlink" Target="https://oustryilan63-blip.github.io/atelier-du-droit/documents/unjf-5.pdf#page=5" TargetMode="External"/><Relationship Id="rId53" Type="http://schemas.openxmlformats.org/officeDocument/2006/relationships/hyperlink" Target="https://oustryilan63-blip.github.io/atelier-du-droit/documents/unjf-8.pdf#page=8" TargetMode="External"/><Relationship Id="rId54" Type="http://schemas.openxmlformats.org/officeDocument/2006/relationships/hyperlink" Target="https://oustryilan63-blip.github.io/atelier-du-droit/documents/unjf-5.pdf#page=6" TargetMode="External"/><Relationship Id="rId55" Type="http://schemas.openxmlformats.org/officeDocument/2006/relationships/hyperlink" Target="https://oustryilan63-blip.github.io/atelier-du-droit/documents/unjf-5.pdf#page=6" TargetMode="External"/><Relationship Id="rId56" Type="http://schemas.openxmlformats.org/officeDocument/2006/relationships/hyperlink" Target="https://ihl-databases.icrc.org/fr/ihl-treaties/gcii-1949/article-2/commentary/2017" TargetMode="External"/><Relationship Id="rId57" Type="http://schemas.openxmlformats.org/officeDocument/2006/relationships/hyperlink" Target="https://ihl-databases.icrc.org/fr/ihl-treaties/gcii-1949/article-3/commentary/2017" TargetMode="External"/><Relationship Id="rId58" Type="http://schemas.openxmlformats.org/officeDocument/2006/relationships/hyperlink" Target="https://oustryilan63-blip.github.io/atelier-du-droit/documents/unjf-8.pdf#page=7" TargetMode="External"/><Relationship Id="rId59" Type="http://schemas.openxmlformats.org/officeDocument/2006/relationships/hyperlink" Target="https://oustryilan63-blip.github.io/atelier-du-droit/documents/unjf-8.pdf#page=9" TargetMode="External"/><Relationship Id="rId60" Type="http://schemas.openxmlformats.org/officeDocument/2006/relationships/hyperlink" Target="https://oustryilan63-blip.github.io/atelier-du-droit/documents/unjf-8.pdf#page=9" TargetMode="External"/><Relationship Id="rId61" Type="http://schemas.openxmlformats.org/officeDocument/2006/relationships/hyperlink" Target="https://www.icrc.org/fr/droit-et-politique/jus-ad-bellum-and-jus-bello" TargetMode="External"/><Relationship Id="rId62" Type="http://schemas.openxmlformats.org/officeDocument/2006/relationships/hyperlink" Target="https://www.icrc.org/fr/article/questions-frequentes-conflits-armes-internationaux" TargetMode="External"/><Relationship Id="rId63" Type="http://schemas.openxmlformats.org/officeDocument/2006/relationships/hyperlink" Target="https://www.icrc.org/fr/document/questions-reponses-regles-de-la-guerre" TargetMode="External"/><Relationship Id="rId64" Type="http://schemas.openxmlformats.org/officeDocument/2006/relationships/hyperlink" Target="https://ihl-databases.icrc.org/fr/ihl-treaties/api-1977/article-51" TargetMode="External"/><Relationship Id="rId65" Type="http://schemas.openxmlformats.org/officeDocument/2006/relationships/hyperlink" Target="https://ihl-databases.icrc.org/en/ihl-treaties/api-1977/article-57" TargetMode="External"/><Relationship Id="rId66" Type="http://schemas.openxmlformats.org/officeDocument/2006/relationships/hyperlink" Target="https://ihl-databases.icrc.org/en/ihl-treaties/api-1977/article-57" TargetMode="External"/><Relationship Id="rId67" Type="http://schemas.openxmlformats.org/officeDocument/2006/relationships/hyperlink" Target="https://ihl-databases.icrc.org/fr/ihl-treaties/gcii-1949/article-3" TargetMode="External"/><Relationship Id="rId68" Type="http://schemas.openxmlformats.org/officeDocument/2006/relationships/hyperlink" Target="https://www.icrc.org/fr/document/refugies-personnes-deplacees-DIH" TargetMode="External"/><Relationship Id="rId69" Type="http://schemas.openxmlformats.org/officeDocument/2006/relationships/hyperlink" Target="https://oustryilan63-blip.github.io/atelier-du-droit/documents/unjf-8.pdf#page=9" TargetMode="External"/><Relationship Id="rId70" Type="http://schemas.openxmlformats.org/officeDocument/2006/relationships/hyperlink" Target="https://www.icrc.org/fr/article/faq-neutralite-du-cicr-questions-et-reponses" TargetMode="External"/><Relationship Id="rId71" Type="http://schemas.openxmlformats.org/officeDocument/2006/relationships/hyperlink" Target="https://www.icrc.org/fr/document/acces-humanitaire-ce-que-dit-le-droit" TargetMode="External"/><Relationship Id="rId72" Type="http://schemas.openxmlformats.org/officeDocument/2006/relationships/hyperlink" Target="https://oustryilan63-blip.github.io/atelier-du-droit/documents/unjf-8.pdf#page=8" TargetMode="External"/><Relationship Id="rId73" Type="http://schemas.openxmlformats.org/officeDocument/2006/relationships/hyperlink" Target="https://oustryilan63-blip.github.io/atelier-du-droit/documents/unjf-8.pdf#page=9" TargetMode="External"/><Relationship Id="rId74" Type="http://schemas.openxmlformats.org/officeDocument/2006/relationships/hyperlink" Target="https://oustryilan63-blip.github.io/atelier-du-droit/documents/unjf-8.pdf#page=2" TargetMode="External"/><Relationship Id="rId75" Type="http://schemas.openxmlformats.org/officeDocument/2006/relationships/hyperlink" Target="https://oustryilan63-blip.github.io/atelier-du-droit/documents/unjf-8.pdf#page=2" TargetMode="External"/><Relationship Id="rId76" Type="http://schemas.openxmlformats.org/officeDocument/2006/relationships/hyperlink" Target="https://oustryilan63-blip.github.io/atelier-du-droit/documents/unjf-8.pdf#page=2" TargetMode="External"/><Relationship Id="rId77" Type="http://schemas.openxmlformats.org/officeDocument/2006/relationships/hyperlink" Target="https://oustryilan63-blip.github.io/atelier-du-droit/documents/unjf-8.pdf#page=2" TargetMode="External"/><Relationship Id="rId78" Type="http://schemas.openxmlformats.org/officeDocument/2006/relationships/hyperlink" Target="https://www.newadvent.org/summa/3040.htm" TargetMode="External"/><Relationship Id="rId79" Type="http://schemas.openxmlformats.org/officeDocument/2006/relationships/hyperlink" Target="https://oustryilan63-blip.github.io/atelier-du-droit/documents/unjf-8.pdf#page=2" TargetMode="External"/><Relationship Id="rId80" Type="http://schemas.openxmlformats.org/officeDocument/2006/relationships/hyperlink" Target="https://oustryilan63-blip.github.io/atelier-du-droit/documents/unjf-8.pdf#page=4" TargetMode="External"/><Relationship Id="rId81" Type="http://schemas.openxmlformats.org/officeDocument/2006/relationships/hyperlink" Target="https://oustryilan63-blip.github.io/atelier-du-droit/documents/unjf-8.pdf#page=4" TargetMode="External"/><Relationship Id="rId82" Type="http://schemas.openxmlformats.org/officeDocument/2006/relationships/hyperlink" Target="https://oustryilan63-blip.github.io/atelier-du-droit/documents/unjf-8.pdf#page=10" TargetMode="External"/><Relationship Id="rId83" Type="http://schemas.openxmlformats.org/officeDocument/2006/relationships/hyperlink" Target="https://oustryilan63-blip.github.io/atelier-du-droit/documents/unjf-8.pdf#page=10" TargetMode="External"/><Relationship Id="rId84" Type="http://schemas.openxmlformats.org/officeDocument/2006/relationships/hyperlink" Target="https://documents.un.org/doc/undoc/gen/n05/487/61/pdf/n0548761.pdf" TargetMode="External"/><Relationship Id="rId85" Type="http://schemas.openxmlformats.org/officeDocument/2006/relationships/hyperlink" Target="https://oustryilan63-blip.github.io/atelier-du-droit/documents/unjf-8.pdf#page=10" TargetMode="External"/><Relationship Id="rId86" Type="http://schemas.openxmlformats.org/officeDocument/2006/relationships/hyperlink" Target="https://www.un.org/fr/preventgenocide/adviser/responsibility.shtml" TargetMode="External"/><Relationship Id="rId87" Type="http://schemas.openxmlformats.org/officeDocument/2006/relationships/hyperlink" Target="https://documents.un.org/doc/undoc/gen/n09/206/11/pdf/n0920611.pdf" TargetMode="External"/><Relationship Id="rId88" Type="http://schemas.openxmlformats.org/officeDocument/2006/relationships/hyperlink" Target="https://oustryilan63-blip.github.io/atelier-du-droit/documents/unjf-8.pdf#page=10" TargetMode="External"/><Relationship Id="rId89" Type="http://schemas.openxmlformats.org/officeDocument/2006/relationships/hyperlink" Target="https://documents.un.org/doc/undoc/gen/n05/487/61/pdf/n0548761.pdf" TargetMode="External"/><Relationship Id="rId90" Type="http://schemas.openxmlformats.org/officeDocument/2006/relationships/hyperlink" Target="https://oustryilan63-blip.github.io/atelier-du-droit/documents/unjf-8.pdf#page=8" TargetMode="External"/><Relationship Id="rId91" Type="http://schemas.openxmlformats.org/officeDocument/2006/relationships/hyperlink" Target="https://oustryilan63-blip.github.io/atelier-du-droit/documents/unjf-8.pdf#page=10" TargetMode="External"/><Relationship Id="rId92" Type="http://schemas.openxmlformats.org/officeDocument/2006/relationships/hyperlink" Target="https://oustryilan63-blip.github.io/atelier-du-droit/documents/unjf-8.pdf#page=10" TargetMode="External"/><Relationship Id="rId93" Type="http://schemas.openxmlformats.org/officeDocument/2006/relationships/hyperlink" Target="https://oustryilan63-blip.github.io/atelier-du-droit/documents/unjf-8.pdf#page=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Institutions internationales Cours complémentaire UNJF</dc:title>
  <dc:subject>Complément pédagogique UNJF distinct du CM reçu L1 S1</dc:subject>
  <dc:creator>Support pédagogique préparé avec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