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jc w:val="center"/>
      </w:pPr>
      <w:r>
        <w:rPr>
          <w:b/>
          <w:color w:val="000000"/>
          <w:sz w:val="48"/>
        </w:rPr>
        <w:t xml:space="preserve">Institutions internationales Fiches du cours complémentaire</w:t>
      </w:r>
    </w:p>
    <w:p>
      <w:pPr>
        <w:pageBreakBefore w:val="0"/>
        <w:jc w:val="center"/>
      </w:pPr>
      <w:r>
        <w:rPr>
          <w:b/>
          <w:color w:val="3C3C3C"/>
          <w:sz w:val="24"/>
        </w:rPr>
        <w:t xml:space="preserve">L1 Droit S1 Chapitres 7 à 11</w:t>
      </w:r>
    </w:p>
    <w:p>
      <w:pPr>
        <w:pageBreakBefore w:val="0"/>
      </w:pPr>
      <w:r>
        <w:t xml:space="preserve">Ces fiches reprennent les notions et distinctions du cours complémentaire UNJF. Elles se lisent après le développement rédigé. Les sources détaillées et les exemples se trouvent dans ce cours ; les renvois ci-dessous donnent accès aux ressources qui permettent de vérifier les règles.</w:t>
      </w:r>
    </w:p>
    <w:p>
      <w:pPr>
        <w:pStyle w:val="SmallNote"/>
        <w:pageBreakBefore w:val="0"/>
      </w:pPr>
      <w:r>
        <w:t xml:space="preserve">Support pédagogique ajouté le 14 octobre 2026. Il complète les documents reçus et ne remplace pas une fiche officielle du professeur. Les exercices du site sont des entraînements proposés ; ils ne préjugent pas de la forme du partiel.</w:t>
      </w:r>
    </w:p>
    <w:p>
      <w:pPr>
        <w:pStyle w:val="Heading1"/>
        <w:keepNext/>
        <w:pageBreakBefore w:val="0"/>
      </w:pPr>
      <w:r>
        <w:t xml:space="preserve">Chapitre 7 Les relations diplomatiques et le règlement diplomatique</w:t>
      </w:r>
    </w:p>
    <w:p>
      <w:pPr>
        <w:pageBreakBefore w:val="0"/>
      </w:pPr>
      <w:r>
        <w:t xml:space="preserve">La nécessité fonctionnelle justifie la protection de la mission ; le statut dépend du bénéficiaire et de l’acte envisagé.</w:t>
      </w:r>
    </w:p>
    <w:p>
      <w:pPr>
        <w:pStyle w:val="Definition"/>
        <w:pageBreakBefore w:val="0"/>
      </w:pPr>
      <w:r>
        <w:rPr>
          <w:b/>
        </w:rPr>
        <w:t xml:space="preserve">Inviolabilité : </w:t>
      </w:r>
      <w:r>
        <w:t xml:space="preserve">protection contre certaines atteintes ; immunité de juridiction : obstacle à certaines poursuites ; immunité d’exécution : protection contre certaines contraintes.</w:t>
      </w:r>
    </w:p>
    <w:p>
      <w:pPr>
        <w:pageBreakBefore w:val="0"/>
      </w:pPr>
      <w:r>
        <w:t xml:space="preserve">Une ambassade n’est pas un morceau du territoire de l’État d’envoi. L’État d’accueil conserve sa souveraineté et doit protéger la mission.</w:t>
      </w:r>
    </w:p>
    <w:p>
      <w:pPr>
        <w:pageBreakBefore w:val="0"/>
      </w:pPr>
      <w:r>
        <w:t xml:space="preserve">L’immunité ne rend pas un comportement licite. Le régime diplomatique prévoit notamment une renonciation expresse de l’État d’envoi ; la compétence de l’État d’origine n’est pas effacée.</w:t>
      </w:r>
    </w:p>
    <w:p>
      <w:pPr>
        <w:pageBreakBefore w:val="0"/>
      </w:pPr>
      <w:r>
        <w:t xml:space="preserve">Négociation : discussion directe. Bons offices : rétablissement du contact. Médiation : participation du tiers à la recherche d’une solution.</w:t>
      </w:r>
    </w:p>
    <w:p>
      <w:pPr>
        <w:pageBreakBefore w:val="0"/>
      </w:pPr>
      <w:r>
        <w:t xml:space="preserve">Enquête : établissement des faits. Conciliation : examen du différend et proposition de règlement. Une proposition de conciliation ne vaut pas sentence arbitrale.</w:t>
      </w:r>
    </w:p>
    <w:p>
      <w:pPr>
        <w:pageBreakBefore w:val="0"/>
      </w:pPr>
      <w:r>
        <w:t xml:space="preserve">L’ONU et les cadres régionaux peuvent fournir des procédures et des intermédiaires. Leur intervention diplomatique ne suffit pas à créer une décision juridictionnelle.</w:t>
      </w:r>
    </w:p>
    <w:p>
      <w:pPr>
        <w:pageBreakBefore w:val="0"/>
      </w:pPr>
      <w:r>
        <w:t xml:space="preserve">Pour qualifier un procédé, identifier les participants, la mission du tiers et la force de la conclusion. Distinguer la proposition non obligatoire et l’accord finalement conclu.</w:t>
      </w:r>
    </w:p>
    <w:p>
      <w:pPr>
        <w:pStyle w:val="SmallNote"/>
        <w:pageBreakBefore w:val="0"/>
      </w:pPr>
      <w:r>
        <w:t xml:space="preserve">Sources de révision : UNJF, règlement pacifique, pages 2–9 ; immunités, pages 2–3 et 8–9. Les formulations excessives de la leçon sur les immunités sont nuancées dans le cours complémentaire.</w:t>
      </w:r>
    </w:p>
    <w:p>
      <w:pPr>
        <w:pStyle w:val="SmallNote"/>
        <w:pageBreakBefore w:val="0"/>
      </w:pPr>
      <w:r>
        <w:t xml:space="preserve">Sources : </w:t>
      </w:r>
      <w:hyperlink r:id="rId17">
        <w:r>
          <w:t xml:space="preserve">UNJF Leçon 6 pages 2, 3, 4, 5, 6, 7, 8, 9</w:t>
        </w:r>
      </w:hyperlink>
      <w:r>
        <w:t xml:space="preserve"> · </w:t>
      </w:r>
      <w:hyperlink r:id="rId18">
        <w:r>
          <w:t xml:space="preserve">UNJF Leçon 7 pages 2, 3, 8, 9</w:t>
        </w:r>
      </w:hyperlink>
    </w:p>
    <w:p>
      <w:pPr>
        <w:pStyle w:val="SmallNote"/>
        <w:pageBreakBefore w:val="0"/>
      </w:pPr>
      <w:r>
        <w:t xml:space="preserve">Sources : </w:t>
      </w:r>
      <w:hyperlink r:id="rId19">
        <w:r>
          <w:t xml:space="preserve">Cours complémentaire Chapitre 7</w:t>
        </w:r>
      </w:hyperlink>
    </w:p>
    <w:p>
      <w:pPr>
        <w:pStyle w:val="Heading1"/>
        <w:keepNext/>
        <w:pageBreakBefore w:val="0"/>
      </w:pPr>
      <w:r>
        <w:t xml:space="preserve">Chapitre 8 Les règlements juridictionnels des conflits</w:t>
      </w:r>
    </w:p>
    <w:p>
      <w:pPr>
        <w:pStyle w:val="Definition"/>
        <w:pageBreakBefore w:val="0"/>
      </w:pPr>
      <w:r>
        <w:rPr>
          <w:b/>
        </w:rPr>
        <w:t xml:space="preserve">Règlement juridictionnel : </w:t>
      </w:r>
      <w:r>
        <w:t xml:space="preserve">intervention d’un organe indépendant qui tranche un différend par une décision obligatoire dans les limites de sa compétence.</w:t>
      </w:r>
    </w:p>
    <w:p>
      <w:pPr>
        <w:pageBreakBefore w:val="0"/>
      </w:pPr>
      <w:r>
        <w:t xml:space="preserve">Arbitrage : organisation adaptée par l’accord des parties ; règlement judiciaire : recours à une juridiction préconstituée. Tous deux supposent un fondement de compétence.</w:t>
      </w:r>
    </w:p>
    <w:p>
      <w:pPr>
        <w:pageBreakBefore w:val="0"/>
      </w:pPr>
      <w:r>
        <w:t xml:space="preserve">Compromis : accord après la naissance du différend. Clause compromissoire : engagement de compétence inséré dans un traité avant un différend éventuel.</w:t>
      </w:r>
    </w:p>
    <w:p>
      <w:pPr>
        <w:pageBreakBefore w:val="0"/>
      </w:pPr>
      <w:r>
        <w:t xml:space="preserve">La sentence arbitrale oblige les parties. Sa force obligatoire et les moyens de son exécution sont deux questions distinctes.</w:t>
      </w:r>
    </w:p>
    <w:p>
      <w:pPr>
        <w:pageBreakBefore w:val="0"/>
      </w:pPr>
      <w:r>
        <w:t xml:space="preserve">La CIJ est permanente et à compétence matérielle générale ; sa compétence contentieuse dans une affaire particulière n’est pas automatique.</w:t>
      </w:r>
    </w:p>
    <w:p>
      <w:pPr>
        <w:pageBreakBefore w:val="0"/>
      </w:pPr>
      <w:r>
        <w:t xml:space="preserve">La déclaration facultative de juridiction obligatoire lie dans le champ des acceptations correspondantes ; le forum prorogatum suppose une acceptation juridiquement établie.</w:t>
      </w:r>
    </w:p>
    <w:p>
      <w:pPr>
        <w:pageBreakBefore w:val="0"/>
      </w:pPr>
      <w:r>
        <w:t xml:space="preserve">Distinguer compétence, recevabilité, mesures conservatoires et décision au fond : ces étapes ne répondent pas à la même question.</w:t>
      </w:r>
    </w:p>
    <w:p>
      <w:pPr>
        <w:pageBreakBefore w:val="0"/>
      </w:pPr>
      <w:r>
        <w:t xml:space="preserve">L’arrêt contentieux est obligatoire pour les parties et dans le cas jugé. L’avis consultatif éclaire une question juridique à la demande d’une institution habilitée.</w:t>
      </w:r>
    </w:p>
    <w:p>
      <w:pPr>
        <w:pageBreakBefore w:val="0"/>
      </w:pPr>
      <w:r>
        <w:t xml:space="preserve">La CIJ règle des différends entre États ; la CPI juge des individus selon son propre régime. Aucune assimilation des conditions de compétence n’est permise.</w:t>
      </w:r>
    </w:p>
    <w:p>
      <w:pPr>
        <w:pStyle w:val="SmallNote"/>
        <w:pageBreakBefore w:val="0"/>
      </w:pPr>
      <w:r>
        <w:t xml:space="preserve">Sources : </w:t>
      </w:r>
      <w:hyperlink r:id="rId20">
        <w:r>
          <w:t xml:space="preserve">UNJF Leçon 6 pages 10, 11, 12, 13, 14, 15, 16</w:t>
        </w:r>
      </w:hyperlink>
    </w:p>
    <w:p>
      <w:pPr>
        <w:pStyle w:val="SmallNote"/>
        <w:pageBreakBefore w:val="0"/>
      </w:pPr>
      <w:r>
        <w:t xml:space="preserve">Sources : </w:t>
      </w:r>
      <w:hyperlink r:id="rId21">
        <w:r>
          <w:t xml:space="preserve">Cours complémentaire Chapitre 8</w:t>
        </w:r>
      </w:hyperlink>
    </w:p>
    <w:p>
      <w:pPr>
        <w:pStyle w:val="Heading1"/>
        <w:keepNext/>
        <w:pageBreakBefore w:val="0"/>
      </w:pPr>
      <w:r>
        <w:t xml:space="preserve">Chapitre 9 L’usage de la force et les conflits armés</w:t>
      </w:r>
    </w:p>
    <w:p>
      <w:pPr>
        <w:pageBreakBefore w:val="0"/>
      </w:pPr>
      <w:r>
        <w:t xml:space="preserve">Le droit contemporain remplace progressivement la liberté de faire la guerre par une interdiction générale, consacrée en 1945 par la Charte de l’ONU. Le non-recours à la force possède aussi une base coutumière.</w:t>
      </w:r>
    </w:p>
    <w:p>
      <w:pPr>
        <w:pStyle w:val="SmallNote"/>
        <w:pageBreakBefore w:val="0"/>
      </w:pPr>
      <w:r>
        <w:t xml:space="preserve">Sources : </w:t>
      </w:r>
      <w:hyperlink r:id="rId22">
        <w:r>
          <w:t xml:space="preserve">UNJF Leçon 8 pages 2, 3, 4, 6</w:t>
        </w:r>
      </w:hyperlink>
    </w:p>
    <w:p>
      <w:pPr>
        <w:pageBreakBefore w:val="0"/>
      </w:pPr>
      <w:r>
        <w:t xml:space="preserve">L’article 2 §4 vise la menace et l’emploi de la force dans les relations internationales. Une opération militaire n’échappe pas à cette règle parce qu’aucune guerre n’a été officiellement déclarée.</w:t>
      </w:r>
    </w:p>
    <w:p>
      <w:pPr>
        <w:pStyle w:val="SmallNote"/>
        <w:pageBreakBefore w:val="0"/>
      </w:pPr>
      <w:r>
        <w:t xml:space="preserve">Sources : </w:t>
      </w:r>
      <w:hyperlink r:id="rId23">
        <w:r>
          <w:t xml:space="preserve">UNJF Leçon 8 pages 4, 6</w:t>
        </w:r>
      </w:hyperlink>
    </w:p>
    <w:p>
      <w:pPr>
        <w:pageBreakBefore w:val="0"/>
      </w:pPr>
      <w:r>
        <w:t xml:space="preserve">La non-intervention protège les choix relevant de la liberté d’un État contre la contrainte extérieure. Une demande de l’opposition ne suffit pas à autoriser une intervention militaire contre le gouvernement.</w:t>
      </w:r>
    </w:p>
    <w:p>
      <w:pPr>
        <w:pStyle w:val="SmallNote"/>
        <w:pageBreakBefore w:val="0"/>
      </w:pPr>
      <w:r>
        <w:t xml:space="preserve">Sources : </w:t>
      </w:r>
      <w:hyperlink r:id="rId24">
        <w:r>
          <w:t xml:space="preserve">CIJ - Nicaragua, arrêt de 1986, notamment paragraphe 246</w:t>
        </w:r>
      </w:hyperlink>
    </w:p>
    <w:p>
      <w:pPr>
        <w:pageBreakBefore w:val="0"/>
      </w:pPr>
      <w:r>
        <w:t xml:space="preserve">Le consentement de l’État territorial doit être valable et respecté dans ses limites. Une présence initialement acceptée ne permet pas toute opération ultérieure ni une présence indéfinie.</w:t>
      </w:r>
    </w:p>
    <w:p>
      <w:pPr>
        <w:pStyle w:val="SmallNote"/>
        <w:pageBreakBefore w:val="0"/>
      </w:pPr>
      <w:r>
        <w:t xml:space="preserve">Sources : </w:t>
      </w:r>
      <w:hyperlink r:id="rId25">
        <w:r>
          <w:t xml:space="preserve">CIJ - Activités armées sur le territoire du Congo, arrêt de 2005</w:t>
        </w:r>
      </w:hyperlink>
    </w:p>
    <w:p>
      <w:pPr>
        <w:pStyle w:val="Definition"/>
        <w:pageBreakBefore w:val="0"/>
      </w:pPr>
      <w:r>
        <w:rPr>
          <w:b/>
        </w:rPr>
        <w:t xml:space="preserve">Légitime défense : </w:t>
      </w:r>
      <w:r>
        <w:t xml:space="preserve">réponse individuelle ou collective à une agression armée, soumise notamment à la nécessité et à la proportionnalité. La légitime défense collective suppose l’appel de l’État victime.</w:t>
      </w:r>
    </w:p>
    <w:p>
      <w:pPr>
        <w:pStyle w:val="SmallNote"/>
        <w:pageBreakBefore w:val="0"/>
      </w:pPr>
      <w:r>
        <w:t xml:space="preserve">Sources : </w:t>
      </w:r>
      <w:hyperlink r:id="rId26">
        <w:r>
          <w:t xml:space="preserve">UNJF Leçon 8 pages 7, 8</w:t>
        </w:r>
      </w:hyperlink>
    </w:p>
    <w:p>
      <w:pPr>
        <w:pageBreakBefore w:val="0"/>
      </w:pPr>
      <w:r>
        <w:t xml:space="preserve">Le Conseil de sécurité doit être immédiatement informé des mesures prises en légitime défense. Sa compétence demeure. Cette information ne remplace pas le respect des conditions de fond et n’équivaut pas à une autorisation préalable.</w:t>
      </w:r>
    </w:p>
    <w:p>
      <w:pPr>
        <w:pStyle w:val="SmallNote"/>
        <w:pageBreakBefore w:val="0"/>
      </w:pPr>
      <w:r>
        <w:t xml:space="preserve">Sources : </w:t>
      </w:r>
      <w:hyperlink r:id="rId27">
        <w:r>
          <w:t xml:space="preserve">Charte de l’ONU - Article 51</w:t>
        </w:r>
      </w:hyperlink>
    </w:p>
    <w:p>
      <w:pPr>
        <w:pageBreakBefore w:val="0"/>
      </w:pPr>
      <w:r>
        <w:t xml:space="preserve">Sécurité collective : qualification de la situation par le Conseil à l’article 39 ; mesures sans force armée à l’article 41 ; action militaire à l’article 42 lorsque les premières sont ou paraissent inadéquates. Un mandat doit être lu dans ses limites.</w:t>
      </w:r>
    </w:p>
    <w:p>
      <w:pPr>
        <w:pStyle w:val="SmallNote"/>
        <w:pageBreakBefore w:val="0"/>
      </w:pPr>
      <w:r>
        <w:t xml:space="preserve">Sources : </w:t>
      </w:r>
      <w:hyperlink r:id="rId28">
        <w:r>
          <w:t xml:space="preserve">UNJF Leçon 5 pages 3, 5, 6, 7</w:t>
        </w:r>
      </w:hyperlink>
    </w:p>
    <w:p>
      <w:pPr>
        <w:pageBreakBefore w:val="0"/>
      </w:pPr>
      <w:r>
        <w:t xml:space="preserve">Aucun droit général de guerre préventive ne doit être déduit de l’article 51. La peur d’une menace future, le blocage du Conseil ou la préférence pour un régime politique étranger ne suffisent pas à justifier une intervention armée.</w:t>
      </w:r>
    </w:p>
    <w:p>
      <w:pPr>
        <w:pStyle w:val="SmallNote"/>
        <w:pageBreakBefore w:val="0"/>
      </w:pPr>
      <w:r>
        <w:t xml:space="preserve">Sources : </w:t>
      </w:r>
      <w:hyperlink r:id="rId29">
        <w:r>
          <w:t xml:space="preserve">UNJF Leçon 8 pages 7, 8</w:t>
        </w:r>
      </w:hyperlink>
    </w:p>
    <w:p>
      <w:pPr>
        <w:pStyle w:val="Definition"/>
        <w:pageBreakBefore w:val="0"/>
      </w:pPr>
      <w:r>
        <w:rPr>
          <w:b/>
        </w:rPr>
        <w:t xml:space="preserve">Jus ad bellum : </w:t>
      </w:r>
      <w:r>
        <w:t xml:space="preserve">licéité du recours à la force. Jus in bello : conduite du conflit et protection des personnes. Les règles humanitaires s’appliquent sans attribuer les protections au seul camp qui invoque une cause juste.</w:t>
      </w:r>
    </w:p>
    <w:p>
      <w:pPr>
        <w:pStyle w:val="SmallNote"/>
        <w:pageBreakBefore w:val="0"/>
      </w:pPr>
      <w:r>
        <w:t xml:space="preserve">Sources : </w:t>
      </w:r>
      <w:hyperlink r:id="rId30">
        <w:r>
          <w:t xml:space="preserve">CICR Définition du DIH et indépendance du jus ad bellum</w:t>
        </w:r>
      </w:hyperlink>
    </w:p>
    <w:p>
      <w:pPr>
        <w:pageBreakBefore w:val="0"/>
      </w:pPr>
      <w:r>
        <w:t xml:space="preserve">Un conflit armé international oppose des États. Un conflit armé non international implique des groupes armés suffisamment organisés et des hostilités suffisamment intenses. La qualification dépend des faits ; elle détermine le cadre humanitaire applicable.</w:t>
      </w:r>
    </w:p>
    <w:p>
      <w:pPr>
        <w:pStyle w:val="SmallNote"/>
        <w:pageBreakBefore w:val="0"/>
      </w:pPr>
      <w:r>
        <w:t xml:space="preserve">Sources : </w:t>
      </w:r>
      <w:hyperlink r:id="rId31">
        <w:r>
          <w:t xml:space="preserve">CICR Article 2 commun et commentaire Conflits entre États et occupation</w:t>
        </w:r>
      </w:hyperlink>
      <w:r>
        <w:t xml:space="preserve"> · </w:t>
      </w:r>
      <w:hyperlink r:id="rId32">
        <w:r>
          <w:t xml:space="preserve">CICR Article 3 commun et commentaire Seuil du CANI</w:t>
        </w:r>
      </w:hyperlink>
    </w:p>
    <w:p>
      <w:pPr>
        <w:pStyle w:val="SmallNote"/>
        <w:pageBreakBefore w:val="0"/>
      </w:pPr>
      <w:r>
        <w:t xml:space="preserve">Sources : </w:t>
      </w:r>
      <w:hyperlink r:id="rId33">
        <w:r>
          <w:t xml:space="preserve">Cours complémentaire Chapitre 9</w:t>
        </w:r>
      </w:hyperlink>
    </w:p>
    <w:p>
      <w:pPr>
        <w:pStyle w:val="Heading1"/>
        <w:keepNext/>
        <w:pageBreakBefore w:val="0"/>
      </w:pPr>
      <w:r>
        <w:t xml:space="preserve">Chapitre 10 Droit humanitaire et intervention humanitaire</w:t>
      </w:r>
    </w:p>
    <w:p>
      <w:pPr>
        <w:pStyle w:val="Definition"/>
        <w:pageBreakBefore w:val="0"/>
      </w:pPr>
      <w:r>
        <w:rPr>
          <w:b/>
        </w:rPr>
        <w:t xml:space="preserve">DIH ou jus in bello : </w:t>
      </w:r>
      <w:r>
        <w:t xml:space="preserve">protection des personnes et limitation des moyens de guerre pendant un conflit armé.</w:t>
      </w:r>
    </w:p>
    <w:p>
      <w:pPr>
        <w:pageBreakBefore w:val="0"/>
      </w:pPr>
      <w:r>
        <w:t xml:space="preserve">Le jus ad bellum et le DIH sont indépendants : une cause invoquée comme légitime ne permet pas de violer le DIH.</w:t>
      </w:r>
    </w:p>
    <w:p>
      <w:pPr>
        <w:pageBreakBefore w:val="0"/>
      </w:pPr>
      <w:r>
        <w:t xml:space="preserve">CAI : conflit entre États, ou occupation. CANI : organisation des groupes et intensité suffisante des hostilités ; une émeute ne suffit pas.</w:t>
      </w:r>
    </w:p>
    <w:p>
      <w:pPr>
        <w:pageBreakBefore w:val="0"/>
      </w:pPr>
      <w:r>
        <w:t xml:space="preserve">Repère : Conventions de Genève du 12 août 1949 ; article 3 commun pour un minimum de protection dans les CANI.</w:t>
      </w:r>
    </w:p>
    <w:p>
      <w:pPr>
        <w:pageBreakBefore w:val="0"/>
      </w:pPr>
      <w:r>
        <w:t xml:space="preserve">Distinction : civils et objectifs militaires. Proportionnalité : dommages civils incidents prévisibles comparés à l’avantage militaire concret et direct attendu.</w:t>
      </w:r>
    </w:p>
    <w:p>
      <w:pPr>
        <w:pageBreakBefore w:val="0"/>
      </w:pPr>
      <w:r>
        <w:t xml:space="preserve">Précautions : vérifier, choisir les moyens appropriés et réexaminer l’attaque ; la qualité militaire d’une cible ne règle pas toute l’analyse.</w:t>
      </w:r>
    </w:p>
    <w:p>
      <w:pPr>
        <w:pageBreakBefore w:val="0"/>
      </w:pPr>
      <w:r>
        <w:t xml:space="preserve">Les personnes hors de combat doivent être traitées humainement ; torture et prise d’otages restent interdites.</w:t>
      </w:r>
    </w:p>
    <w:p>
      <w:pPr>
        <w:pageBreakBefore w:val="0"/>
      </w:pPr>
      <w:r>
        <w:t xml:space="preserve">Réfugiés, déplacés internes et personnes protégées par le DIH relèvent de qualifications distinctes, parfois cumulatives.</w:t>
      </w:r>
    </w:p>
    <w:p>
      <w:pPr>
        <w:pageBreakBefore w:val="0"/>
      </w:pPr>
      <w:r>
        <w:t xml:space="preserve">CICR : neutralité, impartialité, indépendance. Droit d’offrir des services, consentement encadré et refus arbitraire interdits.</w:t>
      </w:r>
    </w:p>
    <w:p>
      <w:pPr>
        <w:pStyle w:val="SmallNote"/>
        <w:pageBreakBefore w:val="0"/>
      </w:pPr>
      <w:r>
        <w:t xml:space="preserve">L’aide humanitaire n’est pas un droit général d’intervention armée. Distinguer l’accès aux secours, la légalité de la force et la conduite des hostilités.</w:t>
      </w:r>
    </w:p>
    <w:p>
      <w:pPr>
        <w:pStyle w:val="SmallNote"/>
        <w:pageBreakBefore w:val="0"/>
      </w:pPr>
      <w:r>
        <w:t xml:space="preserve">Sources : </w:t>
      </w:r>
      <w:hyperlink r:id="rId34">
        <w:r>
          <w:t xml:space="preserve">UNJF Leçon 8 pages 9, 10</w:t>
        </w:r>
      </w:hyperlink>
    </w:p>
    <w:p>
      <w:pPr>
        <w:pStyle w:val="SmallNote"/>
        <w:pageBreakBefore w:val="0"/>
      </w:pPr>
      <w:r>
        <w:t xml:space="preserve">Sources : </w:t>
      </w:r>
      <w:hyperlink r:id="rId35">
        <w:r>
          <w:t xml:space="preserve">Cours complémentaire Chapitre 10</w:t>
        </w:r>
      </w:hyperlink>
    </w:p>
    <w:p>
      <w:pPr>
        <w:pStyle w:val="Heading1"/>
        <w:keepNext/>
        <w:pageBreakBefore w:val="0"/>
      </w:pPr>
      <w:r>
        <w:t xml:space="preserve">Chapitre 11 Guerre juste et responsabilité de protéger</w:t>
      </w:r>
    </w:p>
    <w:p>
      <w:pPr>
        <w:pStyle w:val="Definition"/>
        <w:pageBreakBefore w:val="0"/>
      </w:pPr>
      <w:r>
        <w:rPr>
          <w:b/>
        </w:rPr>
        <w:t xml:space="preserve">Guerre juste : </w:t>
      </w:r>
      <w:r>
        <w:t xml:space="preserve">débat historique et doctrinal sur la justification de la guerre ; une justification morale n’est pas une autorisation juridique.</w:t>
      </w:r>
    </w:p>
    <w:p>
      <w:pPr>
        <w:pageBreakBefore w:val="0"/>
      </w:pPr>
      <w:r>
        <w:t xml:space="preserve">Thomas d’Aquin retient autorité du prince, cause juste et intention droite. Cette doctrine historique ne remplace pas les conditions juridiques contemporaines.</w:t>
      </w:r>
    </w:p>
    <w:p>
      <w:pPr>
        <w:pStyle w:val="SmallNote"/>
        <w:pageBreakBefore w:val="0"/>
      </w:pPr>
      <w:r>
        <w:t xml:space="preserve">Sources : </w:t>
      </w:r>
      <w:hyperlink r:id="rId36">
        <w:r>
          <w:t xml:space="preserve">Thomas d’Aquin Somme théologique IIa IIae question 40 article 1 Texte primaire traduction anglaise</w:t>
        </w:r>
      </w:hyperlink>
    </w:p>
    <w:p>
      <w:pPr>
        <w:pageBreakBefore w:val="0"/>
      </w:pPr>
      <w:r>
        <w:t xml:space="preserve">Repères : Drago-Porter, 1907 ; Briand-Kellogg, 1928 ; Charte des Nations Unies, 1945.</w:t>
      </w:r>
    </w:p>
    <w:p>
      <w:pPr>
        <w:pStyle w:val="SmallNote"/>
        <w:pageBreakBefore w:val="0"/>
      </w:pPr>
      <w:r>
        <w:t xml:space="preserve">Sources : </w:t>
      </w:r>
      <w:hyperlink r:id="rId37">
        <w:r>
          <w:t xml:space="preserve">UNJF Leçon 8 pages 2, 3, 4</w:t>
        </w:r>
      </w:hyperlink>
    </w:p>
    <w:p>
      <w:pPr>
        <w:pageBreakBefore w:val="0"/>
      </w:pPr>
      <w:r>
        <w:t xml:space="preserve">Toujours identifier le fondement juridique du recours à la force, même lorsqu’une finalité humanitaire est invoquée.</w:t>
      </w:r>
    </w:p>
    <w:p>
      <w:pPr>
        <w:pageBreakBefore w:val="0"/>
      </w:pPr>
      <w:r>
        <w:t xml:space="preserve">R2P : génocide, crimes de guerre, nettoyage ethnique, crimes contre l’humanité. La formule ne désigne pas toute difficulté humanitaire.</w:t>
      </w:r>
    </w:p>
    <w:p>
      <w:pPr>
        <w:pStyle w:val="SmallNote"/>
        <w:pageBreakBefore w:val="0"/>
      </w:pPr>
      <w:r>
        <w:t xml:space="preserve">Sources : </w:t>
      </w:r>
      <w:hyperlink r:id="rId38">
        <w:r>
          <w:t xml:space="preserve">UNJF Leçon 8 pages 10</w:t>
        </w:r>
      </w:hyperlink>
    </w:p>
    <w:p>
      <w:pPr>
        <w:pageBreakBefore w:val="0"/>
      </w:pPr>
      <w:r>
        <w:t xml:space="preserve">Le premier responsable de la protection est l’État à l’égard de ses populations ; la prévention fait partie de cet engagement.</w:t>
      </w:r>
    </w:p>
    <w:p>
      <w:pPr>
        <w:pageBreakBefore w:val="0"/>
      </w:pPr>
      <w:r>
        <w:t xml:space="preserve">Trois piliers : protection nationale ; assistance internationale ; réaction collective en temps voulu. Ils ne sont pas une échelle automatique.</w:t>
      </w:r>
    </w:p>
    <w:p>
      <w:pPr>
        <w:pStyle w:val="SmallNote"/>
        <w:pageBreakBefore w:val="0"/>
      </w:pPr>
      <w:r>
        <w:t xml:space="preserve">Sources : </w:t>
      </w:r>
      <w:hyperlink r:id="rId39">
        <w:r>
          <w:t xml:space="preserve">ONU — Responsabilité de protéger</w:t>
        </w:r>
      </w:hyperlink>
    </w:p>
    <w:p>
      <w:pPr>
        <w:pageBreakBefore w:val="0"/>
      </w:pPr>
      <w:r>
        <w:t xml:space="preserve">Les moyens diplomatiques, humanitaires et pacifiques occupent une place centrale. La R2P ne signifie pas seulement intervention militaire.</w:t>
      </w:r>
    </w:p>
    <w:p>
      <w:pPr>
        <w:pageBreakBefore w:val="0"/>
      </w:pPr>
      <w:r>
        <w:t xml:space="preserve">L’action collective du paragraphe 139 passe par le Conseil de sécurité, conformément à la Charte, au cas par cas.</w:t>
      </w:r>
    </w:p>
    <w:p>
      <w:pPr>
        <w:pStyle w:val="SmallNote"/>
        <w:pageBreakBefore w:val="0"/>
      </w:pPr>
      <w:r>
        <w:t xml:space="preserve">Sources : </w:t>
      </w:r>
      <w:hyperlink r:id="rId40">
        <w:r>
          <w:t xml:space="preserve">UNJF Leçon 8 pages 10</w:t>
        </w:r>
      </w:hyperlink>
    </w:p>
    <w:p>
      <w:pPr>
        <w:pageBreakBefore w:val="0"/>
      </w:pPr>
      <w:r>
        <w:t xml:space="preserve">Le blocage du Conseil ne crée pas une autorisation générale pour une intervention armée unilatérale.</w:t>
      </w:r>
    </w:p>
    <w:p>
      <w:pPr>
        <w:pStyle w:val="SmallNote"/>
        <w:pageBreakBefore w:val="0"/>
      </w:pPr>
      <w:r>
        <w:t xml:space="preserve">Ne pas confondre objectif de protection, compétence pour employer la force et obligations du DIH pendant une opération.</w:t>
      </w:r>
    </w:p>
    <w:p>
      <w:pPr>
        <w:pStyle w:val="SmallNote"/>
        <w:pageBreakBefore w:val="0"/>
      </w:pPr>
      <w:r>
        <w:t xml:space="preserve">Sources : </w:t>
      </w:r>
      <w:hyperlink r:id="rId41">
        <w:r>
          <w:t xml:space="preserve">Cours complémentaire Chapitre 11</w:t>
        </w:r>
      </w:hyperlink>
    </w:p>
    <w:sectPr w:rsidR="00FC693F" w:rsidRPr="0006063C" w:rsidSect="00034616">
      <w:headerReference w:type="default" r:id="rId9"/>
      <w:footerReference w:type="default" r:id="rId10"/>
      <w:pgSz w:w="12240" w:h="15840"/>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L1 Toulouse Capitole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E6E6E"/>
        <w:sz w:val="16"/>
      </w:rPr>
      <w:t>Institutions internationales - Complément UNJF L1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Liberation Sans" w:hAnsi="Liberation Sans"/>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Liberation Sans" w:hAnsi="Liberation Sans"/>
      <w:b/>
      <w:bCs/>
      <w:color w:val="234D7D"/>
      <w:sz w:val="26"/>
      <w:szCs w:val="26"/>
    </w:rPr>
  </w:style>
  <w:style w:type="paragraph" w:styleId="Heading3">
    <w:name w:val="heading 3"/>
    <w:basedOn w:val="Normal"/>
    <w:next w:val="Normal"/>
    <w:link w:val="Heading3Char"/>
    <w:uiPriority w:val="9"/>
    <w:unhideWhenUsed/>
    <w:qFormat/>
    <w:rsid w:val="00FC693F"/>
    <w:pPr>
      <w:keepNext/>
      <w:keepLines/>
      <w:widowControl/>
      <w:spacing w:before="140" w:after="60"/>
      <w:outlineLvl w:val="2"/>
    </w:pPr>
    <w:rPr>
      <w:rFonts w:asciiTheme="majorHAnsi" w:eastAsiaTheme="majorEastAsia" w:hAnsiTheme="majorHAnsi" w:cstheme="majorBidi" w:ascii="Liberation Sans" w:hAnsi="Liberation Sans"/>
      <w:b/>
      <w:bCs/>
      <w:color w:val="365F91"/>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Liberation Sans" w:hAnsi="Liberation Sans"/>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pPr>
      <w:widowControl/>
      <w:spacing w:after="80"/>
      <w:ind w:left="198"/>
    </w:pPr>
    <w:rPr>
      <w:rFonts w:ascii="Liberation Sans" w:hAnsi="Liberation Sans"/>
      <w:b w:val="0"/>
      <w:sz w:val="20"/>
    </w:rPr>
  </w:style>
  <w:style w:type="paragraph" w:customStyle="1" w:styleId="KeyPoint">
    <w:name w:val="KeyPoint"/>
    <w:pPr>
      <w:widowControl/>
      <w:spacing w:after="100"/>
      <w:ind w:left="198"/>
    </w:pPr>
    <w:rPr>
      <w:rFonts w:ascii="Liberation Sans" w:hAnsi="Liberation Sans"/>
      <w:b/>
      <w:sz w:val="20"/>
    </w:rPr>
  </w:style>
  <w:style w:type="paragraph" w:customStyle="1" w:styleId="Correction">
    <w:name w:val="Correction"/>
    <w:pPr>
      <w:widowControl/>
      <w:spacing w:after="80"/>
      <w:ind w:left="170"/>
    </w:pPr>
    <w:rPr>
      <w:rFonts w:ascii="Liberation Sans" w:hAnsi="Liberation Sans"/>
      <w:color w:val="8F2222"/>
      <w:sz w:val="19"/>
    </w:rPr>
  </w:style>
  <w:style w:type="paragraph" w:customStyle="1" w:styleId="SmallNote">
    <w:name w:val="SmallNote"/>
    <w:pPr>
      <w:widowControl/>
      <w:spacing w:after="80"/>
    </w:pPr>
    <w:rPr>
      <w:rFonts w:ascii="Liberation Sans" w:hAnsi="Liberation San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nhcr.org/about-unhcr/overview/1951-refugee-convention" TargetMode="External"/><Relationship Id="rId12" Type="http://schemas.openxmlformats.org/officeDocument/2006/relationships/hyperlink" Target="https://legal.un.org/ilc/reports/2006/french/chp4.pdf" TargetMode="External"/><Relationship Id="rId13" Type="http://schemas.openxmlformats.org/officeDocument/2006/relationships/hyperlink" Target="https://www.icj-cij.org/fr/statut" TargetMode="External"/><Relationship Id="rId14" Type="http://schemas.openxmlformats.org/officeDocument/2006/relationships/hyperlink" Target="https://www.echr.coe.int/documents/d/echr/convention_fra" TargetMode="External"/><Relationship Id="rId15" Type="http://schemas.openxmlformats.org/officeDocument/2006/relationships/hyperlink" Target="https://www.diplomatie.gouv.fr/fr/IMG/pdf/Dossier_de_presse-2.pdf" TargetMode="External"/><Relationship Id="rId16" Type="http://schemas.openxmlformats.org/officeDocument/2006/relationships/hyperlink" Target="https://www.diplomatie.gouv.fr/IMG/pdf/mn_444qo_blocus_ministere_cle07151f.pdf" TargetMode="External"/><Relationship Id="rId17" Type="http://schemas.openxmlformats.org/officeDocument/2006/relationships/hyperlink" Target="https://oustryilan63-blip.github.io/atelier-du-droit/documents/unjf-6.pdf#page=2" TargetMode="External"/><Relationship Id="rId18" Type="http://schemas.openxmlformats.org/officeDocument/2006/relationships/hyperlink" Target="https://oustryilan63-blip.github.io/atelier-du-droit/documents/unjf-7.pdf#page=2" TargetMode="External"/><Relationship Id="rId19" Type="http://schemas.openxmlformats.org/officeDocument/2006/relationships/hyperlink" Target="https://oustryilan63-blip.github.io/atelier-du-droit/#chapter/international-07/cours" TargetMode="External"/><Relationship Id="rId20" Type="http://schemas.openxmlformats.org/officeDocument/2006/relationships/hyperlink" Target="https://oustryilan63-blip.github.io/atelier-du-droit/documents/unjf-6.pdf#page=10" TargetMode="External"/><Relationship Id="rId21" Type="http://schemas.openxmlformats.org/officeDocument/2006/relationships/hyperlink" Target="https://oustryilan63-blip.github.io/atelier-du-droit/#chapter/international-08/cours" TargetMode="External"/><Relationship Id="rId22" Type="http://schemas.openxmlformats.org/officeDocument/2006/relationships/hyperlink" Target="https://oustryilan63-blip.github.io/atelier-du-droit/documents/unjf-8.pdf#page=2" TargetMode="External"/><Relationship Id="rId23" Type="http://schemas.openxmlformats.org/officeDocument/2006/relationships/hyperlink" Target="https://oustryilan63-blip.github.io/atelier-du-droit/documents/unjf-8.pdf#page=4" TargetMode="External"/><Relationship Id="rId24" Type="http://schemas.openxmlformats.org/officeDocument/2006/relationships/hyperlink" Target="https://www.icj-cij.org/fr/node/103143" TargetMode="External"/><Relationship Id="rId25" Type="http://schemas.openxmlformats.org/officeDocument/2006/relationships/hyperlink" Target="https://www.icj-cij.org/fr/affaire/116" TargetMode="External"/><Relationship Id="rId26" Type="http://schemas.openxmlformats.org/officeDocument/2006/relationships/hyperlink" Target="https://oustryilan63-blip.github.io/atelier-du-droit/documents/unjf-8.pdf#page=7" TargetMode="External"/><Relationship Id="rId27" Type="http://schemas.openxmlformats.org/officeDocument/2006/relationships/hyperlink" Target="https://www.un.org/fr/about-us/un-charter/chapter-7" TargetMode="External"/><Relationship Id="rId28" Type="http://schemas.openxmlformats.org/officeDocument/2006/relationships/hyperlink" Target="https://oustryilan63-blip.github.io/atelier-du-droit/documents/unjf-5.pdf#page=3" TargetMode="External"/><Relationship Id="rId29" Type="http://schemas.openxmlformats.org/officeDocument/2006/relationships/hyperlink" Target="https://oustryilan63-blip.github.io/atelier-du-droit/documents/unjf-8.pdf#page=7" TargetMode="External"/><Relationship Id="rId30" Type="http://schemas.openxmlformats.org/officeDocument/2006/relationships/hyperlink" Target="https://www.icrc.org/fr/document/quest-ce-que-le-droit-international-humanitaire" TargetMode="External"/><Relationship Id="rId31" Type="http://schemas.openxmlformats.org/officeDocument/2006/relationships/hyperlink" Target="https://ihl-databases.icrc.org/fr/ihl-treaties/gcii-1949/article-2/commentary/2017" TargetMode="External"/><Relationship Id="rId32" Type="http://schemas.openxmlformats.org/officeDocument/2006/relationships/hyperlink" Target="https://ihl-databases.icrc.org/fr/ihl-treaties/gcii-1949/article-3/commentary/2017" TargetMode="External"/><Relationship Id="rId33" Type="http://schemas.openxmlformats.org/officeDocument/2006/relationships/hyperlink" Target="https://oustryilan63-blip.github.io/atelier-du-droit/#chapter/international-09/cours" TargetMode="External"/><Relationship Id="rId34" Type="http://schemas.openxmlformats.org/officeDocument/2006/relationships/hyperlink" Target="https://oustryilan63-blip.github.io/atelier-du-droit/documents/unjf-8.pdf#page=9" TargetMode="External"/><Relationship Id="rId35" Type="http://schemas.openxmlformats.org/officeDocument/2006/relationships/hyperlink" Target="https://oustryilan63-blip.github.io/atelier-du-droit/#chapter/international-10/cours" TargetMode="External"/><Relationship Id="rId36" Type="http://schemas.openxmlformats.org/officeDocument/2006/relationships/hyperlink" Target="https://www.newadvent.org/summa/3040.htm" TargetMode="External"/><Relationship Id="rId37" Type="http://schemas.openxmlformats.org/officeDocument/2006/relationships/hyperlink" Target="https://oustryilan63-blip.github.io/atelier-du-droit/documents/unjf-8.pdf#page=2" TargetMode="External"/><Relationship Id="rId38" Type="http://schemas.openxmlformats.org/officeDocument/2006/relationships/hyperlink" Target="https://oustryilan63-blip.github.io/atelier-du-droit/documents/unjf-8.pdf#page=10" TargetMode="External"/><Relationship Id="rId39" Type="http://schemas.openxmlformats.org/officeDocument/2006/relationships/hyperlink" Target="https://www.un.org/fr/preventgenocide/adviser/responsibility.shtml" TargetMode="External"/><Relationship Id="rId40" Type="http://schemas.openxmlformats.org/officeDocument/2006/relationships/hyperlink" Target="https://oustryilan63-blip.github.io/atelier-du-droit/documents/unjf-8.pdf#page=10" TargetMode="External"/><Relationship Id="rId41" Type="http://schemas.openxmlformats.org/officeDocument/2006/relationships/hyperlink" Target="https://oustryilan63-blip.github.io/atelier-du-droit/#chapter/international-11/cou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Institutions internationales Fiches du cours complémentaire</dc:title>
  <dc:subject>Complément pédagogique UNJF distinct du CM reçu L1 S1</dc:subject>
  <dc:creator>Support pédagogique préparé avec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