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widowControl/>
        <w:jc w:val="center"/>
      </w:pPr>
      <w:r>
        <w:rPr>
          <w:b/>
          <w:color w:val="000000"/>
          <w:sz w:val="48"/>
        </w:rPr>
        <w:t>Droit privé</w:t>
      </w:r>
    </w:p>
    <w:p>
      <w:pPr>
        <w:pageBreakBefore w:val="0"/>
        <w:widowControl/>
        <w:jc w:val="center"/>
      </w:pPr>
      <w:r>
        <w:t>Fiche complète de révision approfondie • L1 Droit • Toulouse Capitole</w:t>
      </w:r>
    </w:p>
    <w:p>
      <w:pPr>
        <w:pStyle w:val="Key"/>
        <w:pageBreakBefore w:val="0"/>
        <w:widowControl/>
      </w:pPr>
      <w:r>
        <w:t>Objectif : comprendre les notions et les procédures du cours, mémoriser les références essentielles et savoir appliquer une règle dans un cas pratique. Les compléments de cette version renforcent notamment les juridictions, la loi dans le temps et les contrôles des normes.</w:t>
      </w:r>
    </w:p>
    <w:p>
      <w:pPr>
        <w:pStyle w:val="Correction"/>
        <w:keepNext w:val="0"/>
        <w:pageBreakBefore w:val="0"/>
        <w:widowControl/>
      </w:pPr>
      <w:r>
        <w:t>Le plan d’ensemble du cours est conservé. Certains intitulés de la première fiche sont clarifiés et les répétitions du CM sont regroupées. Les corrections et les ajouts sont recensés en fin de document ; les repères de culture juridique sont identifiés dans le texte.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6"/>
        <w:gridCol w:w="5156"/>
      </w:tblGrid>
      <w:tr>
        <w:trPr>
          <w:cantSplit/>
          <w:tblHeader/>
        </w:trPr>
        <w:tc>
          <w:tcPr>
            <w:tcW w:type="dxa" w:w="2268"/>
            <w:vAlign w:val="center"/>
            <w:shd w:fill="EAF2F8"/>
          </w:tcPr>
          <w:p>
            <w:pPr>
              <w:spacing w:after="80" w:before="80"/>
            </w:pPr>
            <w:r/>
            <w:r>
              <w:rPr>
                <w:rFonts w:ascii="Aptos" w:hAnsi="Aptos"/>
                <w:b/>
                <w:color w:val="1F4E79"/>
                <w:sz w:val="18"/>
              </w:rPr>
              <w:t>Bloc</w:t>
            </w:r>
          </w:p>
        </w:tc>
        <w:tc>
          <w:tcPr>
            <w:tcW w:type="dxa" w:w="6803"/>
            <w:vAlign w:val="center"/>
            <w:shd w:fill="EAF2F8"/>
          </w:tcPr>
          <w:p>
            <w:pPr>
              <w:spacing w:after="80" w:before="80"/>
            </w:pPr>
            <w:r/>
            <w:r>
              <w:rPr>
                <w:rFonts w:ascii="Aptos" w:hAnsi="Aptos"/>
                <w:b/>
                <w:color w:val="1F4E79"/>
                <w:sz w:val="18"/>
              </w:rPr>
              <w:t>Ce qu’il faut savoir</w:t>
            </w:r>
          </w:p>
        </w:tc>
      </w:tr>
      <w:tr>
        <w:trPr>
          <w:cantSplit/>
        </w:trPr>
        <w:tc>
          <w:tcPr>
            <w:tcW w:type="dxa" w:w="2268"/>
            <w:vAlign w:val="center"/>
          </w:tcPr>
          <w:p>
            <w:pPr>
              <w:spacing w:after="80" w:before="80"/>
            </w:pPr>
            <w:r/>
            <w:r>
              <w:rPr>
                <w:rFonts w:ascii="Aptos" w:hAnsi="Aptos"/>
                <w:b w:val="0"/>
                <w:sz w:val="18"/>
              </w:rPr>
              <w:t>Introduction</w:t>
            </w:r>
          </w:p>
        </w:tc>
        <w:tc>
          <w:tcPr>
            <w:tcW w:type="dxa" w:w="6803"/>
            <w:vAlign w:val="center"/>
          </w:tcPr>
          <w:p>
            <w:pPr>
              <w:spacing w:after="80" w:before="80"/>
            </w:pPr>
            <w:r/>
            <w:r>
              <w:rPr>
                <w:rFonts w:ascii="Aptos" w:hAnsi="Aptos"/>
                <w:b w:val="0"/>
                <w:sz w:val="18"/>
              </w:rPr>
              <w:t>Définitions du droit, juridicité, technique et raisonnement juridiques</w:t>
            </w:r>
          </w:p>
        </w:tc>
      </w:tr>
      <w:tr>
        <w:trPr>
          <w:cantSplit/>
        </w:trPr>
        <w:tc>
          <w:tcPr>
            <w:tcW w:type="dxa" w:w="2268"/>
            <w:vAlign w:val="center"/>
          </w:tcPr>
          <w:p>
            <w:pPr>
              <w:spacing w:after="80" w:before="80"/>
            </w:pPr>
            <w:r/>
            <w:r>
              <w:rPr>
                <w:rFonts w:ascii="Aptos" w:hAnsi="Aptos"/>
                <w:b w:val="0"/>
                <w:sz w:val="18"/>
              </w:rPr>
              <w:t>Partie préliminaire</w:t>
            </w:r>
          </w:p>
        </w:tc>
        <w:tc>
          <w:tcPr>
            <w:tcW w:type="dxa" w:w="6803"/>
            <w:vAlign w:val="center"/>
          </w:tcPr>
          <w:p>
            <w:pPr>
              <w:spacing w:after="80" w:before="80"/>
            </w:pPr>
            <w:r/>
            <w:r>
              <w:rPr>
                <w:rFonts w:ascii="Aptos" w:hAnsi="Aptos"/>
                <w:b w:val="0"/>
                <w:sz w:val="18"/>
              </w:rPr>
              <w:t>Organisation juridictionnelle interne</w:t>
            </w:r>
          </w:p>
        </w:tc>
      </w:tr>
      <w:tr>
        <w:trPr>
          <w:cantSplit/>
        </w:trPr>
        <w:tc>
          <w:tcPr>
            <w:tcW w:type="dxa" w:w="2268"/>
            <w:vAlign w:val="center"/>
          </w:tcPr>
          <w:p>
            <w:pPr>
              <w:spacing w:after="80" w:before="80"/>
            </w:pPr>
            <w:r/>
            <w:r>
              <w:rPr>
                <w:rFonts w:ascii="Aptos" w:hAnsi="Aptos"/>
                <w:b w:val="0"/>
                <w:sz w:val="18"/>
              </w:rPr>
              <w:t>Partie 1</w:t>
            </w:r>
          </w:p>
        </w:tc>
        <w:tc>
          <w:tcPr>
            <w:tcW w:type="dxa" w:w="6803"/>
            <w:vAlign w:val="center"/>
          </w:tcPr>
          <w:p>
            <w:pPr>
              <w:spacing w:after="80" w:before="80"/>
            </w:pPr>
            <w:r/>
            <w:r>
              <w:rPr>
                <w:rFonts w:ascii="Aptos" w:hAnsi="Aptos"/>
                <w:b w:val="0"/>
                <w:sz w:val="18"/>
              </w:rPr>
              <w:t>Identifier le droit : règle, norme, obligation, sanction</w:t>
            </w:r>
          </w:p>
        </w:tc>
      </w:tr>
      <w:tr>
        <w:trPr>
          <w:cantSplit/>
        </w:trPr>
        <w:tc>
          <w:tcPr>
            <w:tcW w:type="dxa" w:w="2268"/>
            <w:vAlign w:val="center"/>
          </w:tcPr>
          <w:p>
            <w:pPr>
              <w:spacing w:after="80" w:before="80"/>
            </w:pPr>
            <w:r/>
            <w:r>
              <w:rPr>
                <w:rFonts w:ascii="Aptos" w:hAnsi="Aptos"/>
                <w:b w:val="0"/>
                <w:sz w:val="18"/>
              </w:rPr>
              <w:t>Partie 2</w:t>
            </w:r>
          </w:p>
        </w:tc>
        <w:tc>
          <w:tcPr>
            <w:tcW w:type="dxa" w:w="6803"/>
            <w:vAlign w:val="center"/>
          </w:tcPr>
          <w:p>
            <w:pPr>
              <w:spacing w:after="80" w:before="80"/>
            </w:pPr>
            <w:r/>
            <w:r>
              <w:rPr>
                <w:rFonts w:ascii="Aptos" w:hAnsi="Aptos"/>
                <w:b w:val="0"/>
                <w:sz w:val="18"/>
              </w:rPr>
              <w:t>Créer le droit : Constitution, loi, règlements, jurisprudence, coutume, doctrine</w:t>
            </w:r>
          </w:p>
        </w:tc>
      </w:tr>
      <w:tr>
        <w:trPr>
          <w:cantSplit/>
        </w:trPr>
        <w:tc>
          <w:tcPr>
            <w:tcW w:type="dxa" w:w="2268"/>
            <w:vAlign w:val="center"/>
          </w:tcPr>
          <w:p>
            <w:pPr>
              <w:spacing w:after="80" w:before="80"/>
            </w:pPr>
            <w:r/>
            <w:r>
              <w:rPr>
                <w:rFonts w:ascii="Aptos" w:hAnsi="Aptos"/>
                <w:b w:val="0"/>
                <w:sz w:val="18"/>
              </w:rPr>
              <w:t>Partie 3</w:t>
            </w:r>
          </w:p>
        </w:tc>
        <w:tc>
          <w:tcPr>
            <w:tcW w:type="dxa" w:w="6803"/>
            <w:vAlign w:val="center"/>
          </w:tcPr>
          <w:p>
            <w:pPr>
              <w:spacing w:after="80" w:before="80"/>
            </w:pPr>
            <w:r/>
            <w:r>
              <w:rPr>
                <w:rFonts w:ascii="Aptos" w:hAnsi="Aptos"/>
                <w:b w:val="0"/>
                <w:sz w:val="18"/>
              </w:rPr>
              <w:t>Appliquer le droit : loi dans le temps et articulation des normes</w:t>
            </w:r>
          </w:p>
        </w:tc>
      </w:tr>
    </w:tbl>
    <w:p>
      <w:pPr>
        <w:pStyle w:val="Key"/>
        <w:pageBreakBefore w:val="0"/>
        <w:widowControl/>
        <w:ind w:left="198" w:right="113"/>
      </w:pPr>
      <w:r>
        <w:rPr>
          <w:b/>
        </w:rPr>
        <w:t xml:space="preserve">À RETENIR : </w:t>
      </w:r>
      <w:r>
        <w:t>En droit privé, apprendre ne suffit pas : il faut savoir qualifier les faits, identifier la règle applicable et raisonner par syllogisme.</w:t>
      </w:r>
    </w:p>
    <w:p>
      <w:pPr>
        <w:pStyle w:val="Heading1"/>
        <w:keepNext/>
        <w:keepLines/>
        <w:pageBreakBefore w:val="0"/>
        <w:widowControl/>
      </w:pPr>
      <w:r>
        <w:t>INTRODUCTION GÉNÉRALE</w:t>
      </w:r>
    </w:p>
    <w:p>
      <w:pPr>
        <w:pStyle w:val="Heading2"/>
        <w:keepNext/>
        <w:keepLines/>
        <w:pageBreakBefore w:val="0"/>
        <w:widowControl/>
      </w:pPr>
      <w:r>
        <w:t>I - Première approche du monde juridique</w:t>
      </w:r>
    </w:p>
    <w:p>
      <w:pPr>
        <w:pStyle w:val="Heading3"/>
        <w:keepNext/>
        <w:keepLines/>
        <w:pageBreakBefore w:val="0"/>
        <w:widowControl/>
      </w:pPr>
      <w:r>
        <w:t>A - Préjugés et représentations sur le droit</w:t>
      </w:r>
    </w:p>
    <w:p>
      <w:pPr>
        <w:pageBreakBefore w:val="0"/>
        <w:widowControl/>
      </w:pPr>
      <w:r>
        <w:t>Le cours présente le droit comme un phénomène social : toute société organisée produit des règles destinées à structurer les rapports entre les personnes. Le droit français coexiste avec des normes d’origine européenne et internationale qui peuvent également produire des effets en France.</w:t>
      </w:r>
    </w:p>
    <w:p>
      <w:pPr>
        <w:pStyle w:val="Correction"/>
        <w:keepNext w:val="0"/>
        <w:pageBreakBefore w:val="0"/>
        <w:widowControl/>
        <w:ind w:left="255" w:right="142"/>
      </w:pPr>
      <w:r>
        <w:rPr>
          <w:b/>
          <w:color w:val="C00000"/>
        </w:rPr>
        <w:t xml:space="preserve">CORRECTION / MISE À JOUR VÉRIFIÉE : </w:t>
      </w:r>
      <w:r>
        <w:t>Le droit privé n’« apparaît » pas à la fin du XIXe siècle. Le droit civil français a notamment été structuré par le Code civil de 1804 et s’inscrit dans une histoire bien plus ancienne. Le XIXe siècle correspond plutôt au développement de la doctrine moderne et de nombreuses classifications juridiques.</w:t>
      </w:r>
    </w:p>
    <w:p>
      <w:pPr>
        <w:pStyle w:val="Heading3"/>
        <w:keepNext/>
        <w:keepLines/>
        <w:pageBreakBefore w:val="0"/>
        <w:widowControl/>
      </w:pPr>
      <w:r>
        <w:t>B - Définitions fondamentales</w:t>
      </w:r>
    </w:p>
    <w:p>
      <w:pPr>
        <w:pageBreakBefore w:val="0"/>
        <w:widowControl/>
      </w:pPr>
      <w:r>
        <w:t>Droit objectif : ensemble des règles de conduite qui, dans une société donnée et à un moment donné, organisent les rapports sociaux et sont reconnues par l’ordre juridique.</w:t>
      </w:r>
    </w:p>
    <w:p>
      <w:pPr>
        <w:pageBreakBefore w:val="0"/>
        <w:widowControl/>
      </w:pPr>
      <w:r>
        <w:t>Droits subjectifs : prérogatives individuelles reconnues à une personne par le droit objectif ; elles permettent à leur titulaire de faire, d’exiger ou d’interdire quelque chose.</w:t>
      </w:r>
    </w:p>
    <w:p>
      <w:pPr>
        <w:pStyle w:val="Example"/>
        <w:pageBreakBefore w:val="0"/>
        <w:widowControl/>
        <w:ind w:left="255"/>
      </w:pPr>
      <w:r>
        <w:rPr>
          <w:b/>
        </w:rPr>
        <w:t xml:space="preserve">Exemple : </w:t>
      </w:r>
      <w:r>
        <w:t>Le droit objectif organise la responsabilité civile ; la victime détient alors un droit subjectif à obtenir réparation si les conditions de la responsabilité sont réunies.</w:t>
      </w:r>
    </w:p>
    <w:p>
      <w:pPr>
        <w:pageBreakBefore w:val="0"/>
        <w:widowControl/>
      </w:pPr>
      <w:r>
        <w:t>Source du droit : notion qui renvoie à l’origine et à la force d’une règle. Le cours retient notamment la Constitution, la loi, les règlements, la jurisprudence, la coutume et la doctrine, avec des degrés d’autorité très différents.</w:t>
      </w:r>
    </w:p>
    <w:p>
      <w:pPr>
        <w:pStyle w:val="Correction"/>
        <w:keepNext w:val="0"/>
        <w:pageBreakBefore w:val="0"/>
        <w:widowControl/>
        <w:ind w:left="255" w:right="142"/>
      </w:pPr>
      <w:r>
        <w:rPr>
          <w:b/>
          <w:color w:val="C00000"/>
        </w:rPr>
        <w:t xml:space="preserve">CORRECTION / MISE À JOUR VÉRIFIÉE : </w:t>
      </w:r>
      <w:r>
        <w:t>La phrase du support « uniquement la Constitution peut créer du droit » est fausse. La Constitution est la norme suprême de l’ordre interne, mais la loi, les règlements, le droit de l’Union, les traités, la coutume et la jurisprudence participent également à la production ou à l’interprétation du droit, selon leur statut.</w:t>
      </w:r>
    </w:p>
    <w:p>
      <w:pPr>
        <w:pStyle w:val="Heading3"/>
        <w:keepNext/>
        <w:keepLines/>
        <w:pageBreakBefore w:val="0"/>
        <w:widowControl/>
      </w:pPr>
      <w:r>
        <w:t>C - La juridicité et la technique juridique</w:t>
      </w:r>
    </w:p>
    <w:p>
      <w:pPr>
        <w:pageBreakBefore w:val="0"/>
        <w:widowControl/>
      </w:pPr>
      <w:r>
        <w:t>Juridicité : caractère de ce qui appartient au droit. Le cours présente plusieurs indices permettant de reconnaître une norme juridique : intervention d’une autorité publique, justiciabilité devant un juge, sanction ou effet juridique reconnu par l’ordre juridique.</w:t>
      </w:r>
    </w:p>
    <w:p>
      <w:pPr>
        <w:pageBreakBefore w:val="0"/>
        <w:widowControl/>
      </w:pPr>
      <w:r>
        <w:t>La sanction étatique est un critère classique mais non exclusif : certaines normes produisent des effets juridiques sans être assorties d’une sanction immédiate, tandis que le droit contemporain connaît aussi des instruments de droit souple.</w:t>
      </w:r>
    </w:p>
    <w:p>
      <w:pPr>
        <w:pStyle w:val="Heading2"/>
        <w:keepNext/>
        <w:keepLines/>
        <w:pageBreakBefore w:val="0"/>
        <w:widowControl/>
      </w:pPr>
      <w:r>
        <w:t>II - La technique juridique</w:t>
      </w:r>
    </w:p>
    <w:p>
      <w:pPr>
        <w:pStyle w:val="Heading3"/>
        <w:keepNext/>
        <w:keepLines/>
        <w:pageBreakBefore w:val="0"/>
        <w:widowControl/>
      </w:pPr>
      <w:r>
        <w:t>1 - Le langage juridique</w:t>
      </w:r>
    </w:p>
    <w:p>
      <w:pPr>
        <w:pageBreakBefore w:val="0"/>
        <w:widowControl/>
      </w:pPr>
      <w:r>
        <w:t>Le juriste utilise des mots techniques auxquels est attaché un régime juridique précis. Certains termes sont spécifiquement juridiques (hypothèque, dol) ; d’autres sont empruntés au langage courant mais prennent un sens juridique particulier (meuble, fruit, faute, urgence).</w:t>
      </w:r>
    </w:p>
    <w:p>
      <w:pPr>
        <w:pStyle w:val="Key"/>
        <w:pageBreakBefore w:val="0"/>
        <w:widowControl/>
        <w:ind w:left="198" w:right="113"/>
      </w:pPr>
      <w:r>
        <w:rPr>
          <w:b/>
        </w:rPr>
        <w:t xml:space="preserve">À RETENIR : </w:t>
      </w:r>
      <w:r>
        <w:t>Qualifier juridiquement un fait revient à le rattacher à une catégorie juridique : la qualification déclenche ensuite le régime juridique correspondant.</w:t>
      </w:r>
    </w:p>
    <w:p>
      <w:pPr>
        <w:pageBreakBefore w:val="0"/>
      </w:pPr>
      <w:r/>
      <w:r>
        <w:rPr>
          <w:b/>
        </w:rPr>
        <w:t>Exemple de qualification.</w:t>
      </w:r>
      <w:r>
        <w:t xml:space="preserve"> « Paul vend son vélo à Léa » devient un contrat de vente entre un vendeur et un acheteur. On recherche ensuite les règles relatives à la formation de la vente, à la délivrance et au paiement. La qualification précède le choix de la règle : le vocabulaire courant ne suffit pas.</w:t>
      </w:r>
    </w:p>
    <w:p>
      <w:pPr>
        <w:pStyle w:val="Heading3"/>
        <w:keepNext/>
        <w:keepLines/>
        <w:pageBreakBefore w:val="0"/>
        <w:widowControl/>
      </w:pPr>
      <w:r>
        <w:t>2 - Les raisonnements d’interprétation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7"/>
        <w:gridCol w:w="3437"/>
        <w:gridCol w:w="3437"/>
      </w:tblGrid>
      <w:tr>
        <w:trPr>
          <w:cantSplit/>
          <w:tblHeader/>
        </w:trPr>
        <w:tc>
          <w:tcPr>
            <w:tcW w:type="dxa" w:w="1814"/>
            <w:vAlign w:val="center"/>
            <w:shd w:fill="EAF2F8"/>
          </w:tcPr>
          <w:p>
            <w:pPr>
              <w:spacing w:after="80" w:before="80"/>
            </w:pPr>
            <w:r/>
            <w:r>
              <w:rPr>
                <w:rFonts w:ascii="Aptos" w:hAnsi="Aptos"/>
                <w:b/>
                <w:color w:val="1F4E79"/>
                <w:sz w:val="18"/>
              </w:rPr>
              <w:t>Raisonnement</w:t>
            </w:r>
          </w:p>
        </w:tc>
        <w:tc>
          <w:tcPr>
            <w:tcW w:type="dxa" w:w="3118"/>
            <w:vAlign w:val="center"/>
            <w:shd w:fill="EAF2F8"/>
          </w:tcPr>
          <w:p>
            <w:pPr>
              <w:spacing w:after="80" w:before="80"/>
            </w:pPr>
            <w:r/>
            <w:r>
              <w:rPr>
                <w:rFonts w:ascii="Aptos" w:hAnsi="Aptos"/>
                <w:b/>
                <w:color w:val="1F4E79"/>
                <w:sz w:val="18"/>
              </w:rPr>
              <w:t>Logique</w:t>
            </w:r>
          </w:p>
        </w:tc>
        <w:tc>
          <w:tcPr>
            <w:tcW w:type="dxa" w:w="4252"/>
            <w:vAlign w:val="center"/>
            <w:shd w:fill="EAF2F8"/>
          </w:tcPr>
          <w:p>
            <w:pPr>
              <w:spacing w:after="80" w:before="80"/>
            </w:pPr>
            <w:r/>
            <w:r>
              <w:rPr>
                <w:rFonts w:ascii="Aptos" w:hAnsi="Aptos"/>
                <w:b/>
                <w:color w:val="1F4E79"/>
                <w:sz w:val="18"/>
              </w:rPr>
              <w:t>Exemple-type</w:t>
            </w:r>
          </w:p>
        </w:tc>
      </w:tr>
      <w:tr>
        <w:trPr>
          <w:cantSplit/>
        </w:trPr>
        <w:tc>
          <w:tcPr>
            <w:tcW w:type="dxa" w:w="1814"/>
            <w:vAlign w:val="center"/>
          </w:tcPr>
          <w:p>
            <w:pPr>
              <w:spacing w:after="80" w:before="80"/>
            </w:pPr>
            <w:r/>
            <w:r>
              <w:rPr>
                <w:rFonts w:ascii="Aptos" w:hAnsi="Aptos"/>
                <w:b w:val="0"/>
                <w:sz w:val="18"/>
              </w:rPr>
              <w:t>Analogie</w:t>
            </w:r>
          </w:p>
        </w:tc>
        <w:tc>
          <w:tcPr>
            <w:tcW w:type="dxa" w:w="3118"/>
            <w:vAlign w:val="center"/>
          </w:tcPr>
          <w:p>
            <w:pPr>
              <w:spacing w:after="80" w:before="80"/>
            </w:pPr>
            <w:r/>
            <w:r>
              <w:rPr>
                <w:rFonts w:ascii="Aptos" w:hAnsi="Aptos"/>
                <w:b w:val="0"/>
                <w:sz w:val="18"/>
              </w:rPr>
              <w:t>Étendre une solution à une situation comparable</w:t>
            </w:r>
          </w:p>
        </w:tc>
        <w:tc>
          <w:tcPr>
            <w:tcW w:type="dxa" w:w="4252"/>
            <w:vAlign w:val="center"/>
          </w:tcPr>
          <w:p>
            <w:pPr>
              <w:spacing w:after="80" w:before="80"/>
            </w:pPr>
            <w:r/>
            <w:r>
              <w:rPr>
                <w:rFonts w:ascii="Aptos" w:hAnsi="Aptos"/>
                <w:b w:val="0"/>
                <w:sz w:val="18"/>
              </w:rPr>
              <w:t>Une règle prévue pour une situation A est appliquée à B car les situations sont suffisamment proches.</w:t>
            </w:r>
          </w:p>
        </w:tc>
      </w:tr>
      <w:tr>
        <w:trPr>
          <w:cantSplit/>
        </w:trPr>
        <w:tc>
          <w:tcPr>
            <w:tcW w:type="dxa" w:w="1814"/>
            <w:vAlign w:val="center"/>
          </w:tcPr>
          <w:p>
            <w:pPr>
              <w:spacing w:after="80" w:before="80"/>
            </w:pPr>
            <w:r/>
            <w:r>
              <w:rPr>
                <w:rFonts w:ascii="Aptos" w:hAnsi="Aptos"/>
                <w:b w:val="0"/>
                <w:sz w:val="18"/>
              </w:rPr>
              <w:t>A contrario</w:t>
            </w:r>
          </w:p>
        </w:tc>
        <w:tc>
          <w:tcPr>
            <w:tcW w:type="dxa" w:w="3118"/>
            <w:vAlign w:val="center"/>
          </w:tcPr>
          <w:p>
            <w:pPr>
              <w:spacing w:after="80" w:before="80"/>
            </w:pPr>
            <w:r/>
            <w:r>
              <w:rPr>
                <w:rFonts w:ascii="Aptos" w:hAnsi="Aptos"/>
                <w:b w:val="0"/>
                <w:sz w:val="18"/>
              </w:rPr>
              <w:t>Déduire la solution inverse lorsque le texte vise expressément un cas</w:t>
            </w:r>
          </w:p>
        </w:tc>
        <w:tc>
          <w:tcPr>
            <w:tcW w:type="dxa" w:w="4252"/>
            <w:vAlign w:val="center"/>
          </w:tcPr>
          <w:p>
            <w:pPr>
              <w:spacing w:after="80" w:before="80"/>
            </w:pPr>
            <w:r/>
            <w:r>
              <w:rPr>
                <w:rFonts w:ascii="Aptos" w:hAnsi="Aptos"/>
                <w:b w:val="0"/>
                <w:sz w:val="18"/>
              </w:rPr>
              <w:t>Si le texte n’autorise qu’une catégorie déterminée, on peut parfois en déduire l’exclusion des autres.</w:t>
            </w:r>
          </w:p>
        </w:tc>
      </w:tr>
      <w:tr>
        <w:trPr>
          <w:cantSplit/>
        </w:trPr>
        <w:tc>
          <w:tcPr>
            <w:tcW w:type="dxa" w:w="1814"/>
            <w:vAlign w:val="center"/>
          </w:tcPr>
          <w:p>
            <w:pPr>
              <w:spacing w:after="80" w:before="80"/>
            </w:pPr>
            <w:r/>
            <w:r>
              <w:rPr>
                <w:rFonts w:ascii="Aptos" w:hAnsi="Aptos"/>
                <w:b w:val="0"/>
                <w:sz w:val="18"/>
              </w:rPr>
              <w:t>A fortiori</w:t>
            </w:r>
          </w:p>
        </w:tc>
        <w:tc>
          <w:tcPr>
            <w:tcW w:type="dxa" w:w="3118"/>
            <w:vAlign w:val="center"/>
          </w:tcPr>
          <w:p>
            <w:pPr>
              <w:spacing w:after="80" w:before="80"/>
            </w:pPr>
            <w:r/>
            <w:r>
              <w:rPr>
                <w:rFonts w:ascii="Aptos" w:hAnsi="Aptos"/>
                <w:b w:val="0"/>
                <w:sz w:val="18"/>
              </w:rPr>
              <w:t>Appliquer une solution à une situation où sa justification est encore plus forte</w:t>
            </w:r>
          </w:p>
        </w:tc>
        <w:tc>
          <w:tcPr>
            <w:tcW w:type="dxa" w:w="4252"/>
            <w:vAlign w:val="center"/>
          </w:tcPr>
          <w:p>
            <w:pPr>
              <w:spacing w:after="80" w:before="80"/>
            </w:pPr>
            <w:r/>
            <w:r>
              <w:rPr>
                <w:rFonts w:ascii="Aptos" w:hAnsi="Aptos"/>
                <w:b w:val="0"/>
                <w:sz w:val="18"/>
              </w:rPr>
              <w:t>Si un comportement peu grave est interdit, un comportement plus grave répondant à la même finalité l’est a fortiori.</w:t>
            </w:r>
          </w:p>
        </w:tc>
      </w:tr>
    </w:tbl>
    <w:p>
      <w:pPr>
        <w:pageBreakBefore w:val="0"/>
        <w:widowControl/>
      </w:pPr>
      <w:r>
        <w:t>Ces raisonnements ne sont pas automatiques. Leur pertinence dépend du texte, de sa finalité, de la matière et de la méthode d’interprétation retenue.</w:t>
      </w:r>
    </w:p>
    <w:p>
      <w:pPr>
        <w:pStyle w:val="Heading3"/>
        <w:keepNext/>
        <w:keepLines/>
        <w:pageBreakBefore w:val="0"/>
        <w:widowControl/>
      </w:pPr>
      <w:r>
        <w:t>3 - La qualification juridique</w:t>
      </w:r>
    </w:p>
    <w:p>
      <w:pPr>
        <w:pageBreakBefore w:val="0"/>
        <w:widowControl/>
      </w:pPr>
      <w:r>
        <w:t>La qualification est l’opération intellectuelle qui consiste à traduire des faits concrets en catégories juridiques. Elle permet de déterminer la branche du droit, la règle applicable, la juridiction compétente et, dans un cas pratique, les conditions à examiner.</w:t>
      </w:r>
    </w:p>
    <w:p>
      <w:pPr>
        <w:pStyle w:val="Correction"/>
        <w:keepNext w:val="0"/>
        <w:pageBreakBefore w:val="0"/>
        <w:widowControl/>
        <w:ind w:left="255" w:right="142"/>
      </w:pPr>
      <w:r>
        <w:rPr>
          <w:b/>
          <w:color w:val="C00000"/>
        </w:rPr>
        <w:t xml:space="preserve">CORRECTION / MISE À JOUR VÉRIFIÉE : </w:t>
      </w:r>
      <w:r>
        <w:t>La phrase « tout ce qui n’est pas civil est pénal » est fausse. L’ordre juridique comprend notamment le droit civil, commercial, social, administratif, constitutionnel, pénal, européen et international.</w:t>
      </w:r>
    </w:p>
    <w:p>
      <w:pPr>
        <w:pStyle w:val="Heading3"/>
        <w:keepNext/>
        <w:keepLines/>
        <w:pageBreakBefore w:val="0"/>
        <w:widowControl/>
      </w:pPr>
      <w:r>
        <w:t>4 - Le syllogisme juridique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7"/>
        <w:gridCol w:w="3437"/>
        <w:gridCol w:w="3437"/>
      </w:tblGrid>
      <w:tr>
        <w:trPr>
          <w:cantSplit/>
          <w:tblHeader/>
        </w:trPr>
        <w:tc>
          <w:tcPr>
            <w:tcW w:type="dxa" w:w="1701"/>
            <w:vAlign w:val="center"/>
            <w:shd w:fill="EAF2F8"/>
          </w:tcPr>
          <w:p>
            <w:pPr>
              <w:spacing w:after="80" w:before="80"/>
            </w:pPr>
            <w:r/>
            <w:r>
              <w:rPr>
                <w:rFonts w:ascii="Aptos" w:hAnsi="Aptos"/>
                <w:b/>
                <w:color w:val="1F4E79"/>
                <w:sz w:val="18"/>
              </w:rPr>
              <w:t>Étape</w:t>
            </w:r>
          </w:p>
        </w:tc>
        <w:tc>
          <w:tcPr>
            <w:tcW w:type="dxa" w:w="5102"/>
            <w:vAlign w:val="center"/>
            <w:shd w:fill="EAF2F8"/>
          </w:tcPr>
          <w:p>
            <w:pPr>
              <w:spacing w:after="80" w:before="80"/>
            </w:pPr>
            <w:r/>
            <w:r>
              <w:rPr>
                <w:rFonts w:ascii="Aptos" w:hAnsi="Aptos"/>
                <w:b/>
                <w:color w:val="1F4E79"/>
                <w:sz w:val="18"/>
              </w:rPr>
              <w:t>Contenu</w:t>
            </w:r>
          </w:p>
        </w:tc>
        <w:tc>
          <w:tcPr>
            <w:tcW w:type="dxa" w:w="2268"/>
            <w:vAlign w:val="center"/>
            <w:shd w:fill="EAF2F8"/>
          </w:tcPr>
          <w:p>
            <w:pPr>
              <w:spacing w:after="80" w:before="80"/>
            </w:pPr>
            <w:r/>
            <w:r>
              <w:rPr>
                <w:rFonts w:ascii="Aptos" w:hAnsi="Aptos"/>
                <w:b/>
                <w:color w:val="1F4E79"/>
                <w:sz w:val="18"/>
              </w:rPr>
              <w:t>Formule utile</w:t>
            </w:r>
          </w:p>
        </w:tc>
      </w:tr>
      <w:tr>
        <w:trPr>
          <w:cantSplit/>
        </w:trPr>
        <w:tc>
          <w:tcPr>
            <w:tcW w:type="dxa" w:w="1701"/>
            <w:vAlign w:val="center"/>
          </w:tcPr>
          <w:p>
            <w:pPr>
              <w:spacing w:after="80" w:before="80"/>
            </w:pPr>
            <w:r/>
            <w:r>
              <w:rPr>
                <w:rFonts w:ascii="Aptos" w:hAnsi="Aptos"/>
                <w:b w:val="0"/>
                <w:sz w:val="18"/>
              </w:rPr>
              <w:t>Majeure</w:t>
            </w:r>
          </w:p>
        </w:tc>
        <w:tc>
          <w:tcPr>
            <w:tcW w:type="dxa" w:w="5102"/>
            <w:vAlign w:val="center"/>
          </w:tcPr>
          <w:p>
            <w:pPr>
              <w:spacing w:after="80" w:before="80"/>
            </w:pPr>
            <w:r/>
            <w:r>
              <w:rPr>
                <w:rFonts w:ascii="Aptos" w:hAnsi="Aptos"/>
                <w:b w:val="0"/>
                <w:sz w:val="18"/>
              </w:rPr>
              <w:t>Énoncer la règle de droit et ses conditions</w:t>
            </w:r>
          </w:p>
        </w:tc>
        <w:tc>
          <w:tcPr>
            <w:tcW w:type="dxa" w:w="2268"/>
            <w:vAlign w:val="center"/>
          </w:tcPr>
          <w:p>
            <w:pPr>
              <w:spacing w:after="80" w:before="80"/>
            </w:pPr>
            <w:r/>
            <w:r>
              <w:rPr>
                <w:rFonts w:ascii="Aptos" w:hAnsi="Aptos"/>
                <w:b w:val="0"/>
                <w:sz w:val="18"/>
              </w:rPr>
              <w:t>« En droit… », « Selon l’article… »</w:t>
            </w:r>
          </w:p>
        </w:tc>
      </w:tr>
      <w:tr>
        <w:trPr>
          <w:cantSplit/>
        </w:trPr>
        <w:tc>
          <w:tcPr>
            <w:tcW w:type="dxa" w:w="1701"/>
            <w:vAlign w:val="center"/>
          </w:tcPr>
          <w:p>
            <w:pPr>
              <w:spacing w:after="80" w:before="80"/>
            </w:pPr>
            <w:r/>
            <w:r>
              <w:rPr>
                <w:rFonts w:ascii="Aptos" w:hAnsi="Aptos"/>
                <w:b w:val="0"/>
                <w:sz w:val="18"/>
              </w:rPr>
              <w:t>Mineure</w:t>
            </w:r>
          </w:p>
        </w:tc>
        <w:tc>
          <w:tcPr>
            <w:tcW w:type="dxa" w:w="5102"/>
            <w:vAlign w:val="center"/>
          </w:tcPr>
          <w:p>
            <w:pPr>
              <w:spacing w:after="80" w:before="80"/>
            </w:pPr>
            <w:r/>
            <w:r>
              <w:rPr>
                <w:rFonts w:ascii="Aptos" w:hAnsi="Aptos"/>
                <w:b w:val="0"/>
                <w:sz w:val="18"/>
              </w:rPr>
              <w:t>Appliquer la règle aux seuls faits pertinents</w:t>
            </w:r>
          </w:p>
        </w:tc>
        <w:tc>
          <w:tcPr>
            <w:tcW w:type="dxa" w:w="2268"/>
            <w:vAlign w:val="center"/>
          </w:tcPr>
          <w:p>
            <w:pPr>
              <w:spacing w:after="80" w:before="80"/>
            </w:pPr>
            <w:r/>
            <w:r>
              <w:rPr>
                <w:rFonts w:ascii="Aptos" w:hAnsi="Aptos"/>
                <w:b w:val="0"/>
                <w:sz w:val="18"/>
              </w:rPr>
              <w:t>« En l’espèce… »</w:t>
            </w:r>
          </w:p>
        </w:tc>
      </w:tr>
      <w:tr>
        <w:trPr>
          <w:cantSplit/>
        </w:trPr>
        <w:tc>
          <w:tcPr>
            <w:tcW w:type="dxa" w:w="1701"/>
            <w:vAlign w:val="center"/>
          </w:tcPr>
          <w:p>
            <w:pPr>
              <w:spacing w:after="80" w:before="80"/>
            </w:pPr>
            <w:r/>
            <w:r>
              <w:rPr>
                <w:rFonts w:ascii="Aptos" w:hAnsi="Aptos"/>
                <w:b w:val="0"/>
                <w:sz w:val="18"/>
              </w:rPr>
              <w:t>Conclusion</w:t>
            </w:r>
          </w:p>
        </w:tc>
        <w:tc>
          <w:tcPr>
            <w:tcW w:type="dxa" w:w="5102"/>
            <w:vAlign w:val="center"/>
          </w:tcPr>
          <w:p>
            <w:pPr>
              <w:spacing w:after="80" w:before="80"/>
            </w:pPr>
            <w:r/>
            <w:r>
              <w:rPr>
                <w:rFonts w:ascii="Aptos" w:hAnsi="Aptos"/>
                <w:b w:val="0"/>
                <w:sz w:val="18"/>
              </w:rPr>
              <w:t>Déduire la solution juridique</w:t>
            </w:r>
          </w:p>
        </w:tc>
        <w:tc>
          <w:tcPr>
            <w:tcW w:type="dxa" w:w="2268"/>
            <w:vAlign w:val="center"/>
          </w:tcPr>
          <w:p>
            <w:pPr>
              <w:spacing w:after="80" w:before="80"/>
            </w:pPr>
            <w:r/>
            <w:r>
              <w:rPr>
                <w:rFonts w:ascii="Aptos" w:hAnsi="Aptos"/>
                <w:b w:val="0"/>
                <w:sz w:val="18"/>
              </w:rPr>
              <w:t>« Ainsi… », « Par conséquent… »</w:t>
            </w:r>
          </w:p>
        </w:tc>
      </w:tr>
    </w:tbl>
    <w:p>
      <w:pPr>
        <w:pStyle w:val="Key"/>
        <w:pageBreakBefore w:val="0"/>
        <w:widowControl/>
        <w:ind w:left="198" w:right="113"/>
      </w:pPr>
      <w:r>
        <w:rPr>
          <w:b/>
        </w:rPr>
        <w:t xml:space="preserve">À RETENIR : </w:t>
      </w:r>
      <w:r>
        <w:t>Le cas pratique n’est pas une récitation. La règle doit être sélectionnée parce qu’elle répond au problème de droit, puis confrontée précisément aux faits.</w:t>
      </w:r>
    </w:p>
    <w:p>
      <w:pPr>
        <w:pageBreakBefore w:val="0"/>
      </w:pPr>
      <w:r/>
      <w:r>
        <w:rPr>
          <w:b/>
        </w:rPr>
        <w:t>Exemple de syllogisme.</w:t>
      </w:r>
      <w:r>
        <w:t xml:space="preserve"> En droit, sauf règle spéciale, le tribunal territorialement compétent est celui du lieu où demeure le défendeur (art. 42 CPC). En l’espèce, le défendeur demeure à Toulouse et aucune règle spéciale n’est applicable aux faits retenus. Donc la juridiction compétente territorialement est celle de Toulouse. Il reste à déterminer sa compétence matérielle : tribunal judiciaire, conseil de prud’hommes, etc.</w:t>
      </w:r>
    </w:p>
    <w:p>
      <w:pPr>
        <w:pageBreakBefore w:val="0"/>
      </w:pPr>
      <w:r/>
      <w:r>
        <w:rPr>
          <w:b/>
        </w:rPr>
        <w:t>Piège.</w:t>
      </w:r>
      <w:r>
        <w:t xml:space="preserve"> Une citation d’article sans application aux faits ne constitue pas un raisonnement. Chaque condition de la règle doit être confrontée à un fait pertinent ; si un fait manque, présenter les deux hypothèses sans l’inventer.</w:t>
      </w:r>
    </w:p>
    <w:p>
      <w:pPr>
        <w:pStyle w:val="Heading2"/>
        <w:keepNext/>
        <w:keepLines/>
        <w:pageBreakBefore w:val="0"/>
        <w:widowControl/>
      </w:pPr>
      <w:r>
        <w:t>III - Droit, morale, religion et branches du droit</w:t>
      </w:r>
    </w:p>
    <w:p>
      <w:pPr>
        <w:pStyle w:val="Heading3"/>
        <w:keepNext/>
        <w:keepLines/>
        <w:pageBreakBefore w:val="0"/>
        <w:widowControl/>
      </w:pPr>
      <w:r>
        <w:t>A - Droit et autres ordres normatifs</w:t>
      </w:r>
    </w:p>
    <w:p>
      <w:pPr>
        <w:pageBreakBefore w:val="0"/>
        <w:widowControl/>
      </w:pPr>
      <w:r>
        <w:t>Le droit doit être distingué des règles morales, religieuses et sociales. Elles peuvent se recouper, se renforcer ou entrer en contradiction. Dans un État laïque, la liberté de conscience et la liberté religieuse sont protégées, mais la règle religieuse ne se confond pas avec la règle juridique étatique.</w:t>
      </w:r>
    </w:p>
    <w:p>
      <w:pPr>
        <w:pStyle w:val="Correction"/>
        <w:keepNext w:val="0"/>
        <w:pageBreakBefore w:val="0"/>
        <w:widowControl/>
        <w:ind w:left="255" w:right="142"/>
      </w:pPr>
      <w:r>
        <w:rPr>
          <w:b/>
          <w:color w:val="C00000"/>
        </w:rPr>
        <w:t xml:space="preserve">CORRECTION / MISE À JOUR VÉRIFIÉE : </w:t>
      </w:r>
      <w:r>
        <w:t>L’article 10 de la DDHC protège la liberté des opinions, « même religieuses », sous réserve de l’ordre public établi par la loi. L’article 9 CEDH protège plus explicitement la liberté de pensée, de conscience et de religion.</w:t>
      </w:r>
    </w:p>
    <w:p>
      <w:pPr>
        <w:pStyle w:val="Heading3"/>
        <w:keepNext/>
        <w:keepLines/>
        <w:pageBreakBefore w:val="0"/>
        <w:widowControl/>
      </w:pPr>
      <w:r>
        <w:t>B - Les principales branches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6"/>
        <w:gridCol w:w="5156"/>
      </w:tblGrid>
      <w:tr>
        <w:trPr>
          <w:cantSplit/>
          <w:tblHeader/>
        </w:trPr>
        <w:tc>
          <w:tcPr>
            <w:tcW w:type="dxa" w:w="2381"/>
            <w:vAlign w:val="center"/>
            <w:shd w:fill="EAF2F8"/>
          </w:tcPr>
          <w:p>
            <w:pPr>
              <w:spacing w:after="80" w:before="80"/>
            </w:pPr>
            <w:r/>
            <w:r>
              <w:rPr>
                <w:rFonts w:ascii="Aptos" w:hAnsi="Aptos"/>
                <w:b/>
                <w:color w:val="1F4E79"/>
                <w:sz w:val="18"/>
              </w:rPr>
              <w:t>Catégorie</w:t>
            </w:r>
          </w:p>
        </w:tc>
        <w:tc>
          <w:tcPr>
            <w:tcW w:type="dxa" w:w="6803"/>
            <w:vAlign w:val="center"/>
            <w:shd w:fill="EAF2F8"/>
          </w:tcPr>
          <w:p>
            <w:pPr>
              <w:spacing w:after="80" w:before="80"/>
            </w:pPr>
            <w:r/>
            <w:r>
              <w:rPr>
                <w:rFonts w:ascii="Aptos" w:hAnsi="Aptos"/>
                <w:b/>
                <w:color w:val="1F4E79"/>
                <w:sz w:val="18"/>
              </w:rPr>
              <w:t>Exemples</w:t>
            </w:r>
          </w:p>
        </w:tc>
      </w:tr>
      <w:tr>
        <w:trPr>
          <w:cantSplit/>
        </w:trPr>
        <w:tc>
          <w:tcPr>
            <w:tcW w:type="dxa" w:w="2381"/>
            <w:vAlign w:val="center"/>
          </w:tcPr>
          <w:p>
            <w:pPr>
              <w:spacing w:after="80" w:before="80"/>
            </w:pPr>
            <w:r/>
            <w:r>
              <w:rPr>
                <w:rFonts w:ascii="Aptos" w:hAnsi="Aptos"/>
                <w:b w:val="0"/>
                <w:sz w:val="18"/>
              </w:rPr>
              <w:t>Droit public</w:t>
            </w:r>
          </w:p>
        </w:tc>
        <w:tc>
          <w:tcPr>
            <w:tcW w:type="dxa" w:w="6803"/>
            <w:vAlign w:val="center"/>
          </w:tcPr>
          <w:p>
            <w:pPr>
              <w:spacing w:after="80" w:before="80"/>
            </w:pPr>
            <w:r/>
            <w:r>
              <w:rPr>
                <w:rFonts w:ascii="Aptos" w:hAnsi="Aptos"/>
                <w:b w:val="0"/>
                <w:sz w:val="18"/>
              </w:rPr>
              <w:t>Droit constitutionnel, administratif, finances publiques, fiscal, urbanisme</w:t>
            </w:r>
          </w:p>
        </w:tc>
      </w:tr>
      <w:tr>
        <w:trPr>
          <w:cantSplit/>
        </w:trPr>
        <w:tc>
          <w:tcPr>
            <w:tcW w:type="dxa" w:w="2381"/>
            <w:vAlign w:val="center"/>
          </w:tcPr>
          <w:p>
            <w:pPr>
              <w:spacing w:after="80" w:before="80"/>
            </w:pPr>
            <w:r/>
            <w:r>
              <w:rPr>
                <w:rFonts w:ascii="Aptos" w:hAnsi="Aptos"/>
                <w:b w:val="0"/>
                <w:sz w:val="18"/>
              </w:rPr>
              <w:t>Droit privé</w:t>
            </w:r>
          </w:p>
        </w:tc>
        <w:tc>
          <w:tcPr>
            <w:tcW w:type="dxa" w:w="6803"/>
            <w:vAlign w:val="center"/>
          </w:tcPr>
          <w:p>
            <w:pPr>
              <w:spacing w:after="80" w:before="80"/>
            </w:pPr>
            <w:r/>
            <w:r>
              <w:rPr>
                <w:rFonts w:ascii="Aptos" w:hAnsi="Aptos"/>
                <w:b w:val="0"/>
                <w:sz w:val="18"/>
              </w:rPr>
              <w:t>Droit civil, commercial, consommation, propriété intellectuelle, concurrence</w:t>
            </w:r>
          </w:p>
        </w:tc>
      </w:tr>
      <w:tr>
        <w:trPr>
          <w:cantSplit/>
        </w:trPr>
        <w:tc>
          <w:tcPr>
            <w:tcW w:type="dxa" w:w="2381"/>
            <w:vAlign w:val="center"/>
          </w:tcPr>
          <w:p>
            <w:pPr>
              <w:spacing w:after="80" w:before="80"/>
            </w:pPr>
            <w:r/>
            <w:r>
              <w:rPr>
                <w:rFonts w:ascii="Aptos" w:hAnsi="Aptos"/>
                <w:b w:val="0"/>
                <w:sz w:val="18"/>
              </w:rPr>
              <w:t>Droits mixtes</w:t>
            </w:r>
          </w:p>
        </w:tc>
        <w:tc>
          <w:tcPr>
            <w:tcW w:type="dxa" w:w="6803"/>
            <w:vAlign w:val="center"/>
          </w:tcPr>
          <w:p>
            <w:pPr>
              <w:spacing w:after="80" w:before="80"/>
            </w:pPr>
            <w:r/>
            <w:r>
              <w:rPr>
                <w:rFonts w:ascii="Aptos" w:hAnsi="Aptos"/>
                <w:b w:val="0"/>
                <w:sz w:val="18"/>
              </w:rPr>
              <w:t>Droit pénal, droit processuel, droit social</w:t>
            </w:r>
          </w:p>
        </w:tc>
      </w:tr>
      <w:tr>
        <w:trPr>
          <w:cantSplit/>
        </w:trPr>
        <w:tc>
          <w:tcPr>
            <w:tcW w:type="dxa" w:w="2381"/>
            <w:vAlign w:val="center"/>
          </w:tcPr>
          <w:p>
            <w:pPr>
              <w:spacing w:after="80" w:before="80"/>
            </w:pPr>
            <w:r/>
            <w:r>
              <w:rPr>
                <w:rFonts w:ascii="Aptos" w:hAnsi="Aptos"/>
                <w:b w:val="0"/>
                <w:sz w:val="18"/>
              </w:rPr>
              <w:t>Droit international public</w:t>
            </w:r>
          </w:p>
        </w:tc>
        <w:tc>
          <w:tcPr>
            <w:tcW w:type="dxa" w:w="6803"/>
            <w:vAlign w:val="center"/>
          </w:tcPr>
          <w:p>
            <w:pPr>
              <w:spacing w:after="80" w:before="80"/>
            </w:pPr>
            <w:r/>
            <w:r>
              <w:rPr>
                <w:rFonts w:ascii="Aptos" w:hAnsi="Aptos"/>
                <w:b w:val="0"/>
                <w:sz w:val="18"/>
              </w:rPr>
              <w:t>Rapports entre États et organisations internationales</w:t>
            </w:r>
          </w:p>
        </w:tc>
      </w:tr>
      <w:tr>
        <w:trPr>
          <w:cantSplit/>
        </w:trPr>
        <w:tc>
          <w:tcPr>
            <w:tcW w:type="dxa" w:w="2381"/>
            <w:vAlign w:val="center"/>
          </w:tcPr>
          <w:p>
            <w:pPr>
              <w:spacing w:after="80" w:before="80"/>
            </w:pPr>
            <w:r/>
            <w:r>
              <w:rPr>
                <w:rFonts w:ascii="Aptos" w:hAnsi="Aptos"/>
                <w:b w:val="0"/>
                <w:sz w:val="18"/>
              </w:rPr>
              <w:t>Droit international privé</w:t>
            </w:r>
          </w:p>
        </w:tc>
        <w:tc>
          <w:tcPr>
            <w:tcW w:type="dxa" w:w="6803"/>
            <w:vAlign w:val="center"/>
          </w:tcPr>
          <w:p>
            <w:pPr>
              <w:spacing w:after="80" w:before="80"/>
            </w:pPr>
            <w:r/>
            <w:r>
              <w:rPr>
                <w:rFonts w:ascii="Aptos" w:hAnsi="Aptos"/>
                <w:b w:val="0"/>
                <w:sz w:val="18"/>
              </w:rPr>
              <w:t>Rapports privés comportant un élément d’extranéité ; choix du juge et de la loi applicables</w:t>
            </w:r>
          </w:p>
        </w:tc>
      </w:tr>
    </w:tbl>
    <w:p>
      <w:pPr>
        <w:pStyle w:val="Heading3"/>
        <w:keepNext/>
        <w:keepLines/>
        <w:pageBreakBefore w:val="0"/>
        <w:widowControl/>
      </w:pPr>
      <w:r>
        <w:t>C - Droit de l’Union européenne : repères</w:t>
      </w:r>
    </w:p>
    <w:p>
      <w:pPr>
        <w:pageBreakBefore w:val="0"/>
        <w:widowControl/>
      </w:pPr>
      <w:r>
        <w:t>Le droit de l’Union est issu des traités et des actes adoptés par les institutions de l’Union. Le traité de Rome date de 1957 ; le traité de Maastricht de 1992 ; le traité de Lisbonne, signé en 2007, est entré en vigueur en 2009.</w:t>
      </w:r>
    </w:p>
    <w:p>
      <w:pPr>
        <w:pStyle w:val="Correction"/>
        <w:keepNext w:val="0"/>
        <w:pageBreakBefore w:val="0"/>
        <w:widowControl/>
        <w:ind w:left="255" w:right="142"/>
      </w:pPr>
      <w:r>
        <w:rPr>
          <w:b/>
          <w:color w:val="C00000"/>
        </w:rPr>
        <w:t xml:space="preserve">CORRECTION / MISE À JOUR VÉRIFIÉE : </w:t>
      </w:r>
      <w:r>
        <w:t>L’Union européenne compte 27 États membres. Le Conseil de l’Union réunit les ministres des 27 États membres, dans des formations variables selon la matière. Le Conseil européen réunit les chefs d’État ou de gouvernement des 27 États membres, son président et le président de la Commission.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6"/>
        <w:gridCol w:w="5156"/>
      </w:tblGrid>
      <w:tr>
        <w:trPr>
          <w:cantSplit/>
          <w:tblHeader/>
        </w:trPr>
        <w:tc>
          <w:tcPr>
            <w:tcW w:type="dxa" w:w="2268"/>
            <w:vAlign w:val="center"/>
            <w:shd w:fill="EAF2F8"/>
          </w:tcPr>
          <w:p>
            <w:pPr>
              <w:spacing w:after="80" w:before="80"/>
            </w:pPr>
            <w:r/>
            <w:r>
              <w:rPr>
                <w:rFonts w:ascii="Aptos" w:hAnsi="Aptos"/>
                <w:b/>
                <w:color w:val="1F4E79"/>
                <w:sz w:val="18"/>
              </w:rPr>
              <w:t>Acte de l’UE</w:t>
            </w:r>
          </w:p>
        </w:tc>
        <w:tc>
          <w:tcPr>
            <w:tcW w:type="dxa" w:w="6917"/>
            <w:vAlign w:val="center"/>
            <w:shd w:fill="EAF2F8"/>
          </w:tcPr>
          <w:p>
            <w:pPr>
              <w:spacing w:after="80" w:before="80"/>
            </w:pPr>
            <w:r/>
            <w:r>
              <w:rPr>
                <w:rFonts w:ascii="Aptos" w:hAnsi="Aptos"/>
                <w:b/>
                <w:color w:val="1F4E79"/>
                <w:sz w:val="18"/>
              </w:rPr>
              <w:t>Effet essentiel</w:t>
            </w:r>
          </w:p>
        </w:tc>
      </w:tr>
      <w:tr>
        <w:trPr>
          <w:cantSplit/>
        </w:trPr>
        <w:tc>
          <w:tcPr>
            <w:tcW w:type="dxa" w:w="2268"/>
            <w:vAlign w:val="center"/>
          </w:tcPr>
          <w:p>
            <w:pPr>
              <w:spacing w:after="80" w:before="80"/>
            </w:pPr>
            <w:r/>
            <w:r>
              <w:rPr>
                <w:rFonts w:ascii="Aptos" w:hAnsi="Aptos"/>
                <w:b w:val="0"/>
                <w:sz w:val="18"/>
              </w:rPr>
              <w:t>Règlement</w:t>
            </w:r>
          </w:p>
        </w:tc>
        <w:tc>
          <w:tcPr>
            <w:tcW w:type="dxa" w:w="6917"/>
            <w:vAlign w:val="center"/>
          </w:tcPr>
          <w:p>
            <w:pPr>
              <w:spacing w:after="80" w:before="80"/>
            </w:pPr>
            <w:r/>
            <w:r>
              <w:rPr>
                <w:rFonts w:ascii="Aptos" w:hAnsi="Aptos"/>
                <w:b w:val="0"/>
                <w:sz w:val="18"/>
              </w:rPr>
              <w:t>Obligatoire dans tous ses éléments et directement applicable dans chaque État membre.</w:t>
            </w:r>
          </w:p>
        </w:tc>
      </w:tr>
      <w:tr>
        <w:trPr>
          <w:cantSplit/>
        </w:trPr>
        <w:tc>
          <w:tcPr>
            <w:tcW w:type="dxa" w:w="2268"/>
            <w:vAlign w:val="center"/>
          </w:tcPr>
          <w:p>
            <w:pPr>
              <w:spacing w:after="80" w:before="80"/>
            </w:pPr>
            <w:r/>
            <w:r>
              <w:rPr>
                <w:rFonts w:ascii="Aptos" w:hAnsi="Aptos"/>
                <w:b w:val="0"/>
                <w:sz w:val="18"/>
              </w:rPr>
              <w:t>Directive</w:t>
            </w:r>
          </w:p>
        </w:tc>
        <w:tc>
          <w:tcPr>
            <w:tcW w:type="dxa" w:w="6917"/>
            <w:vAlign w:val="center"/>
          </w:tcPr>
          <w:p>
            <w:pPr>
              <w:spacing w:after="80" w:before="80"/>
            </w:pPr>
            <w:r/>
            <w:r>
              <w:rPr>
                <w:rFonts w:ascii="Aptos" w:hAnsi="Aptos"/>
                <w:b w:val="0"/>
                <w:sz w:val="18"/>
              </w:rPr>
              <w:t>Lie l’État destinataire quant au résultat à atteindre ; elle nécessite en principe des mesures nationales de transposition.</w:t>
            </w:r>
          </w:p>
        </w:tc>
      </w:tr>
      <w:tr>
        <w:trPr>
          <w:cantSplit/>
        </w:trPr>
        <w:tc>
          <w:tcPr>
            <w:tcW w:type="dxa" w:w="2268"/>
            <w:vAlign w:val="center"/>
          </w:tcPr>
          <w:p>
            <w:pPr>
              <w:spacing w:after="80" w:before="80"/>
            </w:pPr>
            <w:r/>
            <w:r>
              <w:rPr>
                <w:rFonts w:ascii="Aptos" w:hAnsi="Aptos"/>
                <w:b w:val="0"/>
                <w:sz w:val="18"/>
              </w:rPr>
              <w:t>Décision</w:t>
            </w:r>
          </w:p>
        </w:tc>
        <w:tc>
          <w:tcPr>
            <w:tcW w:type="dxa" w:w="6917"/>
            <w:vAlign w:val="center"/>
          </w:tcPr>
          <w:p>
            <w:pPr>
              <w:spacing w:after="80" w:before="80"/>
            </w:pPr>
            <w:r/>
            <w:r>
              <w:rPr>
                <w:rFonts w:ascii="Aptos" w:hAnsi="Aptos"/>
                <w:b w:val="0"/>
                <w:sz w:val="18"/>
              </w:rPr>
              <w:t>Obligatoire dans tous ses éléments ; si elle désigne des destinataires, elle ne lie que ceux-ci.</w:t>
            </w:r>
          </w:p>
        </w:tc>
      </w:tr>
      <w:tr>
        <w:trPr>
          <w:cantSplit/>
        </w:trPr>
        <w:tc>
          <w:tcPr>
            <w:tcW w:type="dxa" w:w="2268"/>
            <w:vAlign w:val="center"/>
          </w:tcPr>
          <w:p>
            <w:pPr>
              <w:spacing w:after="80" w:before="80"/>
            </w:pPr>
            <w:r/>
            <w:r>
              <w:rPr>
                <w:rFonts w:ascii="Aptos" w:hAnsi="Aptos"/>
                <w:b w:val="0"/>
                <w:sz w:val="18"/>
              </w:rPr>
              <w:t>Recommandations et avis</w:t>
            </w:r>
          </w:p>
        </w:tc>
        <w:tc>
          <w:tcPr>
            <w:tcW w:type="dxa" w:w="6917"/>
            <w:vAlign w:val="center"/>
          </w:tcPr>
          <w:p>
            <w:pPr>
              <w:spacing w:after="80" w:before="80"/>
            </w:pPr>
            <w:r/>
            <w:r>
              <w:rPr>
                <w:rFonts w:ascii="Aptos" w:hAnsi="Aptos"/>
                <w:b w:val="0"/>
                <w:sz w:val="18"/>
              </w:rPr>
              <w:t>Ne lient pas : ce sont eux qui relèvent classiquement du droit non contraignant.</w:t>
            </w:r>
          </w:p>
        </w:tc>
      </w:tr>
    </w:tbl>
    <w:p>
      <w:pPr>
        <w:pStyle w:val="Correction"/>
        <w:keepNext w:val="0"/>
        <w:pageBreakBefore w:val="0"/>
        <w:widowControl/>
        <w:ind w:left="255" w:right="142"/>
      </w:pPr>
      <w:r>
        <w:rPr>
          <w:b/>
          <w:color w:val="C00000"/>
        </w:rPr>
        <w:t xml:space="preserve">CORRECTION / MISE À JOUR VÉRIFIÉE : </w:t>
      </w:r>
      <w:r>
        <w:t>Le support qualifie les « décisions » de droit souple. C’est incorrect : l’article 288 TFUE dit qu’une décision est obligatoire. Les recommandations et avis ne lient pas.</w:t>
      </w:r>
    </w:p>
    <w:p>
      <w:pPr>
        <w:pStyle w:val="Heading1"/>
        <w:keepNext/>
        <w:keepLines/>
        <w:pageBreakBefore w:val="0"/>
        <w:widowControl/>
      </w:pPr>
      <w:r>
        <w:t>PARTIE PRÉLIMINAIRE - L’ORGANISATION JURIDICTIONNELLE INTERNE</w:t>
      </w:r>
    </w:p>
    <w:p>
      <w:pPr>
        <w:pStyle w:val="Heading2"/>
        <w:keepNext/>
        <w:keepLines/>
        <w:pageBreakBefore w:val="0"/>
        <w:widowControl/>
      </w:pPr>
      <w:r>
        <w:t>Introduction - Rendre la justice</w:t>
      </w:r>
    </w:p>
    <w:p>
      <w:pPr>
        <w:pageBreakBefore w:val="0"/>
        <w:widowControl/>
      </w:pPr>
      <w:r>
        <w:t>Rendre la justice est une fonction essentielle de l’État. Un tiers impartial doit trancher les prétentions contradictoires : nul ne peut, en principe, se faire justice à soi-même.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6"/>
        <w:gridCol w:w="5156"/>
      </w:tblGrid>
      <w:tr>
        <w:trPr>
          <w:cantSplit/>
          <w:tblHeader/>
        </w:trPr>
        <w:tc>
          <w:tcPr>
            <w:tcW w:type="dxa" w:w="2268"/>
            <w:vAlign w:val="center"/>
            <w:shd w:fill="EAF2F8"/>
          </w:tcPr>
          <w:p>
            <w:pPr>
              <w:spacing w:after="80" w:before="80"/>
            </w:pPr>
            <w:r/>
            <w:r>
              <w:rPr>
                <w:rFonts w:ascii="Aptos" w:hAnsi="Aptos"/>
                <w:b/>
                <w:color w:val="1F4E79"/>
                <w:sz w:val="18"/>
              </w:rPr>
              <w:t>Mode de règlement</w:t>
            </w:r>
          </w:p>
        </w:tc>
        <w:tc>
          <w:tcPr>
            <w:tcW w:type="dxa" w:w="6803"/>
            <w:vAlign w:val="center"/>
            <w:shd w:fill="EAF2F8"/>
          </w:tcPr>
          <w:p>
            <w:pPr>
              <w:spacing w:after="80" w:before="80"/>
            </w:pPr>
            <w:r/>
            <w:r>
              <w:rPr>
                <w:rFonts w:ascii="Aptos" w:hAnsi="Aptos"/>
                <w:b/>
                <w:color w:val="1F4E79"/>
                <w:sz w:val="18"/>
              </w:rPr>
              <w:t>Principe</w:t>
            </w:r>
          </w:p>
        </w:tc>
      </w:tr>
      <w:tr>
        <w:trPr>
          <w:cantSplit/>
        </w:trPr>
        <w:tc>
          <w:tcPr>
            <w:tcW w:type="dxa" w:w="2268"/>
            <w:vAlign w:val="center"/>
          </w:tcPr>
          <w:p>
            <w:pPr>
              <w:spacing w:after="80" w:before="80"/>
            </w:pPr>
            <w:r/>
            <w:r>
              <w:rPr>
                <w:rFonts w:ascii="Aptos" w:hAnsi="Aptos"/>
                <w:b w:val="0"/>
                <w:sz w:val="18"/>
              </w:rPr>
              <w:t>Amiable</w:t>
            </w:r>
          </w:p>
        </w:tc>
        <w:tc>
          <w:tcPr>
            <w:tcW w:type="dxa" w:w="6803"/>
            <w:vAlign w:val="center"/>
          </w:tcPr>
          <w:p>
            <w:pPr>
              <w:spacing w:after="80" w:before="80"/>
            </w:pPr>
            <w:r/>
            <w:r>
              <w:rPr>
                <w:rFonts w:ascii="Aptos" w:hAnsi="Aptos"/>
                <w:b w:val="0"/>
                <w:sz w:val="18"/>
              </w:rPr>
              <w:t>Conciliation, médiation, transaction : recherche d’un accord sans jugement imposé.</w:t>
            </w:r>
          </w:p>
        </w:tc>
      </w:tr>
      <w:tr>
        <w:trPr>
          <w:cantSplit/>
        </w:trPr>
        <w:tc>
          <w:tcPr>
            <w:tcW w:type="dxa" w:w="2268"/>
            <w:vAlign w:val="center"/>
          </w:tcPr>
          <w:p>
            <w:pPr>
              <w:spacing w:after="80" w:before="80"/>
            </w:pPr>
            <w:r/>
            <w:r>
              <w:rPr>
                <w:rFonts w:ascii="Aptos" w:hAnsi="Aptos"/>
                <w:b w:val="0"/>
                <w:sz w:val="18"/>
              </w:rPr>
              <w:t>Arbitrage</w:t>
            </w:r>
          </w:p>
        </w:tc>
        <w:tc>
          <w:tcPr>
            <w:tcW w:type="dxa" w:w="6803"/>
            <w:vAlign w:val="center"/>
          </w:tcPr>
          <w:p>
            <w:pPr>
              <w:spacing w:after="80" w:before="80"/>
            </w:pPr>
            <w:r/>
            <w:r>
              <w:rPr>
                <w:rFonts w:ascii="Aptos" w:hAnsi="Aptos"/>
                <w:b w:val="0"/>
                <w:sz w:val="18"/>
              </w:rPr>
              <w:t>Justice privée encadrée par le droit ; l’arbitre rend une sentence. Souvent rapide et confidentielle mais payante.</w:t>
            </w:r>
          </w:p>
        </w:tc>
      </w:tr>
      <w:tr>
        <w:trPr>
          <w:cantSplit/>
        </w:trPr>
        <w:tc>
          <w:tcPr>
            <w:tcW w:type="dxa" w:w="2268"/>
            <w:vAlign w:val="center"/>
          </w:tcPr>
          <w:p>
            <w:pPr>
              <w:spacing w:after="80" w:before="80"/>
            </w:pPr>
            <w:r/>
            <w:r>
              <w:rPr>
                <w:rFonts w:ascii="Aptos" w:hAnsi="Aptos"/>
                <w:b w:val="0"/>
                <w:sz w:val="18"/>
              </w:rPr>
              <w:t>Justice étatique</w:t>
            </w:r>
          </w:p>
        </w:tc>
        <w:tc>
          <w:tcPr>
            <w:tcW w:type="dxa" w:w="6803"/>
            <w:vAlign w:val="center"/>
          </w:tcPr>
          <w:p>
            <w:pPr>
              <w:spacing w:after="80" w:before="80"/>
            </w:pPr>
            <w:r/>
            <w:r>
              <w:rPr>
                <w:rFonts w:ascii="Aptos" w:hAnsi="Aptos"/>
                <w:b w:val="0"/>
                <w:sz w:val="18"/>
              </w:rPr>
              <w:t>Le litige est tranché par une juridiction appartenant au service public de la justice.</w:t>
            </w:r>
          </w:p>
        </w:tc>
      </w:tr>
    </w:tbl>
    <w:p>
      <w:pPr>
        <w:pageBreakBefore w:val="0"/>
        <w:widowControl/>
      </w:pPr>
      <w:r>
        <w:t>Juridiction : organe chargé de dire le droit et de trancher un litige. Les juridictions du fond examinent les faits et le droit. La Cour de cassation contrôle l’application du droit : elle ne constitue pas un troisième degré de juridiction.</w:t>
      </w:r>
    </w:p>
    <w:p>
      <w:pPr>
        <w:pageBreakBefore w:val="0"/>
        <w:widowControl/>
      </w:pPr>
      <w:r>
        <w:t>Juridiction de droit commun : compétence générale sauf texte attribuant le litige à une juridiction spécialisée. Juridiction spécialisée : compétence déterminée par la loi, par exemple le tribunal de commerce ou le conseil de prud’hommes.</w:t>
      </w:r>
    </w:p>
    <w:p>
      <w:pPr>
        <w:pStyle w:val="Heading1"/>
        <w:keepNext/>
        <w:keepLines/>
        <w:pageBreakBefore w:val="0"/>
        <w:widowControl/>
      </w:pPr>
      <w:r>
        <w:t>Chapitre 1 - La dualité de juridiction</w:t>
      </w:r>
    </w:p>
    <w:p>
      <w:pPr>
        <w:pageBreakBefore w:val="0"/>
        <w:widowControl/>
      </w:pPr>
      <w:r>
        <w:t>La France connaît deux ordres juridictionnels : l’ordre judiciaire et l’ordre administratif. Cette dualité s’explique historiquement par le principe de séparation des autorités administratives et judiciaires affirmé à la Révolution.</w:t>
      </w:r>
    </w:p>
    <w:p>
      <w:pPr>
        <w:pStyle w:val="Article"/>
        <w:pageBreakBefore w:val="0"/>
        <w:widowControl/>
        <w:ind w:left="255"/>
      </w:pPr>
      <w:r>
        <w:rPr>
          <w:b/>
        </w:rPr>
        <w:t xml:space="preserve">Repère juridique : </w:t>
      </w:r>
      <w:r>
        <w:t>Loi des 16-24 août 1790 : les fonctions judiciaires sont séparées des fonctions administratives.</w:t>
      </w:r>
    </w:p>
    <w:p>
      <w:pPr>
        <w:pStyle w:val="Heading2"/>
        <w:keepNext/>
        <w:keepLines/>
        <w:pageBreakBefore w:val="0"/>
        <w:widowControl/>
      </w:pPr>
      <w:r>
        <w:t>I - Le Tribunal des conflits</w:t>
      </w:r>
    </w:p>
    <w:p>
      <w:pPr>
        <w:pageBreakBefore w:val="0"/>
        <w:widowControl/>
      </w:pPr>
      <w:r>
        <w:t>Le Tribunal des conflits tranche les difficultés de compétence entre les deux ordres. Le cours distingue le conflit positif, le conflit négatif, le renvoi préventif et le conflit de décisions.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6"/>
        <w:gridCol w:w="5156"/>
      </w:tblGrid>
      <w:tr>
        <w:trPr>
          <w:cantSplit/>
          <w:tblHeader/>
        </w:trPr>
        <w:tc>
          <w:tcPr>
            <w:tcW w:type="dxa" w:w="2551"/>
            <w:vAlign w:val="center"/>
            <w:shd w:fill="EAF2F8"/>
          </w:tcPr>
          <w:p>
            <w:pPr>
              <w:spacing w:after="80" w:before="80"/>
            </w:pPr>
            <w:r/>
            <w:r>
              <w:rPr>
                <w:rFonts w:ascii="Aptos" w:hAnsi="Aptos"/>
                <w:b/>
                <w:color w:val="1F4E79"/>
                <w:sz w:val="18"/>
              </w:rPr>
              <w:t>Situation</w:t>
            </w:r>
          </w:p>
        </w:tc>
        <w:tc>
          <w:tcPr>
            <w:tcW w:type="dxa" w:w="6520"/>
            <w:vAlign w:val="center"/>
            <w:shd w:fill="EAF2F8"/>
          </w:tcPr>
          <w:p>
            <w:pPr>
              <w:spacing w:after="80" w:before="80"/>
            </w:pPr>
            <w:r/>
            <w:r>
              <w:rPr>
                <w:rFonts w:ascii="Aptos" w:hAnsi="Aptos"/>
                <w:b/>
                <w:color w:val="1F4E79"/>
                <w:sz w:val="18"/>
              </w:rPr>
              <w:t>Rôle</w:t>
            </w:r>
          </w:p>
        </w:tc>
      </w:tr>
      <w:tr>
        <w:trPr>
          <w:cantSplit/>
        </w:trPr>
        <w:tc>
          <w:tcPr>
            <w:tcW w:type="dxa" w:w="2551"/>
            <w:vAlign w:val="center"/>
          </w:tcPr>
          <w:p>
            <w:pPr>
              <w:spacing w:after="80" w:before="80"/>
            </w:pPr>
            <w:r/>
            <w:r>
              <w:rPr>
                <w:rFonts w:ascii="Aptos" w:hAnsi="Aptos"/>
                <w:b w:val="0"/>
                <w:sz w:val="18"/>
              </w:rPr>
              <w:t>Conflit positif</w:t>
            </w:r>
          </w:p>
        </w:tc>
        <w:tc>
          <w:tcPr>
            <w:tcW w:type="dxa" w:w="6520"/>
            <w:vAlign w:val="center"/>
          </w:tcPr>
          <w:p>
            <w:pPr>
              <w:spacing w:after="80" w:before="80"/>
            </w:pPr>
            <w:r/>
            <w:r>
              <w:rPr>
                <w:rFonts w:ascii="Aptos" w:hAnsi="Aptos"/>
                <w:b w:val="0"/>
                <w:sz w:val="18"/>
              </w:rPr>
              <w:t>L’administration conteste la compétence de l’ordre judiciaire dans une affaire qu’elle estime administrative.</w:t>
            </w:r>
          </w:p>
        </w:tc>
      </w:tr>
      <w:tr>
        <w:trPr>
          <w:cantSplit/>
        </w:trPr>
        <w:tc>
          <w:tcPr>
            <w:tcW w:type="dxa" w:w="2551"/>
            <w:vAlign w:val="center"/>
          </w:tcPr>
          <w:p>
            <w:pPr>
              <w:spacing w:after="80" w:before="80"/>
            </w:pPr>
            <w:r/>
            <w:r>
              <w:rPr>
                <w:rFonts w:ascii="Aptos" w:hAnsi="Aptos"/>
                <w:b w:val="0"/>
                <w:sz w:val="18"/>
              </w:rPr>
              <w:t>Conflit négatif</w:t>
            </w:r>
          </w:p>
        </w:tc>
        <w:tc>
          <w:tcPr>
            <w:tcW w:type="dxa" w:w="6520"/>
            <w:vAlign w:val="center"/>
          </w:tcPr>
          <w:p>
            <w:pPr>
              <w:spacing w:after="80" w:before="80"/>
            </w:pPr>
            <w:r/>
            <w:r>
              <w:rPr>
                <w:rFonts w:ascii="Aptos" w:hAnsi="Aptos"/>
                <w:b w:val="0"/>
                <w:sz w:val="18"/>
              </w:rPr>
              <w:t>Chaque ordre s’est déclaré incompétent : risque de déni de justice.</w:t>
            </w:r>
          </w:p>
        </w:tc>
      </w:tr>
      <w:tr>
        <w:trPr>
          <w:cantSplit/>
        </w:trPr>
        <w:tc>
          <w:tcPr>
            <w:tcW w:type="dxa" w:w="2551"/>
            <w:vAlign w:val="center"/>
          </w:tcPr>
          <w:p>
            <w:pPr>
              <w:spacing w:after="80" w:before="80"/>
            </w:pPr>
            <w:r/>
            <w:r>
              <w:rPr>
                <w:rFonts w:ascii="Aptos" w:hAnsi="Aptos"/>
                <w:b w:val="0"/>
                <w:sz w:val="18"/>
              </w:rPr>
              <w:t>Renvoi</w:t>
            </w:r>
          </w:p>
        </w:tc>
        <w:tc>
          <w:tcPr>
            <w:tcW w:type="dxa" w:w="6520"/>
            <w:vAlign w:val="center"/>
          </w:tcPr>
          <w:p>
            <w:pPr>
              <w:spacing w:after="80" w:before="80"/>
            </w:pPr>
            <w:r/>
            <w:r>
              <w:rPr>
                <w:rFonts w:ascii="Aptos" w:hAnsi="Aptos"/>
                <w:b w:val="0"/>
                <w:sz w:val="18"/>
              </w:rPr>
              <w:t>Une juridiction saisit le Tribunal des conflits pour prévenir un conflit de compétence.</w:t>
            </w:r>
          </w:p>
        </w:tc>
      </w:tr>
      <w:tr>
        <w:trPr>
          <w:cantSplit/>
        </w:trPr>
        <w:tc>
          <w:tcPr>
            <w:tcW w:type="dxa" w:w="2551"/>
            <w:vAlign w:val="center"/>
          </w:tcPr>
          <w:p>
            <w:pPr>
              <w:spacing w:after="80" w:before="80"/>
            </w:pPr>
            <w:r/>
            <w:r>
              <w:rPr>
                <w:rFonts w:ascii="Aptos" w:hAnsi="Aptos"/>
                <w:b w:val="0"/>
                <w:sz w:val="18"/>
              </w:rPr>
              <w:t>Contrariété de décisions</w:t>
            </w:r>
          </w:p>
        </w:tc>
        <w:tc>
          <w:tcPr>
            <w:tcW w:type="dxa" w:w="6520"/>
            <w:vAlign w:val="center"/>
          </w:tcPr>
          <w:p>
            <w:pPr>
              <w:spacing w:after="80" w:before="80"/>
            </w:pPr>
            <w:r/>
            <w:r>
              <w:rPr>
                <w:rFonts w:ascii="Aptos" w:hAnsi="Aptos"/>
                <w:b w:val="0"/>
                <w:sz w:val="18"/>
              </w:rPr>
              <w:t>Les deux ordres ont rendu des décisions inconciliables dans la même affaire.</w:t>
            </w:r>
          </w:p>
        </w:tc>
      </w:tr>
    </w:tbl>
    <w:p>
      <w:pPr>
        <w:pStyle w:val="Correction"/>
        <w:keepNext w:val="0"/>
        <w:pageBreakBefore w:val="0"/>
        <w:widowControl/>
        <w:ind w:left="255" w:right="142"/>
      </w:pPr>
      <w:r>
        <w:rPr>
          <w:b/>
          <w:color w:val="C00000"/>
        </w:rPr>
        <w:t xml:space="preserve">CORRECTION / MISE À JOUR VÉRIFIÉE : </w:t>
      </w:r>
      <w:r>
        <w:t>Depuis la réforme de 2015, le garde des Sceaux ne préside plus le Tribunal des conflits. Sa formation ordinaire comprend quatre membres du Conseil d’État et quatre magistrats de la Cour de cassation ; le président est choisi parmi eux pour trois ans, alternativement issu de l’un ou l’autre ordre.</w:t>
      </w:r>
    </w:p>
    <w:p>
      <w:pPr>
        <w:pStyle w:val="Heading2"/>
        <w:keepNext/>
        <w:keepLines/>
        <w:pageBreakBefore w:val="0"/>
        <w:widowControl/>
      </w:pPr>
      <w:r>
        <w:t>II - Arrêt Blanco, Tribunal des conflits, 8 février 1873</w:t>
      </w:r>
    </w:p>
    <w:p>
      <w:pPr>
        <w:pageBreakBefore w:val="0"/>
        <w:widowControl/>
      </w:pPr>
      <w:r>
        <w:t>Faits : une enfant est blessée par un wagonnet d’une manufacture de tabac exploitée par l’État. Son père demande réparation devant le juge judiciaire en invoquant les règles du Code civil.</w:t>
      </w:r>
    </w:p>
    <w:p>
      <w:pPr>
        <w:pageBreakBefore w:val="0"/>
        <w:widowControl/>
      </w:pPr>
      <w:r>
        <w:t>Solution : le Tribunal des conflits attribue le litige à la juridiction administrative et affirme que la responsabilité de l’État à raison du service public ne se règle pas nécessairement selon les principes du Code civil.</w:t>
      </w:r>
    </w:p>
    <w:p>
      <w:pPr>
        <w:pStyle w:val="Key"/>
        <w:pageBreakBefore w:val="0"/>
        <w:widowControl/>
        <w:ind w:left="198" w:right="113"/>
      </w:pPr>
      <w:r>
        <w:rPr>
          <w:b/>
        </w:rPr>
        <w:t xml:space="preserve">À RETENIR : </w:t>
      </w:r>
      <w:r>
        <w:t>Blanco est un repère historique majeur pour l’autonomie du droit administratif et la compétence de la juridiction administrative.</w:t>
      </w:r>
    </w:p>
    <w:p>
      <w:pPr>
        <w:pageBreakBefore w:val="0"/>
      </w:pPr>
      <w:r/>
      <w:r>
        <w:rPr>
          <w:b/>
        </w:rPr>
        <w:t>Approfondissement utile.</w:t>
      </w:r>
      <w:r>
        <w:t xml:space="preserve"> Blanco ne signifie pas que tout dommage causé par toute personne publique relève toujours du juge administratif. La compétence dépend du service, de l’activité et des textes applicables. L’arrêt établit un repère historique ; il ne dispense pas de qualifier le litige.</w:t>
      </w:r>
    </w:p>
    <w:p>
      <w:pPr>
        <w:pStyle w:val="Heading1"/>
        <w:keepNext/>
        <w:keepLines/>
        <w:pageBreakBefore w:val="0"/>
        <w:widowControl/>
      </w:pPr>
      <w:r>
        <w:t>Chapitre 2 - L’organisation des juridictions judiciaires</w:t>
      </w:r>
    </w:p>
    <w:p>
      <w:pPr>
        <w:pStyle w:val="Heading2"/>
        <w:keepNext/>
        <w:keepLines/>
        <w:pageBreakBefore w:val="0"/>
        <w:widowControl/>
      </w:pPr>
      <w:r>
        <w:t>Introduction : ordre civil, ordre pénal et magistrats</w:t>
      </w:r>
    </w:p>
    <w:p>
      <w:pPr>
        <w:pageBreakBefore w:val="0"/>
        <w:widowControl/>
      </w:pPr>
      <w:r>
        <w:t>L’ordre judiciaire comprend les juridictions civiles et pénales. Les juridictions civiles règlent principalement les litiges entre personnes privées. Les juridictions pénales jugent les infractions et prononcent des peines.</w:t>
      </w:r>
    </w:p>
    <w:p>
      <w:pPr>
        <w:pageBreakBefore w:val="0"/>
        <w:widowControl/>
      </w:pPr>
      <w:r>
        <w:t>Magistrats du siège : jugent et bénéficient de garanties d’indépendance. Magistrats du parquet : représentent le ministère public et défendent les intérêts de la société ; ils n’exercent pas les mêmes fonctions que les juges du siège.</w:t>
      </w:r>
    </w:p>
    <w:p>
      <w:pPr>
        <w:pageBreakBefore w:val="0"/>
      </w:pPr>
      <w:r/>
      <w:r>
        <w:rPr>
          <w:b/>
        </w:rPr>
        <w:t>Distinctions pratiques.</w:t>
      </w:r>
      <w:r>
        <w:t xml:space="preserve"> Le demandeur introduit la demande ; le défendeur y répond. En appel : appelant et intimé. Devant la Cour de cassation : demandeur et défendeur au pourvoi. Au pénal, la victime peut se constituer partie civile pour demander réparation ; elle ne devient pas pour autant le ministère public chargé de l’action publique.</w:t>
      </w:r>
    </w:p>
    <w:p>
      <w:pPr>
        <w:pStyle w:val="Heading2"/>
        <w:keepNext/>
        <w:keepLines/>
        <w:pageBreakBefore w:val="0"/>
        <w:widowControl/>
      </w:pPr>
      <w:r>
        <w:t>Section 1 - Les juridictions du premier degré</w:t>
      </w:r>
    </w:p>
    <w:p>
      <w:pPr>
        <w:pStyle w:val="Heading3"/>
        <w:keepNext/>
        <w:keepLines/>
        <w:pageBreakBefore w:val="0"/>
        <w:widowControl/>
      </w:pPr>
      <w:r>
        <w:t>A - Compétence matérielle et territoriale</w:t>
      </w:r>
    </w:p>
    <w:p>
      <w:pPr>
        <w:pageBreakBefore w:val="0"/>
        <w:widowControl/>
      </w:pPr>
      <w:r>
        <w:t>Compétence matérielle (ratione materiae) : détermine le type de juridiction compétent selon la nature du litige. Compétence territoriale (ratione loci) : détermine, parmi les juridictions matériellement compétentes, celle qui doit être saisie géographiquement.</w:t>
      </w:r>
    </w:p>
    <w:p>
      <w:pPr>
        <w:pStyle w:val="Article"/>
        <w:pageBreakBefore w:val="0"/>
        <w:widowControl/>
        <w:ind w:left="255"/>
      </w:pPr>
      <w:r/>
      <w:r>
        <w:rPr>
          <w:b/>
        </w:rPr>
        <w:t>Compétence territoriale civile.</w:t>
      </w:r>
      <w:r>
        <w:t xml:space="preserve"> Principe : juridiction du lieu où demeure le défendeur (art. 42 CPC). En matière réelle immobilière, compétence exclusive du lieu de situation de l’immeuble (art. 44) : cette règle ne vise pas indistinctement tout litige ayant un rapport avec un immeuble.</w:t>
      </w:r>
    </w:p>
    <w:p>
      <w:pPr>
        <w:pageBreakBefore w:val="0"/>
      </w:pPr>
      <w:r/>
      <w:r>
        <w:rPr>
          <w:b/>
        </w:rPr>
        <w:t>Options de l’article 46 CPC.</w:t>
      </w:r>
      <w:r>
        <w:t xml:space="preserve"> Outre le domicile du défendeur, le demandeur peut choisir, en matière contractuelle, le lieu de livraison effective de la chose ou d’exécution de la prestation de service ; en matière délictuelle, le lieu du fait dommageable ou celui où le dommage est subi. Le lieu de signature du contrat n’est pas l’option générale prévue par cet article.</w:t>
      </w:r>
    </w:p>
    <w:p>
      <w:pPr>
        <w:pageBreakBefore w:val="0"/>
      </w:pPr>
      <w:r/>
      <w:r>
        <w:rPr>
          <w:b/>
        </w:rPr>
        <w:t>Méthode.</w:t>
      </w:r>
      <w:r>
        <w:t xml:space="preserve"> 1. Qualifier le litige. 2. Déterminer la juridiction matériellement compétente. 3. Rechercher la règle territoriale, puis ses exceptions. 4. Vérifier si la décision peut faire l’objet d’un appel. Ne pas confondre compétence et taux de ressort.</w:t>
      </w:r>
    </w:p>
    <w:p>
      <w:pPr>
        <w:pStyle w:val="Heading3"/>
        <w:keepNext/>
        <w:keepLines/>
        <w:pageBreakBefore w:val="0"/>
        <w:widowControl/>
      </w:pPr>
      <w:r>
        <w:t>B - Le tribunal judiciaire</w:t>
      </w:r>
    </w:p>
    <w:p>
      <w:pPr>
        <w:pageBreakBefore w:val="0"/>
        <w:widowControl/>
      </w:pPr>
      <w:r>
        <w:t>Depuis le 1er janvier 2020, le tribunal judiciaire résulte de la fusion du tribunal de grande instance et du tribunal d’instance. Il constitue la juridiction civile de droit commun pour les litiges qui ne sont pas attribués à une autre juridiction.</w:t>
      </w:r>
    </w:p>
    <w:p>
      <w:pPr>
        <w:pageBreakBefore w:val="0"/>
        <w:widowControl/>
      </w:pPr>
      <w:r>
        <w:t>Il comporte aussi des fonctions pénales : le tribunal correctionnel et le tribunal de police sont organisés au sein du tribunal judiciaire selon les règles de procédure pénale.</w:t>
      </w:r>
    </w:p>
    <w:p>
      <w:pPr>
        <w:pStyle w:val="Heading3"/>
        <w:keepNext/>
        <w:keepLines/>
        <w:pageBreakBefore w:val="0"/>
        <w:widowControl/>
      </w:pPr>
      <w:r>
        <w:t>C - Le tribunal de commerce</w:t>
      </w:r>
    </w:p>
    <w:p>
      <w:pPr>
        <w:pageBreakBefore w:val="0"/>
        <w:widowControl/>
      </w:pPr>
      <w:r>
        <w:t>Juridiction spécialisée composée de juges consulaires élus. Elle connaît notamment des litiges entre commerçants, relatifs aux actes de commerce et aux entreprises commerciales selon les règles du Code de commerce.</w:t>
      </w:r>
    </w:p>
    <w:p>
      <w:pPr>
        <w:pStyle w:val="Key"/>
        <w:pageBreakBefore w:val="0"/>
        <w:widowControl/>
        <w:ind w:left="198" w:right="113"/>
      </w:pPr>
      <w:r>
        <w:rPr>
          <w:b/>
        </w:rPr>
        <w:t xml:space="preserve">À RETENIR : </w:t>
      </w:r>
      <w:r>
        <w:t>Pour chaque juridiction : toujours distinguer compétence matérielle et compétence territoriale.</w:t>
      </w:r>
    </w:p>
    <w:p>
      <w:pPr>
        <w:pageBreakBefore w:val="0"/>
      </w:pPr>
      <w:r/>
      <w:r>
        <w:rPr>
          <w:b/>
        </w:rPr>
        <w:t>Mise à jour du cours.</w:t>
      </w:r>
      <w:r>
        <w:t xml:space="preserve"> Douze tribunaux de commerce expérimentent le tribunal des activités économiques du 1er janvier 2025 au 31 décembre 2028, soit quatre ans. Leur compétence s’étend notamment aux procédures amiables et collectives de professionnels jusque-là soumis au tribunal judiciaire ; les professions réglementées du droit restent exceptées. Il ne s’agit pas d’un remplacement national de tous les tribunaux de commerce.</w:t>
      </w:r>
    </w:p>
    <w:p>
      <w:pPr>
        <w:pStyle w:val="Heading3"/>
        <w:keepNext/>
        <w:keepLines/>
        <w:pageBreakBefore w:val="0"/>
        <w:widowControl/>
      </w:pPr>
      <w:r>
        <w:t>D - Le conseil de prud’hommes</w:t>
      </w:r>
    </w:p>
    <w:p>
      <w:pPr>
        <w:pageBreakBefore w:val="0"/>
        <w:widowControl/>
      </w:pPr>
      <w:r>
        <w:t>Juridiction spécialisée chargée des litiges individuels nés à l’occasion d’un contrat de travail de droit privé. Sa composition est paritaire : représentants des salariés et des employeurs.</w:t>
      </w:r>
    </w:p>
    <w:p>
      <w:pPr>
        <w:pageBreakBefore w:val="0"/>
        <w:widowControl/>
      </w:pPr>
      <w:r>
        <w:t>Le cours insiste sur la tentative de conciliation puis, en cas d’échec, le jugement du litige.</w:t>
      </w:r>
    </w:p>
    <w:p>
      <w:pPr>
        <w:pageBreakBefore w:val="0"/>
      </w:pPr>
      <w:r/>
      <w:r>
        <w:rPr>
          <w:b/>
        </w:rPr>
        <w:t>Prud’hommes.</w:t>
      </w:r>
      <w:r>
        <w:t xml:space="preserve"> La compétence territoriale relève en principe du lieu de l’établissement où le travail est accompli ; si le travail est accompli à domicile ou hors de tout établissement, du domicile du salarié. Le salarié peut aussi saisir le conseil du lieu où l’engagement a été contracté ou celui du lieu où l’employeur est établi (art. R. 1412-1 du Code du travail).</w:t>
      </w:r>
    </w:p>
    <w:p>
      <w:pPr>
        <w:pageBreakBefore w:val="0"/>
      </w:pPr>
      <w:r/>
      <w:r>
        <w:rPr>
          <w:b/>
        </w:rPr>
        <w:t>Fonctionnement.</w:t>
      </w:r>
      <w:r>
        <w:t xml:space="preserve"> Le bureau de conciliation et d’orientation recherche un accord puis oriente le dossier. En l’absence d’accord, le bureau de jugement tranche, sous réserve des procédures spéciales dispensées de conciliation. En cas de partage des voix, un juge professionnel intervient en départage.</w:t>
      </w:r>
    </w:p>
    <w:p>
      <w:pPr>
        <w:pageBreakBefore w:val="0"/>
      </w:pPr>
      <w:r/>
      <w:r>
        <w:rPr>
          <w:b/>
        </w:rPr>
        <w:t>Autre juridiction du cours.</w:t>
      </w:r>
      <w:r>
        <w:t xml:space="preserve"> Le tribunal paritaire des baux ruraux connaît des litiges entre bailleurs et preneurs de baux ruraux. Les anciens tribunaux des affaires de sécurité sociale ont disparu : les litiges concernés relèvent aujourd’hui des pôles sociaux des tribunaux judiciaires désignés.</w:t>
      </w:r>
    </w:p>
    <w:p>
      <w:pPr>
        <w:pStyle w:val="Heading2"/>
        <w:keepNext/>
        <w:keepLines/>
        <w:pageBreakBefore w:val="0"/>
        <w:widowControl/>
      </w:pPr>
      <w:r>
        <w:t>Section 1 bis - Les juridictions pénales de jugement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7"/>
        <w:gridCol w:w="3437"/>
        <w:gridCol w:w="3437"/>
      </w:tblGrid>
      <w:tr>
        <w:trPr>
          <w:cantSplit/>
          <w:tblHeader/>
        </w:trPr>
        <w:tc>
          <w:tcPr>
            <w:tcW w:type="dxa" w:w="2268"/>
            <w:vAlign w:val="center"/>
            <w:shd w:fill="EAF2F8"/>
          </w:tcPr>
          <w:p>
            <w:pPr>
              <w:spacing w:after="80" w:before="80"/>
            </w:pPr>
            <w:r/>
            <w:r>
              <w:rPr>
                <w:rFonts w:ascii="Aptos" w:hAnsi="Aptos"/>
                <w:b/>
                <w:color w:val="1F4E79"/>
                <w:sz w:val="18"/>
              </w:rPr>
              <w:t>Infraction</w:t>
            </w:r>
          </w:p>
        </w:tc>
        <w:tc>
          <w:tcPr>
            <w:tcW w:type="dxa" w:w="4252"/>
            <w:vAlign w:val="center"/>
            <w:shd w:fill="EAF2F8"/>
          </w:tcPr>
          <w:p>
            <w:pPr>
              <w:spacing w:after="80" w:before="80"/>
            </w:pPr>
            <w:r/>
            <w:r>
              <w:rPr>
                <w:rFonts w:ascii="Aptos" w:hAnsi="Aptos"/>
                <w:b/>
                <w:color w:val="1F4E79"/>
                <w:sz w:val="18"/>
              </w:rPr>
              <w:t>Juridiction principale</w:t>
            </w:r>
          </w:p>
        </w:tc>
        <w:tc>
          <w:tcPr>
            <w:tcW w:type="dxa" w:w="2551"/>
            <w:vAlign w:val="center"/>
            <w:shd w:fill="EAF2F8"/>
          </w:tcPr>
          <w:p>
            <w:pPr>
              <w:spacing w:after="80" w:before="80"/>
            </w:pPr>
            <w:r/>
            <w:r>
              <w:rPr>
                <w:rFonts w:ascii="Aptos" w:hAnsi="Aptos"/>
                <w:b/>
                <w:color w:val="1F4E79"/>
                <w:sz w:val="18"/>
              </w:rPr>
              <w:t>Qualification de la personne poursuivie</w:t>
            </w:r>
          </w:p>
        </w:tc>
      </w:tr>
      <w:tr>
        <w:trPr>
          <w:cantSplit/>
        </w:trPr>
        <w:tc>
          <w:tcPr>
            <w:tcW w:type="dxa" w:w="2268"/>
            <w:vAlign w:val="center"/>
          </w:tcPr>
          <w:p>
            <w:pPr>
              <w:spacing w:after="80" w:before="80"/>
            </w:pPr>
            <w:r/>
            <w:r>
              <w:rPr>
                <w:rFonts w:ascii="Aptos" w:hAnsi="Aptos"/>
                <w:b w:val="0"/>
                <w:sz w:val="18"/>
              </w:rPr>
              <w:t>Contravention</w:t>
            </w:r>
          </w:p>
        </w:tc>
        <w:tc>
          <w:tcPr>
            <w:tcW w:type="dxa" w:w="4252"/>
            <w:vAlign w:val="center"/>
          </w:tcPr>
          <w:p>
            <w:pPr>
              <w:spacing w:after="80" w:before="80"/>
            </w:pPr>
            <w:r/>
            <w:r>
              <w:rPr>
                <w:rFonts w:ascii="Aptos" w:hAnsi="Aptos"/>
                <w:b w:val="0"/>
                <w:sz w:val="18"/>
              </w:rPr>
              <w:t>Tribunal de police</w:t>
            </w:r>
          </w:p>
        </w:tc>
        <w:tc>
          <w:tcPr>
            <w:tcW w:type="dxa" w:w="2551"/>
            <w:vAlign w:val="center"/>
          </w:tcPr>
          <w:p>
            <w:pPr>
              <w:spacing w:after="80" w:before="80"/>
            </w:pPr>
            <w:r/>
            <w:r>
              <w:rPr>
                <w:rFonts w:ascii="Aptos" w:hAnsi="Aptos"/>
                <w:b w:val="0"/>
                <w:sz w:val="18"/>
              </w:rPr>
              <w:t>Prévenu</w:t>
            </w:r>
          </w:p>
        </w:tc>
      </w:tr>
      <w:tr>
        <w:trPr>
          <w:cantSplit/>
        </w:trPr>
        <w:tc>
          <w:tcPr>
            <w:tcW w:type="dxa" w:w="2268"/>
            <w:vAlign w:val="center"/>
          </w:tcPr>
          <w:p>
            <w:pPr>
              <w:spacing w:after="80" w:before="80"/>
            </w:pPr>
            <w:r/>
            <w:r>
              <w:rPr>
                <w:rFonts w:ascii="Aptos" w:hAnsi="Aptos"/>
                <w:b w:val="0"/>
                <w:sz w:val="18"/>
              </w:rPr>
              <w:t>Délit</w:t>
            </w:r>
          </w:p>
        </w:tc>
        <w:tc>
          <w:tcPr>
            <w:tcW w:type="dxa" w:w="4252"/>
            <w:vAlign w:val="center"/>
          </w:tcPr>
          <w:p>
            <w:pPr>
              <w:spacing w:after="80" w:before="80"/>
            </w:pPr>
            <w:r/>
            <w:r>
              <w:rPr>
                <w:rFonts w:ascii="Aptos" w:hAnsi="Aptos"/>
                <w:b w:val="0"/>
                <w:sz w:val="18"/>
              </w:rPr>
              <w:t>Tribunal correctionnel</w:t>
            </w:r>
          </w:p>
        </w:tc>
        <w:tc>
          <w:tcPr>
            <w:tcW w:type="dxa" w:w="2551"/>
            <w:vAlign w:val="center"/>
          </w:tcPr>
          <w:p>
            <w:pPr>
              <w:spacing w:after="80" w:before="80"/>
            </w:pPr>
            <w:r/>
            <w:r>
              <w:rPr>
                <w:rFonts w:ascii="Aptos" w:hAnsi="Aptos"/>
                <w:b w:val="0"/>
                <w:sz w:val="18"/>
              </w:rPr>
              <w:t>Prévenu</w:t>
            </w:r>
          </w:p>
        </w:tc>
      </w:tr>
      <w:tr>
        <w:trPr>
          <w:cantSplit/>
        </w:trPr>
        <w:tc>
          <w:tcPr>
            <w:tcW w:type="dxa" w:w="2268"/>
            <w:vAlign w:val="center"/>
          </w:tcPr>
          <w:p>
            <w:pPr>
              <w:spacing w:after="80" w:before="80"/>
            </w:pPr>
            <w:r/>
            <w:r>
              <w:rPr>
                <w:rFonts w:ascii="Aptos" w:hAnsi="Aptos"/>
                <w:b w:val="0"/>
                <w:sz w:val="18"/>
              </w:rPr>
              <w:t>Crime puni de 15 ou 20 ans, majeur, hors récidive légale</w:t>
            </w:r>
          </w:p>
        </w:tc>
        <w:tc>
          <w:tcPr>
            <w:tcW w:type="dxa" w:w="4252"/>
            <w:vAlign w:val="center"/>
          </w:tcPr>
          <w:p>
            <w:pPr>
              <w:spacing w:after="80" w:before="80"/>
            </w:pPr>
            <w:r/>
            <w:r>
              <w:rPr>
                <w:rFonts w:ascii="Aptos" w:hAnsi="Aptos"/>
                <w:b w:val="0"/>
                <w:sz w:val="18"/>
              </w:rPr>
              <w:t>Cour criminelle départementale (mise à jour 2026)</w:t>
            </w:r>
          </w:p>
        </w:tc>
        <w:tc>
          <w:tcPr>
            <w:tcW w:type="dxa" w:w="2551"/>
            <w:vAlign w:val="center"/>
          </w:tcPr>
          <w:p>
            <w:pPr>
              <w:spacing w:after="80" w:before="80"/>
            </w:pPr>
            <w:r/>
            <w:r>
              <w:rPr>
                <w:rFonts w:ascii="Aptos" w:hAnsi="Aptos"/>
                <w:b w:val="0"/>
                <w:sz w:val="18"/>
              </w:rPr>
              <w:t>Accusé</w:t>
            </w:r>
          </w:p>
        </w:tc>
      </w:tr>
      <w:tr>
        <w:trPr>
          <w:cantSplit/>
        </w:trPr>
        <w:tc>
          <w:tcPr>
            <w:tcW w:type="dxa" w:w="2268"/>
            <w:vAlign w:val="center"/>
          </w:tcPr>
          <w:p>
            <w:pPr>
              <w:spacing w:after="80" w:before="80"/>
            </w:pPr>
            <w:r/>
            <w:r>
              <w:rPr>
                <w:rFonts w:ascii="Aptos" w:hAnsi="Aptos"/>
                <w:b w:val="0"/>
                <w:sz w:val="18"/>
              </w:rPr>
              <w:t>Autres crimes relevant de sa compétence</w:t>
            </w:r>
          </w:p>
        </w:tc>
        <w:tc>
          <w:tcPr>
            <w:tcW w:type="dxa" w:w="4252"/>
            <w:vAlign w:val="center"/>
          </w:tcPr>
          <w:p>
            <w:pPr>
              <w:spacing w:after="80" w:before="80"/>
            </w:pPr>
            <w:r/>
            <w:r>
              <w:rPr>
                <w:rFonts w:ascii="Aptos" w:hAnsi="Aptos"/>
                <w:b w:val="0"/>
                <w:sz w:val="18"/>
              </w:rPr>
              <w:t>Cour d’assises</w:t>
            </w:r>
          </w:p>
        </w:tc>
        <w:tc>
          <w:tcPr>
            <w:tcW w:type="dxa" w:w="2551"/>
            <w:vAlign w:val="center"/>
          </w:tcPr>
          <w:p>
            <w:pPr>
              <w:spacing w:after="80" w:before="80"/>
            </w:pPr>
            <w:r/>
            <w:r>
              <w:rPr>
                <w:rFonts w:ascii="Aptos" w:hAnsi="Aptos"/>
                <w:b w:val="0"/>
                <w:sz w:val="18"/>
              </w:rPr>
              <w:t>Accusé</w:t>
            </w:r>
          </w:p>
        </w:tc>
      </w:tr>
    </w:tbl>
    <w:p>
      <w:pPr>
        <w:pStyle w:val="Correction"/>
        <w:keepNext w:val="0"/>
        <w:pageBreakBefore w:val="0"/>
        <w:widowControl/>
        <w:ind w:left="255" w:right="142"/>
      </w:pPr>
      <w:r/>
      <w:r>
        <w:rPr>
          <w:b/>
        </w:rPr>
        <w:t>Cour criminelle départementale.</w:t>
      </w:r>
      <w:r>
        <w:t xml:space="preserve"> Généralisée depuis le 1er janvier 2023, hors Mayotte, elle juge en premier ressort les majeurs accusés d’un crime puni de quinze ou vingt ans de réclusion, hors récidive légale, sous les conditions de l’article 380-16 CPP. Elle comprend cinq magistrats professionnels, sans jury. Les autres crimes et l’appel relèvent de la cour d’assises dans les conditions légales. Le cours mentionnait déjà cette juridiction : sa présentation est ici précisée.</w:t>
      </w:r>
    </w:p>
    <w:p>
      <w:pPr>
        <w:pStyle w:val="Heading3"/>
        <w:keepNext/>
        <w:keepLines/>
        <w:pageBreakBefore w:val="0"/>
        <w:widowControl/>
      </w:pPr>
      <w:r>
        <w:t>A - Tribunal de police</w:t>
      </w:r>
    </w:p>
    <w:p>
      <w:pPr>
        <w:pageBreakBefore w:val="0"/>
        <w:widowControl/>
      </w:pPr>
      <w:r>
        <w:t>Il juge les contraventions. Il statue en principe à juge unique. Les règles de compétence et de recours varient selon la catégorie de contravention et la décision rendue.</w:t>
      </w:r>
    </w:p>
    <w:p>
      <w:pPr>
        <w:pStyle w:val="Correction"/>
        <w:keepNext w:val="0"/>
        <w:pageBreakBefore w:val="0"/>
        <w:widowControl/>
        <w:ind w:left="255" w:right="142"/>
      </w:pPr>
      <w:r>
        <w:rPr>
          <w:b/>
          <w:color w:val="C00000"/>
        </w:rPr>
        <w:t xml:space="preserve">CORRECTION / MISE À JOUR VÉRIFIÉE : </w:t>
      </w:r>
      <w:r>
        <w:t>La mention du support selon laquelle le tribunal de police « siège au tribunal d’instance » est obsolète : le tribunal d’instance a disparu au 1er janvier 2020.</w:t>
      </w:r>
    </w:p>
    <w:p>
      <w:pPr>
        <w:pStyle w:val="Heading3"/>
        <w:keepNext/>
        <w:keepLines/>
        <w:pageBreakBefore w:val="0"/>
        <w:widowControl/>
      </w:pPr>
      <w:r>
        <w:t>B - Tribunal correctionnel</w:t>
      </w:r>
    </w:p>
    <w:p>
      <w:pPr>
        <w:pageBreakBefore w:val="0"/>
        <w:widowControl/>
      </w:pPr>
      <w:r>
        <w:t>Il juge les délits. Il appartient au tribunal judiciaire. Selon les infractions, la formation peut être collégiale ou à juge unique dans les cas prévus par la loi. Le ministère public est représenté par le procureur de la République ou un membre du parquet.</w:t>
      </w:r>
    </w:p>
    <w:p>
      <w:pPr>
        <w:pStyle w:val="Heading3"/>
        <w:keepNext/>
        <w:keepLines/>
        <w:pageBreakBefore w:val="0"/>
        <w:widowControl/>
      </w:pPr>
      <w:r>
        <w:t>C - Cour d’assises</w:t>
      </w:r>
    </w:p>
    <w:p>
      <w:pPr>
        <w:pageBreakBefore w:val="0"/>
        <w:widowControl/>
      </w:pPr>
      <w:r>
        <w:t>La cour d’assises juge les crimes relevant de sa compétence. Elle comprend des magistrats professionnels et des jurés citoyens en première instance. Ses décisions sont motivées et peuvent faire l’objet d’un appel devant une autre cour d’assises.</w:t>
      </w:r>
    </w:p>
    <w:p>
      <w:pPr>
        <w:pStyle w:val="Key"/>
        <w:pageBreakBefore w:val="0"/>
        <w:widowControl/>
        <w:ind w:left="198" w:right="113"/>
      </w:pPr>
      <w:r>
        <w:rPr>
          <w:b/>
        </w:rPr>
        <w:t xml:space="preserve">À RETENIR : </w:t>
      </w:r>
      <w:r>
        <w:t>Crime = cour d’assises ou, pour certains crimes, cour criminelle départementale ; délit = tribunal correctionnel ; contravention = tribunal de police.</w:t>
      </w:r>
    </w:p>
    <w:p>
      <w:pPr>
        <w:pStyle w:val="Heading2"/>
        <w:keepNext/>
        <w:keepLines/>
        <w:pageBreakBefore w:val="0"/>
        <w:widowControl/>
      </w:pPr>
      <w:r>
        <w:t>Section 2 - La juridiction d’appel</w:t>
      </w:r>
    </w:p>
    <w:p>
      <w:pPr>
        <w:pageBreakBefore w:val="0"/>
        <w:widowControl/>
      </w:pPr>
      <w:r>
        <w:t>L’appel permet un nouvel examen de l’affaire en fait et en droit lorsque la décision a été rendue en premier ressort. Il produit en principe un effet dévolutif : la cour d’appel est saisie des chefs de jugement critiqués. Les règles d’exécution provisoire doivent être distinguées de l’effet de l’appel.</w:t>
      </w:r>
    </w:p>
    <w:p>
      <w:pPr>
        <w:pStyle w:val="Article"/>
        <w:pageBreakBefore w:val="0"/>
        <w:widowControl/>
        <w:ind w:left="255"/>
      </w:pPr>
      <w:r>
        <w:rPr>
          <w:b/>
        </w:rPr>
        <w:t xml:space="preserve">Repère juridique : </w:t>
      </w:r>
      <w:r>
        <w:t>Taux de ressort civil : pour de nombreuses actions patrimoniales devant le tribunal judiciaire, une décision portant sur une demande inférieure ou égale à 5 000 € est rendue en dernier ressort ; l’appel n’est alors pas ouvert, sous réserve des règles propres à la matière.</w:t>
      </w:r>
    </w:p>
    <w:p>
      <w:pPr>
        <w:pageBreakBefore w:val="0"/>
        <w:widowControl/>
      </w:pPr>
      <w:r>
        <w:t>Une décision rendue en dernier ressort peut néanmoins faire l’objet d’un pourvoi en cassation si les conditions du pourvoi sont réunies.</w:t>
      </w:r>
    </w:p>
    <w:p>
      <w:pPr>
        <w:pageBreakBefore w:val="0"/>
      </w:pPr>
      <w:r/>
      <w:r>
        <w:rPr>
          <w:b/>
        </w:rPr>
        <w:t>Appel et exécution.</w:t>
      </w:r>
      <w:r>
        <w:t xml:space="preserve"> La cour d’appel peut confirmer la décision ou l’infirmer totalement ou partiellement. En matière civile, le délai de droit commun de l’appel contentieux est d’un mois à compter de la notification ; certains délais sont plus courts, notamment quinze jours en référé. Toujours vérifier le texte spécial.</w:t>
      </w:r>
    </w:p>
    <w:p>
      <w:pPr>
        <w:pageBreakBefore w:val="0"/>
      </w:pPr>
      <w:r/>
      <w:r>
        <w:rPr>
          <w:b/>
        </w:rPr>
        <w:t>Correction importante.</w:t>
      </w:r>
      <w:r>
        <w:t xml:space="preserve"> L’appel ne bloque pas nécessairement l’exécution : les décisions civiles de première instance sont en principe exécutoires à titre provisoire de droit, sauf disposition légale ou décision contraire (art. 514 CPC). Distinguer effet dévolutif, possibilité d’exécuter et caractère définitif de la décision.</w:t>
      </w:r>
    </w:p>
    <w:p>
      <w:pPr>
        <w:pStyle w:val="Heading2"/>
        <w:keepNext/>
        <w:keepLines/>
        <w:pageBreakBefore w:val="0"/>
        <w:widowControl/>
      </w:pPr>
      <w:r>
        <w:t>Section 3 - La Cour de cassation</w:t>
      </w:r>
    </w:p>
    <w:p>
      <w:pPr>
        <w:pStyle w:val="Heading3"/>
        <w:keepNext/>
        <w:keepLines/>
        <w:pageBreakBefore w:val="0"/>
        <w:widowControl/>
      </w:pPr>
      <w:r>
        <w:t>I - Organisation</w:t>
      </w:r>
    </w:p>
    <w:p>
      <w:pPr>
        <w:pageBreakBefore w:val="0"/>
        <w:widowControl/>
      </w:pPr>
      <w:r>
        <w:t>La Cour de cassation est la juridiction suprême de l’ordre judiciaire. Elle comporte six chambres : trois chambres civiles, une chambre commerciale, une chambre sociale et une chambre criminelle.</w:t>
      </w:r>
    </w:p>
    <w:p>
      <w:pPr>
        <w:pStyle w:val="Correction"/>
        <w:keepNext w:val="0"/>
        <w:pageBreakBefore w:val="0"/>
        <w:widowControl/>
        <w:ind w:left="255" w:right="142"/>
      </w:pPr>
      <w:r>
        <w:rPr>
          <w:b/>
          <w:color w:val="C00000"/>
        </w:rPr>
        <w:t xml:space="preserve">CORRECTION / MISE À JOUR VÉRIFIÉE : </w:t>
      </w:r>
      <w:r>
        <w:t>Cette structure à six chambres est toujours actuelle en 2026.</w:t>
      </w:r>
    </w:p>
    <w:p>
      <w:pPr>
        <w:pageBreakBefore w:val="0"/>
        <w:widowControl/>
      </w:pPr>
      <w:r>
        <w:t>La Cour peut siéger en chambre mixte ou en assemblée plénière pour unifier l’interprétation du droit. Ces formations ne sont pas des degrés de juridiction supplémentaires.</w:t>
      </w:r>
    </w:p>
    <w:p>
      <w:pPr>
        <w:pageBreakBefore w:val="0"/>
      </w:pPr>
      <w:r/>
      <w:r>
        <w:rPr>
          <w:b/>
        </w:rPr>
        <w:t>Chambre mixte.</w:t>
      </w:r>
      <w:r>
        <w:t xml:space="preserve"> Elle réunit des magistrats d’au moins trois chambres lorsque la question relève de plusieurs chambres ou risque de recevoir des solutions divergentes. Son renvoi est obligatoire en cas de partage égal des voix de la chambre saisie.</w:t>
      </w:r>
    </w:p>
    <w:p>
      <w:pPr>
        <w:pageBreakBefore w:val="0"/>
      </w:pPr>
      <w:r/>
      <w:r>
        <w:rPr>
          <w:b/>
        </w:rPr>
        <w:t>Assemblée plénière.</w:t>
      </w:r>
      <w:r>
        <w:t xml:space="preserve"> Elle peut être réunie pour une question de principe, notamment en présence de divergences. Elle doit l’être lorsque, après une première cassation, la décision de renvoi est attaquée par les mêmes moyens. En cas de renvoi après un arrêt de l’assemblée plénière, le juge de renvoi doit se conformer à sa solution sur les points de droit jugés (art. L. 431-6 et L. 431-4 COJ).</w:t>
      </w:r>
    </w:p>
    <w:p>
      <w:pPr>
        <w:pStyle w:val="Heading3"/>
        <w:keepNext/>
        <w:keepLines/>
        <w:pageBreakBefore w:val="0"/>
        <w:widowControl/>
      </w:pPr>
      <w:r>
        <w:t>II - Rôle : juge du droit</w:t>
      </w:r>
    </w:p>
    <w:p>
      <w:pPr>
        <w:pageBreakBefore w:val="0"/>
        <w:widowControl/>
      </w:pPr>
      <w:r>
        <w:t>La Cour de cassation ne rejoue pas l’affaire comme une cour d’appel. Elle contrôle la correcte application de la règle de droit par les juges du fond.</w:t>
      </w:r>
    </w:p>
    <w:p>
      <w:pPr>
        <w:pageBreakBefore w:val="0"/>
      </w:pPr>
      <w:r/>
      <w:r>
        <w:rPr>
          <w:b/>
        </w:rPr>
        <w:t>Ce qui peut être contrôlé.</w:t>
      </w:r>
      <w:r>
        <w:t xml:space="preserve"> La Cour respecte l’appréciation souveraine des faits par les juges du fond, mais contrôle notamment leur qualification juridique. Elle peut vérifier si des faits souverainement constatés répondent aux conditions de la force majeure.</w:t>
      </w:r>
    </w:p>
    <w:p>
      <w:pPr>
        <w:pageBreakBefore w:val="0"/>
      </w:pPr>
      <w:r/>
      <w:r>
        <w:rPr>
          <w:b/>
        </w:rPr>
        <w:t>Principaux cas d’ouverture.</w:t>
      </w:r>
      <w:r>
        <w:t xml:space="preserve"> Violation de la loi : mauvaise règle ou mauvaise application. Défaut de base légale : constatations insuffisantes pour vérifier que les conditions de la règle sont remplies. Défaut de motifs : absence ou insuffisance juridiquement sanctionnée de justification. S’ajoutent notamment le défaut de réponse aux conclusions, la violation du contradictoire, la dénaturation d’un écrit clair, l’incompétence et l’excès de pouvoir.</w:t>
      </w:r>
    </w:p>
    <w:p>
      <w:pPr>
        <w:pageBreakBefore w:val="0"/>
      </w:pPr>
      <w:r/>
      <w:r>
        <w:rPr>
          <w:b/>
        </w:rPr>
        <w:t>Après cassation avec renvoi.</w:t>
      </w:r>
      <w:r>
        <w:t xml:space="preserve"> L’affaire est rejugée en fait et en droit dans les limites de la cassation, devant une juridiction de même nature, différente ou autrement composée. Le premier juge de renvoi peut résister à la solution d’une chambre ; si sa décision est attaquée par les mêmes moyens, le mécanisme de l’assemblée plénière assure l’unification.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6"/>
        <w:gridCol w:w="5156"/>
      </w:tblGrid>
      <w:tr>
        <w:trPr>
          <w:cantSplit/>
          <w:tblHeader/>
        </w:trPr>
        <w:tc>
          <w:tcPr>
            <w:tcW w:type="dxa" w:w="2551"/>
            <w:vAlign w:val="center"/>
            <w:shd w:fill="EAF2F8"/>
          </w:tcPr>
          <w:p>
            <w:pPr>
              <w:spacing w:after="80" w:before="80"/>
            </w:pPr>
            <w:r/>
            <w:r>
              <w:rPr>
                <w:rFonts w:ascii="Aptos" w:hAnsi="Aptos"/>
                <w:b/>
                <w:color w:val="1F4E79"/>
                <w:sz w:val="18"/>
              </w:rPr>
              <w:t>Décision</w:t>
            </w:r>
          </w:p>
        </w:tc>
        <w:tc>
          <w:tcPr>
            <w:tcW w:type="dxa" w:w="6520"/>
            <w:vAlign w:val="center"/>
            <w:shd w:fill="EAF2F8"/>
          </w:tcPr>
          <w:p>
            <w:pPr>
              <w:spacing w:after="80" w:before="80"/>
            </w:pPr>
            <w:r/>
            <w:r>
              <w:rPr>
                <w:rFonts w:ascii="Aptos" w:hAnsi="Aptos"/>
                <w:b/>
                <w:color w:val="1F4E79"/>
                <w:sz w:val="18"/>
              </w:rPr>
              <w:t>Conséquence</w:t>
            </w:r>
          </w:p>
        </w:tc>
      </w:tr>
      <w:tr>
        <w:trPr>
          <w:cantSplit/>
        </w:trPr>
        <w:tc>
          <w:tcPr>
            <w:tcW w:type="dxa" w:w="2551"/>
            <w:vAlign w:val="center"/>
          </w:tcPr>
          <w:p>
            <w:pPr>
              <w:spacing w:after="80" w:before="80"/>
            </w:pPr>
            <w:r/>
            <w:r>
              <w:rPr>
                <w:rFonts w:ascii="Aptos" w:hAnsi="Aptos"/>
                <w:b w:val="0"/>
                <w:sz w:val="18"/>
              </w:rPr>
              <w:t>Rejet</w:t>
            </w:r>
          </w:p>
        </w:tc>
        <w:tc>
          <w:tcPr>
            <w:tcW w:type="dxa" w:w="6520"/>
            <w:vAlign w:val="center"/>
          </w:tcPr>
          <w:p>
            <w:pPr>
              <w:spacing w:after="80" w:before="80"/>
            </w:pPr>
            <w:r>
              <w:t>Le pourvoi est rejeté : la décision attaquée subsiste. Cela ne signifie pas que tous ses motifs sont approuvés.</w:t>
            </w:r>
          </w:p>
        </w:tc>
      </w:tr>
      <w:tr>
        <w:trPr>
          <w:cantSplit/>
        </w:trPr>
        <w:tc>
          <w:tcPr>
            <w:tcW w:type="dxa" w:w="2551"/>
            <w:vAlign w:val="center"/>
          </w:tcPr>
          <w:p>
            <w:pPr>
              <w:spacing w:after="80" w:before="80"/>
            </w:pPr>
            <w:r/>
            <w:r>
              <w:rPr>
                <w:rFonts w:ascii="Aptos" w:hAnsi="Aptos"/>
                <w:b w:val="0"/>
                <w:sz w:val="18"/>
              </w:rPr>
              <w:t>Cassation avec renvoi</w:t>
            </w:r>
          </w:p>
        </w:tc>
        <w:tc>
          <w:tcPr>
            <w:tcW w:type="dxa" w:w="6520"/>
            <w:vAlign w:val="center"/>
          </w:tcPr>
          <w:p>
            <w:pPr>
              <w:spacing w:after="80" w:before="80"/>
            </w:pPr>
            <w:r/>
            <w:r>
              <w:rPr>
                <w:rFonts w:ascii="Aptos" w:hAnsi="Aptos"/>
                <w:b w:val="0"/>
                <w:sz w:val="18"/>
              </w:rPr>
              <w:t>La décision est annulée et l’affaire est renvoyée devant une juridiction du fond.</w:t>
            </w:r>
          </w:p>
        </w:tc>
      </w:tr>
      <w:tr>
        <w:trPr>
          <w:cantSplit/>
        </w:trPr>
        <w:tc>
          <w:tcPr>
            <w:tcW w:type="dxa" w:w="2551"/>
            <w:vAlign w:val="center"/>
          </w:tcPr>
          <w:p>
            <w:pPr>
              <w:spacing w:after="80" w:before="80"/>
            </w:pPr>
            <w:r/>
            <w:r>
              <w:rPr>
                <w:rFonts w:ascii="Aptos" w:hAnsi="Aptos"/>
                <w:b w:val="0"/>
                <w:sz w:val="18"/>
              </w:rPr>
              <w:t>Cassation sans renvoi</w:t>
            </w:r>
          </w:p>
        </w:tc>
        <w:tc>
          <w:tcPr>
            <w:tcW w:type="dxa" w:w="6520"/>
            <w:vAlign w:val="center"/>
          </w:tcPr>
          <w:p>
            <w:pPr>
              <w:spacing w:after="80" w:before="80"/>
            </w:pPr>
            <w:r>
              <w:t>Pas de renvoi si un nouveau jugement au fond est inutile ; en matière civile, la Cour peut aussi statuer au fond pour une bonne administration de la justice (art. L. 411-3 COJ).</w:t>
            </w:r>
          </w:p>
        </w:tc>
      </w:tr>
    </w:tbl>
    <w:p>
      <w:pPr>
        <w:pStyle w:val="Article"/>
        <w:pageBreakBefore w:val="0"/>
        <w:widowControl/>
        <w:ind w:left="255"/>
      </w:pPr>
      <w:r>
        <w:rPr>
          <w:b/>
        </w:rPr>
        <w:t xml:space="preserve">Repère juridique : </w:t>
      </w:r>
      <w:r>
        <w:t>Article L. 411-3 du Code de l’organisation judiciaire : encadre la cassation sans renvoi et la possibilité, dans certains cas, pour la Cour de statuer au fond.</w:t>
      </w:r>
    </w:p>
    <w:p>
      <w:pPr>
        <w:pageBreakBefore w:val="0"/>
        <w:widowControl/>
      </w:pPr>
      <w:r>
        <w:t>La Cour joue aussi une fonction d’unification de l’interprétation du droit. Les juridictions peuvent, sous conditions, lui demander un avis sur une question de droit nouvelle présentant une difficulté sérieuse et se posant dans de nombreux litiges.</w:t>
      </w:r>
    </w:p>
    <w:p>
      <w:pPr>
        <w:pageBreakBefore w:val="0"/>
      </w:pPr>
      <w:r/>
      <w:r>
        <w:rPr>
          <w:b/>
        </w:rPr>
        <w:t>Demande d’avis.</w:t>
      </w:r>
      <w:r>
        <w:t xml:space="preserve"> Elle suppose une question de droit nouvelle, sérieuse et se posant dans de nombreux litiges. Elle provient d’une juridiction ; l’avis ne lie pas celle qui l’a demandé. Le dispositif existe également en matière pénale dans les conditions prévues par les textes : l’exclusion générale figurant dans le cours est obsolète.</w:t>
      </w:r>
    </w:p>
    <w:p>
      <w:pPr>
        <w:pageBreakBefore w:val="0"/>
      </w:pPr>
      <w:r/>
      <w:r>
        <w:rPr>
          <w:b/>
        </w:rPr>
        <w:t>Révision et réexamen.</w:t>
      </w:r>
      <w:r>
        <w:t xml:space="preserve"> Au pénal, la révision répond notamment à un fait nouveau ou à un élément inconnu pouvant établir l’innocence ou faire naître un doute sur la culpabilité. Le réexamen après un arrêt de la Cour EDH répond à une violation conventionnelle grave dont les conséquences ne sont pas suffisamment réparées par l’indemnisation. En matière civile, ce réexamen est spécialement ouvert en matière d’état des personnes, sous les conditions du COJ ; ce n’est pas un recours général contre toute décision civile.</w:t>
      </w:r>
    </w:p>
    <w:p>
      <w:pPr>
        <w:pageBreakBefore w:val="0"/>
      </w:pPr>
      <w:r/>
      <w:r>
        <w:rPr>
          <w:b/>
        </w:rPr>
        <w:t>Dialogue avec la Cour EDH.</w:t>
      </w:r>
      <w:r>
        <w:t xml:space="preserve"> Le protocole n° 16 permet aux hautes juridictions désignées de demander un avis consultatif non contraignant sur une question de principe liée aux droits de la Convention. À distinguer de la question préjudicielle à la CJUE sur le droit de l’Union. Exemple du cours : affaire Mennesson et filiation.</w:t>
      </w:r>
    </w:p>
    <w:p>
      <w:pPr>
        <w:pStyle w:val="Heading1"/>
        <w:keepNext/>
        <w:keepLines/>
        <w:pageBreakBefore w:val="0"/>
        <w:widowControl/>
      </w:pPr>
      <w:r>
        <w:t>Chapitre 3 - La juridiction constitutionnelle : le Conseil constitutionnel</w:t>
      </w:r>
    </w:p>
    <w:p>
      <w:pPr>
        <w:pageBreakBefore w:val="0"/>
        <w:widowControl/>
      </w:pPr>
      <w:r>
        <w:t>Le Conseil constitutionnel a été institué par la Constitution du 4 octobre 1958. Il n’appartient ni à l’ordre judiciaire ni à l’ordre administratif. Il exerce notamment un contrôle des normes, un contentieux électoral et référendaire ainsi que certaines fonctions consultatives.</w:t>
      </w:r>
    </w:p>
    <w:p>
      <w:pPr>
        <w:pageBreakBefore w:val="0"/>
        <w:widowControl/>
      </w:pPr>
      <w:r>
        <w:t>Composition : neuf membres nommés pour neuf ans, renouvelés par tiers ; trois sont nommés par le Président de la République, trois par le président de l’Assemblée nationale et trois par le président du Sénat. Les anciens Présidents de la République sont membres de droit selon le texte constitutionnel.</w:t>
      </w:r>
    </w:p>
    <w:p>
      <w:pPr>
        <w:pStyle w:val="Heading2"/>
        <w:keepNext/>
        <w:keepLines/>
        <w:pageBreakBefore w:val="0"/>
        <w:widowControl/>
      </w:pPr>
      <w:r>
        <w:t>Section 1 - Compétence juridictionnelle</w:t>
      </w:r>
    </w:p>
    <w:p>
      <w:pPr>
        <w:pageBreakBefore w:val="0"/>
        <w:widowControl/>
      </w:pPr>
      <w:r>
        <w:t>Contrôle a priori : avant promulgation, les lois organiques sont obligatoirement contrôlées ; les lois ordinaires peuvent être déférées dans les conditions de l’article 61. Les règlements des assemblées sont également soumis au Conseil avant leur mise en application.</w:t>
      </w:r>
    </w:p>
    <w:p>
      <w:pPr>
        <w:pageBreakBefore w:val="0"/>
        <w:widowControl/>
      </w:pPr>
      <w:r>
        <w:t>Contrôle a posteriori : la QPC permet, depuis le 1er mars 2010, de contester à l’occasion d’un procès une disposition législative portant atteinte aux droits et libertés que la Constitution garantit.</w:t>
      </w:r>
    </w:p>
    <w:p>
      <w:pPr>
        <w:pStyle w:val="Correction"/>
        <w:keepNext w:val="0"/>
        <w:pageBreakBefore w:val="0"/>
        <w:widowControl/>
        <w:ind w:left="255" w:right="142"/>
      </w:pPr>
      <w:r>
        <w:rPr>
          <w:b/>
          <w:color w:val="C00000"/>
        </w:rPr>
        <w:t xml:space="preserve">CORRECTION / MISE À JOUR VÉRIFIÉE : </w:t>
      </w:r>
      <w:r>
        <w:t>La révision constitutionnelle créant la QPC est la loi constitutionnelle du 23 juillet 2008, et non du 21 juillet 2008. La QPC est entrée en vigueur le 1er mars 2010.</w:t>
      </w:r>
    </w:p>
    <w:p>
      <w:pPr>
        <w:pageBreakBefore w:val="0"/>
        <w:widowControl/>
      </w:pPr>
      <w:r>
        <w:t>Contentieux électoral et référendaire : le Conseil veille notamment à la régularité de l’élection présidentielle, des référendums nationaux et des élections parlementaires dans les conditions prévues par la Constitution.</w:t>
      </w:r>
    </w:p>
    <w:p>
      <w:pPr>
        <w:pStyle w:val="Heading2"/>
        <w:keepNext/>
        <w:keepLines/>
        <w:pageBreakBefore w:val="0"/>
        <w:widowControl/>
      </w:pPr>
      <w:r>
        <w:t>Section 2 - Compétence consultative</w:t>
      </w:r>
    </w:p>
    <w:p>
      <w:pPr>
        <w:pageBreakBefore w:val="0"/>
        <w:widowControl/>
      </w:pPr>
      <w:r>
        <w:t>Le Conseil constitutionnel est notamment consulté dans le cadre de l’article 16 de la Constitution relatif aux pouvoirs exceptionnels du Président de la République.</w:t>
      </w:r>
    </w:p>
    <w:p>
      <w:pPr>
        <w:pStyle w:val="Key"/>
        <w:pageBreakBefore w:val="0"/>
        <w:widowControl/>
        <w:ind w:left="198" w:right="113"/>
      </w:pPr>
      <w:r>
        <w:rPr>
          <w:b/>
        </w:rPr>
        <w:t xml:space="preserve">À RETENIR : </w:t>
      </w:r>
      <w:r>
        <w:t>Les décisions du Conseil constitutionnel s’imposent aux pouvoirs publics et aux autorités administratives et juridictionnelles ; elles ne sont susceptibles d’aucun recours.</w:t>
      </w:r>
    </w:p>
    <w:p>
      <w:pPr>
        <w:pStyle w:val="Heading1"/>
        <w:keepNext/>
        <w:keepLines/>
        <w:pageBreakBefore w:val="0"/>
        <w:widowControl/>
      </w:pPr>
      <w:r>
        <w:t>PARTIE 1 - IDENTIFIER LE DROIT</w:t>
      </w:r>
    </w:p>
    <w:p>
      <w:pPr>
        <w:pStyle w:val="Heading1"/>
        <w:keepNext/>
        <w:keepLines/>
        <w:pageBreakBefore w:val="0"/>
        <w:widowControl/>
      </w:pPr>
      <w:r>
        <w:t>Chapitre 1 - Une règle</w:t>
      </w:r>
    </w:p>
    <w:p>
      <w:pPr>
        <w:pageBreakBefore w:val="0"/>
        <w:widowControl/>
      </w:pPr>
      <w:r>
        <w:t>Le cours distingue la règle de droit de la notion plus large de norme. Une norme constitue un instrument de référence permettant d’évaluer un comportement ; la règle de droit est une forme particulièrement structurée de norme juridique.</w:t>
      </w:r>
    </w:p>
    <w:p>
      <w:pPr>
        <w:pageBreakBefore w:val="0"/>
        <w:widowControl/>
      </w:pPr>
      <w:r>
        <w:t>Dans une conception inspirée de Kelsen, la validité d’une norme dépend de sa conformité aux normes supérieures. Le cours souligne toutefois que la seule conformité formelle ne suffit pas à résoudre toutes les questions de justice ou de protection des droits fondamentaux.</w:t>
      </w:r>
    </w:p>
    <w:p>
      <w:pPr>
        <w:pStyle w:val="Heading2"/>
        <w:keepNext/>
        <w:keepLines/>
        <w:pageBreakBefore w:val="0"/>
        <w:widowControl/>
      </w:pPr>
      <w:r>
        <w:t>I - Les caractères de la règle de droit</w:t>
      </w:r>
    </w:p>
    <w:p>
      <w:pPr>
        <w:pStyle w:val="Heading3"/>
        <w:keepNext/>
        <w:keepLines/>
        <w:pageBreakBefore w:val="0"/>
        <w:widowControl/>
      </w:pPr>
      <w:r>
        <w:t>A - Un énoncé normatif</w:t>
      </w:r>
    </w:p>
    <w:p>
      <w:pPr>
        <w:pageBreakBefore w:val="0"/>
        <w:widowControl/>
      </w:pPr>
      <w:r>
        <w:t>Henri Motulsky permet de présenter la règle autour de deux éléments : la présupposition, c’est-à-dire la situation de fait envisagée, et la prescription, c’est-à-dire la conséquence juridique attachée à cette situation.</w:t>
      </w:r>
    </w:p>
    <w:p>
      <w:pPr>
        <w:pStyle w:val="Example"/>
        <w:pageBreakBefore w:val="0"/>
        <w:widowControl/>
        <w:ind w:left="255"/>
      </w:pPr>
      <w:r>
        <w:rPr>
          <w:b/>
        </w:rPr>
        <w:t xml:space="preserve">Exemple : </w:t>
      </w:r>
      <w:r>
        <w:t>Article 18 du Code civil : la qualité de Français est attachée à la situation de l’enfant dont l’un des parents au moins est français.</w:t>
      </w:r>
    </w:p>
    <w:p>
      <w:pPr>
        <w:pStyle w:val="Heading3"/>
        <w:keepNext/>
        <w:keepLines/>
        <w:pageBreakBefore w:val="0"/>
        <w:widowControl/>
      </w:pPr>
      <w:r>
        <w:t>B - Généralité, impersonnalité et stabilité</w:t>
      </w:r>
    </w:p>
    <w:p>
      <w:pPr>
        <w:pageBreakBefore w:val="0"/>
        <w:widowControl/>
      </w:pPr>
      <w:r>
        <w:t>La règle est impersonnelle : elle ne vise pas une personne nommément désignée mais une catégorie abstraite. Elle est générale en ce qu’elle est appelée à s’appliquer à toutes les personnes entrant dans cette catégorie. Elle présente aussi une vocation à une certaine stabilité, même si elle peut être modifiée ou abrogée.</w:t>
      </w:r>
    </w:p>
    <w:p>
      <w:pPr>
        <w:pageBreakBefore w:val="0"/>
        <w:widowControl/>
      </w:pPr>
      <w:r>
        <w:t>La généralité n’est pas l’universalité : une règle peut ne concerner qu’une catégorie déterminée, par exemple les locataires, les employeurs, les mineurs ou les commerçants.</w:t>
      </w:r>
    </w:p>
    <w:p>
      <w:pPr>
        <w:pStyle w:val="Heading2"/>
        <w:keepNext/>
        <w:keepLines/>
        <w:pageBreakBefore w:val="0"/>
        <w:widowControl/>
      </w:pPr>
      <w:r>
        <w:t>II - Les degrés de généralité : principes et normes individuelles</w:t>
      </w:r>
    </w:p>
    <w:p>
      <w:pPr>
        <w:pStyle w:val="Heading3"/>
        <w:keepNext/>
        <w:keepLines/>
        <w:pageBreakBefore w:val="0"/>
        <w:widowControl/>
      </w:pPr>
      <w:r>
        <w:t>A - Les principes</w:t>
      </w:r>
    </w:p>
    <w:p>
      <w:pPr>
        <w:pageBreakBefore w:val="0"/>
        <w:widowControl/>
      </w:pPr>
      <w:r>
        <w:t>Les principes expriment des exigences générales qui orientent l’interprétation et l’application du droit. Certains ont une valeur constitutionnelle, d’autres législative ou jurisprudentielle. Leur portée dépend de leur source et de leur place dans la hiérarchie des normes.</w:t>
      </w:r>
    </w:p>
    <w:p>
      <w:pPr>
        <w:pStyle w:val="Heading3"/>
        <w:keepNext/>
        <w:keepLines/>
        <w:pageBreakBefore w:val="0"/>
        <w:widowControl/>
      </w:pPr>
      <w:r>
        <w:t>B - Les normes individuelles</w:t>
      </w:r>
    </w:p>
    <w:p>
      <w:pPr>
        <w:pageBreakBefore w:val="0"/>
        <w:widowControl/>
      </w:pPr>
      <w:r>
        <w:t>Une décision administrative individuelle, un contrat ou une décision de justice peut produire des effets juridiques à l’égard de personnes déterminées. Il s’agit de normes individuelles, distinctes des règles générales et impersonnelles.</w:t>
      </w:r>
    </w:p>
    <w:p>
      <w:pPr>
        <w:pStyle w:val="Heading1"/>
        <w:keepNext/>
        <w:keepLines/>
        <w:pageBreakBefore w:val="0"/>
        <w:widowControl/>
      </w:pPr>
      <w:r>
        <w:t>Chapitre 2 - Une règle obligatoire et sanctionnée</w:t>
      </w:r>
    </w:p>
    <w:p>
      <w:pPr>
        <w:pStyle w:val="Heading2"/>
        <w:keepNext/>
        <w:keepLines/>
        <w:pageBreakBefore w:val="0"/>
        <w:widowControl/>
      </w:pPr>
      <w:r>
        <w:t>Section 1 - Le principe : impérativité et sanction</w:t>
      </w:r>
    </w:p>
    <w:p>
      <w:pPr>
        <w:pStyle w:val="Heading3"/>
        <w:keepNext/>
        <w:keepLines/>
        <w:pageBreakBefore w:val="0"/>
        <w:widowControl/>
      </w:pPr>
      <w:r>
        <w:t>I - Le caractère obligatoire</w:t>
      </w:r>
    </w:p>
    <w:p>
      <w:pPr>
        <w:pageBreakBefore w:val="0"/>
        <w:widowControl/>
      </w:pPr>
      <w:r>
        <w:t>La règle de droit impose un comportement ou fixe un cadre obligatoire. Il faut distinguer les règles impératives, auxquelles les personnes ne peuvent déroger, et les règles supplétives, qui ne s’appliquent qu’à défaut de volonté contraire des intéressés.</w:t>
      </w:r>
    </w:p>
    <w:p>
      <w:pPr>
        <w:pStyle w:val="Heading3"/>
        <w:keepNext/>
        <w:keepLines/>
        <w:pageBreakBefore w:val="0"/>
        <w:widowControl/>
      </w:pPr>
      <w:r>
        <w:t>II - La sanction juridique</w:t>
      </w:r>
    </w:p>
    <w:p>
      <w:pPr>
        <w:pageBreakBefore w:val="0"/>
        <w:widowControl/>
      </w:pPr>
      <w:r>
        <w:t>La sanction peut prendre des formes différentes : exécution forcée, nullité d’un acte, dommages-intérêts, peine pénale, sanction administrative, inopposabilité, déchéance, etc. La sanction dépend de la branche du droit et de la finalité de la règle violée.</w:t>
      </w:r>
    </w:p>
    <w:p>
      <w:pPr>
        <w:pStyle w:val="Key"/>
        <w:pageBreakBefore w:val="0"/>
        <w:widowControl/>
        <w:ind w:left="198" w:right="113"/>
      </w:pPr>
      <w:r>
        <w:rPr>
          <w:b/>
        </w:rPr>
        <w:t xml:space="preserve">À RETENIR : </w:t>
      </w:r>
      <w:r>
        <w:t>Une sanction civile n’est pas une peine : en droit privé, la nullité ou la réparation d’un dommage sont des sanctions juridiques mais ne relèvent pas nécessairement du droit pénal.</w:t>
      </w:r>
    </w:p>
    <w:p>
      <w:pPr>
        <w:pStyle w:val="Heading2"/>
        <w:keepNext/>
        <w:keepLines/>
        <w:pageBreakBefore w:val="0"/>
        <w:widowControl/>
      </w:pPr>
      <w:r>
        <w:t>Section 2 - Atténuations : règles non impératives et droit souple</w:t>
      </w:r>
    </w:p>
    <w:p>
      <w:pPr>
        <w:pStyle w:val="Heading3"/>
        <w:keepNext/>
        <w:keepLines/>
        <w:pageBreakBefore w:val="0"/>
        <w:widowControl/>
      </w:pPr>
      <w:r>
        <w:t>I - Les règles supplétives</w:t>
      </w:r>
    </w:p>
    <w:p>
      <w:pPr>
        <w:pageBreakBefore w:val="0"/>
        <w:widowControl/>
      </w:pPr>
      <w:r>
        <w:t>Elles laissent aux personnes la possibilité d’organiser différemment leur situation. La règle supplétive intervient seulement lorsque les parties n’ont rien prévu.</w:t>
      </w:r>
    </w:p>
    <w:p>
      <w:pPr>
        <w:pStyle w:val="Heading3"/>
        <w:keepNext/>
        <w:keepLines/>
        <w:pageBreakBefore w:val="0"/>
        <w:widowControl/>
      </w:pPr>
      <w:r>
        <w:t>II - Les dispositions non normatives et le droit souple</w:t>
      </w:r>
    </w:p>
    <w:p>
      <w:pPr>
        <w:pageBreakBefore w:val="0"/>
        <w:widowControl/>
      </w:pPr>
      <w:r>
        <w:t>Certaines dispositions législatives peuvent avoir une portée déclaratoire ou programmatique insuffisamment normative. Le Conseil constitutionnel peut contrôler l’exigence de normativité de la loi.</w:t>
      </w:r>
    </w:p>
    <w:p>
      <w:pPr>
        <w:pageBreakBefore w:val="0"/>
        <w:widowControl/>
      </w:pPr>
      <w:r>
        <w:t>Le droit souple regroupe des instruments qui n’imposent pas toujours une obligation juridiquement sanctionnée mais orientent fortement les comportements : recommandations, lignes directrices, avis, chartes ou codes de conduite selon leur contexte.</w:t>
      </w:r>
    </w:p>
    <w:p>
      <w:pPr>
        <w:pageBreakBefore w:val="0"/>
      </w:pPr>
      <w:r/>
      <w:r>
        <w:rPr>
          <w:b/>
        </w:rPr>
        <w:t>Repère doctrinal du cours.</w:t>
      </w:r>
      <w:r>
        <w:t xml:space="preserve"> Catherine Thibierge distingue notamment le droit « flou » (contenu peu précis), « doux » (faible contrainte obligatoire) et « mou » (faible sanction). Ces dimensions peuvent se combiner. Le droit souple influence les comportements sans fonctionner toujours comme une règle impérative sanctionnée ; il ne faut pas assimiler tout document non contraignant à un document sans effets.</w:t>
      </w:r>
    </w:p>
    <w:p>
      <w:pPr>
        <w:pStyle w:val="Heading1"/>
        <w:keepNext/>
        <w:keepLines/>
        <w:pageBreakBefore w:val="0"/>
        <w:widowControl/>
      </w:pPr>
      <w:r>
        <w:t>Chapitre 3 - La loi dans le temps</w:t>
      </w:r>
    </w:p>
    <w:p>
      <w:pPr>
        <w:pStyle w:val="Heading2"/>
        <w:keepNext/>
        <w:keepLines/>
        <w:pageBreakBefore w:val="0"/>
        <w:widowControl/>
      </w:pPr>
      <w:r>
        <w:t>Section 1 - Entrée en vigueur et disparition de la loi</w:t>
      </w:r>
    </w:p>
    <w:p>
      <w:pPr>
        <w:pStyle w:val="Heading3"/>
        <w:keepNext/>
        <w:keepLines/>
        <w:pageBreakBefore w:val="0"/>
        <w:widowControl/>
      </w:pPr>
      <w:r>
        <w:t>I - Entrée en vigueur</w:t>
      </w:r>
    </w:p>
    <w:p>
      <w:pPr>
        <w:pageBreakBefore w:val="0"/>
        <w:widowControl/>
      </w:pPr>
      <w:r>
        <w:t>Une loi entre en vigueur à la date qu’elle fixe ou, à défaut, selon les règles prévues par l’article 1er du Code civil. La publication est indispensable à son opposabilité. Certaines dispositions nécessitant des mesures d’application ne peuvent produire tous leurs effets avant l’adoption de ces mesures.</w:t>
      </w:r>
    </w:p>
    <w:p>
      <w:pPr>
        <w:pStyle w:val="Article"/>
        <w:pageBreakBefore w:val="0"/>
        <w:widowControl/>
        <w:ind w:left="255"/>
      </w:pPr>
      <w:r>
        <w:rPr>
          <w:b/>
        </w:rPr>
        <w:t xml:space="preserve">Repère juridique : </w:t>
      </w:r>
      <w:r>
        <w:t>Article 1er du Code civil : les lois et actes administratifs publiés au Journal officiel entrent en vigueur à la date qu’ils fixent ou, à défaut, le lendemain de leur publication ; l’entrée en vigueur des dispositions nécessitant des mesures d’application est reportée à la date de ces mesures.</w:t>
      </w:r>
    </w:p>
    <w:p>
      <w:pPr>
        <w:pageBreakBefore w:val="0"/>
      </w:pPr>
      <w:r/>
      <w:r>
        <w:rPr>
          <w:b/>
        </w:rPr>
        <w:t>Urgence et promulgation.</w:t>
      </w:r>
      <w:r>
        <w:t xml:space="preserve"> L’article 1er du Code civil permet, dans les conditions qu’il fixe, une entrée en vigueur dès la publication en cas d’urgence. La promulgation atteste l’existence de la loi et en ordonne l’exécution ; la publication assure sa connaissance officielle ; l’entrée en vigueur détermine le début de son applicabilité.</w:t>
      </w:r>
    </w:p>
    <w:p>
      <w:pPr>
        <w:pStyle w:val="Heading3"/>
        <w:keepNext/>
        <w:keepLines/>
        <w:pageBreakBefore w:val="0"/>
        <w:widowControl/>
      </w:pPr>
      <w:r>
        <w:t>II - Disparition de la loi</w:t>
      </w:r>
    </w:p>
    <w:p>
      <w:pPr>
        <w:pageBreakBefore w:val="0"/>
        <w:widowControl/>
      </w:pPr>
      <w:r>
        <w:t>Abrogation expresse : un nouveau texte supprime explicitement l’ancien. Abrogation tacite : incompatibilité entre la règle nouvelle et l’ancienne. L’abrogation produit en principe ses effets pour l’avenir.</w:t>
      </w:r>
    </w:p>
    <w:p>
      <w:pPr>
        <w:pStyle w:val="Correction"/>
        <w:keepNext w:val="0"/>
        <w:pageBreakBefore w:val="0"/>
        <w:widowControl/>
        <w:ind w:left="255" w:right="142"/>
      </w:pPr>
      <w:r>
        <w:rPr>
          <w:b/>
          <w:color w:val="C00000"/>
        </w:rPr>
        <w:t xml:space="preserve">CORRECTION / MISE À JOUR VÉRIFIÉE : </w:t>
      </w:r>
      <w:r>
        <w:t>Dans une QPC, ce n’est pas « le juge ordinaire » qui abroge la loi : le Conseil constitutionnel peut abroger une disposition législative déclarée contraire aux droits et libertés garantis par la Constitution.</w:t>
      </w:r>
    </w:p>
    <w:p>
      <w:pPr>
        <w:pageBreakBefore w:val="0"/>
      </w:pPr>
      <w:r/>
      <w:r>
        <w:rPr>
          <w:b/>
        </w:rPr>
        <w:t>Désuétude.</w:t>
      </w:r>
      <w:r>
        <w:t xml:space="preserve"> Une loi rarement ou jamais appliquée n’est pas, pour ce seul motif, abrogée. Il faut distinguer disparition de la norme, inapplication pratique et mise à l’écart dans un litige pour contrariété à une norme supérieure.</w:t>
      </w:r>
    </w:p>
    <w:p>
      <w:pPr>
        <w:pStyle w:val="Heading2"/>
        <w:keepNext/>
        <w:keepLines/>
        <w:pageBreakBefore w:val="0"/>
        <w:widowControl/>
      </w:pPr>
      <w:r>
        <w:t>Section 2 - Les conflits de lois dans le temps</w:t>
      </w:r>
    </w:p>
    <w:p>
      <w:pPr>
        <w:pStyle w:val="Article"/>
        <w:pageBreakBefore w:val="0"/>
        <w:widowControl/>
        <w:ind w:left="255"/>
      </w:pPr>
      <w:r>
        <w:rPr>
          <w:b/>
        </w:rPr>
        <w:t xml:space="preserve">Repère juridique : </w:t>
      </w:r>
      <w:r>
        <w:t>Article 2 du Code civil : « La loi ne dispose que pour l’avenir ; elle n’a point d’effet rétroactif. »</w:t>
      </w:r>
    </w:p>
    <w:p>
      <w:pPr>
        <w:pageBreakBefore w:val="0"/>
        <w:widowControl/>
      </w:pPr>
      <w:r>
        <w:t>Méthode de Paul Roubier : distinguer les situations passées, les situations en cours et les effets futurs. Le principe est la non-rétroactivité pour les situations définitivement constituées ; la loi nouvelle s’applique immédiatement aux effets futurs des situations légales en cours, sous réserve notamment du régime particulier des contrats.</w:t>
      </w:r>
    </w:p>
    <w:p>
      <w:pPr>
        <w:pStyle w:val="Heading3"/>
        <w:keepNext/>
        <w:keepLines/>
        <w:pageBreakBefore w:val="0"/>
        <w:widowControl/>
      </w:pPr>
      <w:r>
        <w:t>A - Situations passées : non-rétroactivité</w:t>
      </w:r>
    </w:p>
    <w:p>
      <w:pPr>
        <w:pageBreakBefore w:val="0"/>
        <w:widowControl/>
      </w:pPr>
      <w:r>
        <w:t>En matière pénale, la non-rétroactivité des lois pénales plus sévères a valeur constitutionnelle. À l’inverse, la loi pénale plus douce s’applique aux infractions antérieures qui n’ont pas donné lieu à une condamnation passée en force de chose jugée : c’est la rétroactivité in mitius.</w:t>
      </w:r>
    </w:p>
    <w:p>
      <w:pPr>
        <w:pStyle w:val="Article"/>
        <w:pageBreakBefore w:val="0"/>
        <w:widowControl/>
        <w:ind w:left="255"/>
      </w:pPr>
      <w:r>
        <w:rPr>
          <w:b/>
        </w:rPr>
        <w:t xml:space="preserve">Repère juridique : </w:t>
      </w:r>
      <w:r>
        <w:t>Article 112-1 du Code pénal : les dispositions nouvelles moins sévères s’appliquent aux infractions antérieures non définitivement jugées.</w:t>
      </w:r>
    </w:p>
    <w:p>
      <w:pPr>
        <w:pageBreakBefore w:val="0"/>
      </w:pPr>
      <w:r/>
      <w:r>
        <w:rPr>
          <w:b/>
        </w:rPr>
        <w:t>Exception après condamnation définitive.</w:t>
      </w:r>
      <w:r>
        <w:t xml:space="preserve"> Si une loi postérieure retire aux faits leur caractère d’infraction, la peine cesse d’être exécutée, même si la condamnation est définitive (art. 112-4 CP). Une simple diminution de la peine encourue ne produit pas automatiquement ce même effet.</w:t>
      </w:r>
    </w:p>
    <w:p>
      <w:pPr>
        <w:pageBreakBefore w:val="0"/>
      </w:pPr>
      <w:r/>
      <w:r>
        <w:rPr>
          <w:b/>
        </w:rPr>
        <w:t>Exemple pédagogique.</w:t>
      </w:r>
      <w:r>
        <w:t xml:space="preserve"> Faits commis en janvier, loi adoucissant la peine en juin, procès en septembre : la loi nouvelle plus douce s’applique si la condamnation n’était pas définitive. Si la condamnation était définitive, distinguer simple adoucissement et véritable dépénalisation.</w:t>
      </w:r>
    </w:p>
    <w:p>
      <w:pPr>
        <w:pageBreakBefore w:val="0"/>
        <w:widowControl/>
      </w:pPr>
      <w:r>
        <w:t>En matière civile, l’article 2 du Code civil a valeur législative : le législateur peut prévoir une rétroactivité, mais cette rétroactivité est encadrée par des exigences constitutionnelles et conventionnelles, spécialement lorsqu’elle affecte des instances en cours.</w:t>
      </w:r>
    </w:p>
    <w:p>
      <w:pPr>
        <w:pageBreakBefore w:val="0"/>
      </w:pPr>
      <w:r/>
      <w:r>
        <w:rPr>
          <w:b/>
        </w:rPr>
        <w:t>Trois catégories civiles à connaître.</w:t>
      </w:r>
      <w:r>
        <w:t xml:space="preserve"> Une loi interprétative précise le sens d’un texte antérieur sans créer une règle nouvelle et peut s’intégrer à celui-ci. Une loi expressément rétroactive prévoit elle-même son application au passé. Une loi de validation régularise rétroactivement certains actes affectés d’une irrégularité. L’étiquette choisie par le législateur ne suffit pas à soustraire la loi au contrôle du juge.</w:t>
      </w:r>
    </w:p>
    <w:p>
      <w:pPr>
        <w:pageBreakBefore w:val="0"/>
      </w:pPr>
      <w:r/>
      <w:r>
        <w:rPr>
          <w:b/>
        </w:rPr>
        <w:t>Encadrement.</w:t>
      </w:r>
      <w:r>
        <w:t xml:space="preserve"> La rétroactivité et les validations doivent notamment respecter les décisions de justice ayant force de chose jugée et la non-rétroactivité des peines et sanctions. L’atteinte aux droits doit être justifiée par un motif impérieux d’intérêt général et la portée de la modification strictement définie. La CEDH protège aussi l’équité du procès contre les interventions législatives influençant des litiges en cours : arrêt Zielinski et Pradal et Gonzalez et autres c. France, 28 octobre 1999.</w:t>
      </w:r>
    </w:p>
    <w:p>
      <w:pPr>
        <w:pageBreakBefore w:val="0"/>
      </w:pPr>
      <w:r/>
      <w:r>
        <w:rPr>
          <w:b/>
        </w:rPr>
        <w:t>Règlements administratifs.</w:t>
      </w:r>
      <w:r>
        <w:t xml:space="preserve"> Le principe de non-rétroactivité s’impose également aux règlements : CE, 25 juin 1948, Société du journal L’Aurore. Un règlement ne dispose pas de la liberté du législateur pour décider d’une rétroactivité.</w:t>
      </w:r>
    </w:p>
    <w:p>
      <w:pPr>
        <w:pStyle w:val="Heading3"/>
        <w:keepNext/>
        <w:keepLines/>
        <w:pageBreakBefore w:val="0"/>
        <w:widowControl/>
      </w:pPr>
      <w:r>
        <w:t>B - Situations en cours : effet immédiat</w:t>
      </w:r>
    </w:p>
    <w:p>
      <w:pPr>
        <w:pageBreakBefore w:val="0"/>
        <w:widowControl/>
      </w:pPr>
      <w:r>
        <w:t>Pour les situations légales non contractuelles, la loi nouvelle s’applique en principe immédiatement aux effets futurs. Pour les contrats en cours, le principe est plutôt la survie de la loi ancienne afin de préserver la sécurité juridique et les prévisions des parties, sauf exceptions prévues par la loi ou justifiées par des motifs suffisamment forts.</w:t>
      </w:r>
    </w:p>
    <w:p>
      <w:pPr>
        <w:pageBreakBefore w:val="0"/>
      </w:pPr>
      <w:r/>
      <w:r>
        <w:rPr>
          <w:b/>
        </w:rPr>
        <w:t>La distinction décisive.</w:t>
      </w:r>
      <w:r>
        <w:t xml:space="preserve"> Appliquer la loi nouvelle à des effets futurs n’est pas nécessairement rétroagir. La rétroactivité consiste à revenir sur la constitution ou les effets déjà réalisés d’une situation. Pour un contrat antérieur, la loi ancienne régit en principe ses effets futurs ; des dispositions transitoires peuvent déroger à cette survie.</w:t>
      </w:r>
    </w:p>
    <w:p>
      <w:pPr>
        <w:pageBreakBefore w:val="0"/>
      </w:pPr>
      <w:r/>
      <w:r>
        <w:rPr>
          <w:b/>
        </w:rPr>
        <w:t>Approfondissement utile.</w:t>
      </w:r>
      <w:r>
        <w:t xml:space="preserve"> Certains effets légaux du contrat peuvent relever immédiatement de la loi nouvelle. La qualification de loi « d’ordre public » ne suffit pas, à elle seule, à rendre automatiquement la loi nouvelle applicable à tous les contrats antérieurs : lire les dispositions transitoires et rechercher la solution jurisprudentielle pertinente.</w:t>
      </w:r>
    </w:p>
    <w:p>
      <w:pPr>
        <w:pStyle w:val="Key"/>
        <w:pageBreakBefore w:val="0"/>
        <w:widowControl/>
        <w:ind w:left="198" w:right="113"/>
      </w:pPr>
      <w:r>
        <w:rPr>
          <w:b/>
        </w:rPr>
        <w:t xml:space="preserve">À RETENIR : </w:t>
      </w:r>
      <w:r>
        <w:t>Toujours raisonner en trois temps : 1) date d’entrée en vigueur ; 2) qualification temporelle de la situation ; 3) règle de conflit applicable.</w:t>
      </w:r>
    </w:p>
    <w:p>
      <w:pPr>
        <w:pStyle w:val="Heading1"/>
        <w:keepNext/>
        <w:keepLines/>
        <w:pageBreakBefore w:val="0"/>
        <w:widowControl/>
      </w:pPr>
      <w:r>
        <w:t>PARTIE 2 - CRÉER LE DROIT</w:t>
      </w:r>
    </w:p>
    <w:p>
      <w:pPr>
        <w:pageBreakBefore w:val="0"/>
      </w:pPr>
      <w:r/>
      <w:r>
        <w:rPr>
          <w:b/>
        </w:rPr>
        <w:t>Repère doctrinal.</w:t>
      </w:r>
      <w:r>
        <w:t xml:space="preserve"> François Gény rattache les sources formelles à des autorités et à des formes qui rendent la règle reconnaissable pour l’interprète. Distinguer l’autorité qui produit la norme, sa procédure d’adoption et la norme produite. Une opinion doctrinale influence le droit sans avoir la même force obligatoire qu’une loi.</w:t>
      </w:r>
    </w:p>
    <w:p>
      <w:pPr>
        <w:pStyle w:val="Heading1"/>
        <w:keepNext/>
        <w:keepLines/>
        <w:pageBreakBefore w:val="0"/>
        <w:widowControl/>
      </w:pPr>
      <w:r>
        <w:t>Chapitre 1 - Les sources écrites de droit interne</w:t>
      </w:r>
    </w:p>
    <w:p>
      <w:pPr>
        <w:pStyle w:val="Heading2"/>
        <w:keepNext/>
        <w:keepLines/>
        <w:pageBreakBefore w:val="0"/>
        <w:widowControl/>
      </w:pPr>
      <w:r>
        <w:t>Section 1 - La Constitution et le bloc de constitutionnalité</w:t>
      </w:r>
    </w:p>
    <w:p>
      <w:pPr>
        <w:pageBreakBefore w:val="0"/>
        <w:widowControl/>
      </w:pPr>
      <w:r>
        <w:t>La Constitution du 4 octobre 1958 est la norme suprême de l’ordre juridique interne. Elle organise les pouvoirs publics et renvoie à un ensemble de normes de valeur constitutionnelle souvent désigné comme le bloc de constitutionnalité.</w:t>
      </w:r>
    </w:p>
    <w:p>
      <w:pPr>
        <w:pageBreakBefore w:val="0"/>
        <w:widowControl/>
      </w:pPr>
      <w:r>
        <w:t>À connaître : Constitution de 1958 ; Déclaration de 1789 ; Préambule de 1946 ; Charte de l’environnement de 2004 ; principes fondamentaux reconnus par les lois de la République et autres principes ou objectifs de valeur constitutionnelle dégagés par le Conseil constitutionnel.</w:t>
      </w:r>
    </w:p>
    <w:p>
      <w:pPr>
        <w:pStyle w:val="Correction"/>
        <w:keepNext w:val="0"/>
        <w:pageBreakBefore w:val="0"/>
        <w:widowControl/>
        <w:ind w:left="255" w:right="142"/>
      </w:pPr>
      <w:r>
        <w:rPr>
          <w:b/>
          <w:color w:val="C00000"/>
        </w:rPr>
        <w:t xml:space="preserve">CORRECTION / MISE À JOUR VÉRIFIÉE : </w:t>
      </w:r>
      <w:r>
        <w:t>La jurisprudence du Conseil constitutionnel n’est pas, en elle-même, un « texte » du bloc de constitutionnalité ; elle identifie et interprète les normes constitutionnelles qui servent de référence au contrôle.</w:t>
      </w:r>
    </w:p>
    <w:p>
      <w:pPr>
        <w:pStyle w:val="Heading2"/>
        <w:keepNext/>
        <w:keepLines/>
        <w:pageBreakBefore w:val="0"/>
        <w:widowControl/>
      </w:pPr>
      <w:r>
        <w:t>Section 2 - La loi</w:t>
      </w:r>
    </w:p>
    <w:p>
      <w:pPr>
        <w:pStyle w:val="Heading3"/>
        <w:keepNext/>
        <w:keepLines/>
        <w:pageBreakBefore w:val="0"/>
        <w:widowControl/>
      </w:pPr>
      <w:r>
        <w:t>I - Domaine de la loi</w:t>
      </w:r>
    </w:p>
    <w:p>
      <w:pPr>
        <w:pStyle w:val="Article"/>
        <w:pageBreakBefore w:val="0"/>
        <w:widowControl/>
        <w:ind w:left="255"/>
      </w:pPr>
      <w:r>
        <w:rPr>
          <w:b/>
        </w:rPr>
        <w:t xml:space="preserve">Repère juridique : </w:t>
      </w:r>
      <w:r>
        <w:t>Article 34 de la Constitution : énumère les matières dans lesquelles la loi fixe les règles ou détermine les principes fondamentaux. Article 37 : les matières autres que celles du domaine de la loi ont un caractère réglementaire.</w:t>
      </w:r>
    </w:p>
    <w:p>
      <w:pPr>
        <w:pageBreakBefore w:val="0"/>
        <w:widowControl/>
      </w:pPr>
      <w:r>
        <w:t>La loi organique précise certaines dispositions de la Constitution et suit une procédure spécifique. La loi ordinaire est adoptée par le Parlement dans les matières relevant de l’article 34. Certaines lois peuvent être adoptées par référendum dans les conditions constitutionnelles.</w:t>
      </w:r>
    </w:p>
    <w:p>
      <w:pPr>
        <w:pageBreakBefore w:val="0"/>
      </w:pPr>
      <w:r/>
      <w:r>
        <w:rPr>
          <w:b/>
        </w:rPr>
        <w:t>Lois organiques.</w:t>
      </w:r>
      <w:r>
        <w:t xml:space="preserve"> Elles interviennent dans les matières pour lesquelles la Constitution les prévoit. Elles suivent l’article 46, avec contrôle obligatoire avant promulgation. En cas de désaccord, le dernier mot de l’Assemblée nationale exige la majorité absolue de ses membres ; les lois organiques relatives au Sénat nécessitent l’accord des deux chambres.</w:t>
      </w:r>
    </w:p>
    <w:p>
      <w:pPr>
        <w:pageBreakBefore w:val="0"/>
      </w:pPr>
      <w:r/>
      <w:r>
        <w:rPr>
          <w:b/>
        </w:rPr>
        <w:t>Protection du domaine réglementaire.</w:t>
      </w:r>
      <w:r>
        <w:t xml:space="preserve"> L’article 41 permet d’opposer l’irrecevabilité à une proposition ou un amendement empiétant sur le domaine réglementaire ou sur une habilitation. L’article 37, alinéa 2, permet la délégalisation de dispositions de forme législative. Une disposition législative intervenant dans le domaine réglementaire n’est pas, pour ce seul motif, automatiquement inconstitutionnelle.</w:t>
      </w:r>
    </w:p>
    <w:p>
      <w:pPr>
        <w:pStyle w:val="Heading3"/>
        <w:keepNext/>
        <w:keepLines/>
        <w:pageBreakBefore w:val="0"/>
        <w:widowControl/>
      </w:pPr>
      <w:r>
        <w:t>II - Procédure d’adoption</w:t>
      </w:r>
    </w:p>
    <w:p>
      <w:pPr>
        <w:pageBreakBefore w:val="0"/>
        <w:widowControl/>
      </w:pPr>
      <w:r>
        <w:t>La procédure législative ordinaire doit être comprise comme un enchaînement : initiative → examen en commission → discussion et vote en séance → navette entre les chambres → adoption d’un texte identique, éventuellement après conciliation → promulgation → publication.</w:t>
      </w:r>
    </w:p>
    <w:p>
      <w:pPr>
        <w:pStyle w:val="Key"/>
        <w:pageBreakBefore w:val="0"/>
        <w:widowControl/>
        <w:ind w:left="198" w:right="113"/>
      </w:pPr>
      <w:r>
        <w:rPr>
          <w:b/>
        </w:rPr>
        <w:t xml:space="preserve">À RETENIR : </w:t>
      </w:r>
      <w:r>
        <w:t>Projet de loi = initiative gouvernementale. Proposition de loi = initiative parlementaire.</w:t>
      </w:r>
    </w:p>
    <w:p>
      <w:pPr>
        <w:pageBreakBefore w:val="0"/>
      </w:pPr>
      <w:r/>
      <w:r>
        <w:rPr>
          <w:b/>
        </w:rPr>
        <w:t>Navette et conciliation.</w:t>
      </w:r>
      <w:r>
        <w:t xml:space="preserve"> Chaque chambre examine le texte. Après deux lectures dans chacune, ou une seule en procédure accélérée, une commission mixte paritaire de sept députés et sept sénateurs peut rechercher un accord, dans les conditions de l’article 45. En cas d’échec persistant, le Gouvernement peut, après une nouvelle lecture dans chaque chambre, demander à l’Assemblée nationale de statuer définitivement. Le Sénat ne dispose donc pas d’un veto général pour la loi ordinaire.</w:t>
      </w:r>
    </w:p>
    <w:p>
      <w:pPr>
        <w:pageBreakBefore w:val="0"/>
      </w:pPr>
      <w:r/>
      <w:r>
        <w:rPr>
          <w:b/>
        </w:rPr>
        <w:t>Fin de procédure.</w:t>
      </w:r>
      <w:r>
        <w:t xml:space="preserve"> Le contrôle a priori éventuel précède la promulgation. Le Président promulgue en principe dans les quinze jours suivant la transmission de la loi définitivement adoptée ; il peut demander une nouvelle délibération. Ne pas confondre vote, promulgation, publication et entrée en vigueur.</w:t>
      </w:r>
    </w:p>
    <w:p>
      <w:pPr>
        <w:pStyle w:val="Heading2"/>
        <w:keepNext/>
        <w:keepLines/>
        <w:pageBreakBefore w:val="0"/>
        <w:widowControl/>
      </w:pPr>
      <w:r>
        <w:t>Section 3 - Les règlements</w:t>
      </w:r>
    </w:p>
    <w:p>
      <w:pPr>
        <w:pStyle w:val="Heading3"/>
        <w:keepNext/>
        <w:keepLines/>
        <w:pageBreakBefore w:val="0"/>
        <w:widowControl/>
      </w:pPr>
      <w:r>
        <w:t>I - Classification selon l’auteur</w:t>
      </w:r>
    </w:p>
    <w:p>
      <w:pPr>
        <w:pageBreakBefore w:val="0"/>
        <w:widowControl/>
      </w:pPr>
      <w:r>
        <w:t>Les règlements sont des actes administratifs à portée générale et impersonnelle. Ils peuvent prendre la forme de décrets ou d’arrêtés selon l’autorité compétente.</w:t>
      </w:r>
    </w:p>
    <w:p>
      <w:pPr>
        <w:pageBreakBefore w:val="0"/>
      </w:pPr>
      <w:r/>
      <w:r>
        <w:rPr>
          <w:b/>
        </w:rPr>
        <w:t>Décrets et arrêtés.</w:t>
      </w:r>
      <w:r>
        <w:t xml:space="preserve"> Les décrets sont pris par le Président de la République ou le Premier ministre selon leurs compétences. Les décrets en Conseil des ministres sont signés par le Président ; le Premier ministre exerce le pouvoir réglementaire sous réserve de l’article 13. Un décret en Conseil d’État suppose l’avis de celui-ci : le Conseil d’État n’en est pas l’auteur. Les arrêtés peuvent être ministériels, préfectoraux ou municipaux ; les ministres ne disposent pas d’un pouvoir réglementaire général équivalent à celui du Premier ministre.</w:t>
      </w:r>
    </w:p>
    <w:p>
      <w:pPr>
        <w:pStyle w:val="Heading3"/>
        <w:keepNext/>
        <w:keepLines/>
        <w:pageBreakBefore w:val="0"/>
        <w:widowControl/>
      </w:pPr>
      <w:r>
        <w:t>II - Classification selon le domaine</w:t>
      </w:r>
    </w:p>
    <w:p>
      <w:pPr>
        <w:pageBreakBefore w:val="0"/>
        <w:widowControl/>
      </w:pPr>
      <w:r>
        <w:t>Règlement autonome : pris dans le domaine réglementaire de l’article 37. Règlement d’application : précise les modalités nécessaires à l’exécution d’une loi lorsque celle-ci le nécessite.</w:t>
      </w:r>
    </w:p>
    <w:p>
      <w:pPr>
        <w:pStyle w:val="Heading3"/>
        <w:keepNext/>
        <w:keepLines/>
        <w:pageBreakBefore w:val="0"/>
        <w:widowControl/>
      </w:pPr>
      <w:r>
        <w:t>III - Les ordonnances de l’article 38</w:t>
      </w:r>
    </w:p>
    <w:p>
      <w:pPr>
        <w:pageBreakBefore w:val="0"/>
        <w:widowControl/>
      </w:pPr>
      <w:r>
        <w:t>Le Gouvernement peut demander au Parlement l’autorisation de prendre, pendant un délai limité, des mesures qui relèvent normalement du domaine de la loi. L’habilitation délimite le domaine et la durée. Les ordonnances sont prises en Conseil des ministres après avis du Conseil d’État et entrent en vigueur dès leur publication.</w:t>
      </w:r>
    </w:p>
    <w:p>
      <w:pPr>
        <w:pStyle w:val="Article"/>
        <w:pageBreakBefore w:val="0"/>
        <w:widowControl/>
        <w:ind w:left="255"/>
      </w:pPr>
      <w:r>
        <w:rPr>
          <w:b/>
        </w:rPr>
        <w:t xml:space="preserve">Repère juridique : </w:t>
      </w:r>
      <w:r>
        <w:t>Article 38 : les ordonnances deviennent caduques si le projet de loi de ratification n’est pas déposé dans le délai prévu ; depuis 2008, elles ne peuvent être ratifiées que de manière expresse.</w:t>
      </w:r>
    </w:p>
    <w:p>
      <w:pPr>
        <w:pStyle w:val="Correction"/>
        <w:keepNext w:val="0"/>
        <w:pageBreakBefore w:val="0"/>
        <w:widowControl/>
        <w:ind w:left="255" w:right="142"/>
      </w:pPr>
      <w:r>
        <w:rPr>
          <w:b/>
          <w:color w:val="C00000"/>
        </w:rPr>
        <w:t xml:space="preserve">CORRECTION / MISE À JOUR VÉRIFIÉE : </w:t>
      </w:r>
      <w:r>
        <w:t>La phrase du cours selon laquelle l’ordonnance « ne produit plus d’effet » si elle n’est pas ratifiée est trop large. L’absence de dépôt du projet de loi de ratification dans le délai entraîne la caducité ; en revanche, une ordonnance dont le projet de ratification a été déposé à temps peut continuer à produire des effets sans ratification, avec un régime juridique particulier.</w:t>
      </w:r>
    </w:p>
    <w:p>
      <w:pPr>
        <w:pageBreakBefore w:val="0"/>
      </w:pPr>
      <w:r/>
      <w:r>
        <w:rPr>
          <w:b/>
        </w:rPr>
        <w:t>Approfondissement utile.</w:t>
      </w:r>
      <w:r>
        <w:t xml:space="preserve"> La ratification expresse confère valeur législative à l’ordonnance. Sans ratification, celle-ci reste un acte administratif susceptible de recours ; toutefois, après l’expiration du délai d’habilitation, ses dispositions relevant du domaine de la loi sont législatives pour la QPC. Ce régime mixte explique pourquoi « non ratifiée = inexistante » et « non ratifiée = uniquement réglementaire en toute hypothèse » sont deux raccourcis inexacts.</w:t>
      </w:r>
    </w:p>
    <w:p>
      <w:pPr>
        <w:pStyle w:val="Heading1"/>
        <w:keepNext/>
        <w:keepLines/>
        <w:pageBreakBefore w:val="0"/>
        <w:widowControl/>
      </w:pPr>
      <w:r>
        <w:t>Chapitre 2 - La jurisprudence</w:t>
      </w:r>
    </w:p>
    <w:p>
      <w:pPr>
        <w:pStyle w:val="Heading2"/>
        <w:keepNext/>
        <w:keepLines/>
        <w:pageBreakBefore w:val="0"/>
        <w:widowControl/>
      </w:pPr>
      <w:r>
        <w:t>I - Notion et place</w:t>
      </w:r>
    </w:p>
    <w:p>
      <w:pPr>
        <w:pageBreakBefore w:val="0"/>
        <w:widowControl/>
      </w:pPr>
      <w:r>
        <w:t>Au sens contemporain du cours, la jurisprudence désigne l’ensemble des décisions de justice et, plus spécialement, les solutions dégagées de manière suffisamment constante ou solennelle pour orienter l’interprétation du droit.</w:t>
      </w:r>
    </w:p>
    <w:p>
      <w:pPr>
        <w:pageBreakBefore w:val="0"/>
        <w:widowControl/>
      </w:pPr>
      <w:r>
        <w:t>En droit français, il n’existe pas de règle générale du précédent obligatoire comparable au stare decisis de common law. Toutefois, les juridictions du fond suivent souvent les solutions des juridictions suprêmes afin d’éviter une cassation ou une annulation.</w:t>
      </w:r>
    </w:p>
    <w:p>
      <w:pPr>
        <w:pStyle w:val="Heading2"/>
        <w:keepNext/>
        <w:keepLines/>
        <w:pageBreakBefore w:val="0"/>
        <w:widowControl/>
      </w:pPr>
      <w:r>
        <w:t>II - La jurisprudence est-elle une source du droit ?</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6"/>
        <w:gridCol w:w="5156"/>
      </w:tblGrid>
      <w:tr>
        <w:trPr>
          <w:cantSplit/>
          <w:tblHeader/>
        </w:trPr>
        <w:tc>
          <w:tcPr>
            <w:tcW w:type="dxa" w:w="4535"/>
            <w:vAlign w:val="center"/>
            <w:shd w:fill="EAF2F8"/>
          </w:tcPr>
          <w:p>
            <w:pPr>
              <w:spacing w:after="80" w:before="80"/>
            </w:pPr>
            <w:r/>
            <w:r>
              <w:rPr>
                <w:rFonts w:ascii="Aptos" w:hAnsi="Aptos"/>
                <w:b/>
                <w:color w:val="1F4E79"/>
                <w:sz w:val="18"/>
              </w:rPr>
              <w:t>Arguments contre</w:t>
            </w:r>
          </w:p>
        </w:tc>
        <w:tc>
          <w:tcPr>
            <w:tcW w:type="dxa" w:w="4535"/>
            <w:vAlign w:val="center"/>
            <w:shd w:fill="EAF2F8"/>
          </w:tcPr>
          <w:p>
            <w:pPr>
              <w:spacing w:after="80" w:before="80"/>
            </w:pPr>
            <w:r/>
            <w:r>
              <w:rPr>
                <w:rFonts w:ascii="Aptos" w:hAnsi="Aptos"/>
                <w:b/>
                <w:color w:val="1F4E79"/>
                <w:sz w:val="18"/>
              </w:rPr>
              <w:t>Arguments pour</w:t>
            </w:r>
          </w:p>
        </w:tc>
      </w:tr>
      <w:tr>
        <w:trPr>
          <w:cantSplit/>
        </w:trPr>
        <w:tc>
          <w:tcPr>
            <w:tcW w:type="dxa" w:w="4535"/>
            <w:vAlign w:val="center"/>
          </w:tcPr>
          <w:p>
            <w:pPr>
              <w:spacing w:after="80" w:before="80"/>
            </w:pPr>
            <w:r/>
            <w:r>
              <w:rPr>
                <w:rFonts w:ascii="Aptos" w:hAnsi="Aptos"/>
                <w:b w:val="0"/>
                <w:sz w:val="18"/>
              </w:rPr>
              <w:t>Article 5 du Code civil interdit les arrêts de règlement ; le juge ne peut édicter une règle générale comme le législateur.</w:t>
            </w:r>
          </w:p>
        </w:tc>
        <w:tc>
          <w:tcPr>
            <w:tcW w:type="dxa" w:w="4535"/>
            <w:vAlign w:val="center"/>
          </w:tcPr>
          <w:p>
            <w:pPr>
              <w:spacing w:after="80" w:before="80"/>
            </w:pPr>
            <w:r/>
            <w:r>
              <w:rPr>
                <w:rFonts w:ascii="Aptos" w:hAnsi="Aptos"/>
                <w:b w:val="0"/>
                <w:sz w:val="18"/>
              </w:rPr>
              <w:t>Article 4 oblige le juge à statuer même lorsque la loi est silencieuse, obscure ou insuffisante.</w:t>
            </w:r>
          </w:p>
        </w:tc>
      </w:tr>
      <w:tr>
        <w:trPr>
          <w:cantSplit/>
        </w:trPr>
        <w:tc>
          <w:tcPr>
            <w:tcW w:type="dxa" w:w="4535"/>
            <w:vAlign w:val="center"/>
          </w:tcPr>
          <w:p>
            <w:pPr>
              <w:spacing w:after="80" w:before="80"/>
            </w:pPr>
            <w:r/>
            <w:r>
              <w:rPr>
                <w:rFonts w:ascii="Aptos" w:hAnsi="Aptos"/>
                <w:b w:val="0"/>
                <w:sz w:val="18"/>
              </w:rPr>
              <w:t>Principe de séparation des pouvoirs et absence de légitimité élective du juge.</w:t>
            </w:r>
          </w:p>
        </w:tc>
        <w:tc>
          <w:tcPr>
            <w:tcW w:type="dxa" w:w="4535"/>
            <w:vAlign w:val="center"/>
          </w:tcPr>
          <w:p>
            <w:pPr>
              <w:spacing w:after="80" w:before="80"/>
            </w:pPr>
            <w:r/>
            <w:r>
              <w:rPr>
                <w:rFonts w:ascii="Aptos" w:hAnsi="Aptos"/>
                <w:b w:val="0"/>
                <w:sz w:val="18"/>
              </w:rPr>
              <w:t>L’interprétation juridictionnelle précise, adapte et parfois transforme concrètement le sens des textes.</w:t>
            </w:r>
          </w:p>
        </w:tc>
      </w:tr>
    </w:tbl>
    <w:p>
      <w:pPr>
        <w:pStyle w:val="Key"/>
        <w:pageBreakBefore w:val="0"/>
        <w:widowControl/>
        <w:ind w:left="198" w:right="113"/>
      </w:pPr>
      <w:r>
        <w:rPr>
          <w:b/>
        </w:rPr>
        <w:t xml:space="preserve">À RETENIR : </w:t>
      </w:r>
      <w:r>
        <w:t>En examen, éviter les réponses absolues : la jurisprudence n’est pas une source formelle identique à la loi, mais elle joue un rôle créateur et interprétatif essentiel.</w:t>
      </w:r>
    </w:p>
    <w:p>
      <w:pPr>
        <w:pStyle w:val="Heading2"/>
        <w:keepNext/>
        <w:keepLines/>
        <w:pageBreakBefore w:val="0"/>
        <w:widowControl/>
      </w:pPr>
      <w:r>
        <w:t>III - Revirement de jurisprudence</w:t>
      </w:r>
    </w:p>
    <w:p>
      <w:pPr>
        <w:pageBreakBefore w:val="0"/>
        <w:widowControl/>
      </w:pPr>
      <w:r>
        <w:t>Un revirement intervient lorsqu’une juridiction abandonne une solution antérieure pour une nouvelle interprétation. En principe, cette nouvelle interprétation s’applique au litige qui a provoqué le revirement et peut donc avoir un effet sur des faits antérieurs. Des mécanismes de modulation dans le temps peuvent exceptionnellement protéger la sécurité juridique.</w:t>
      </w:r>
    </w:p>
    <w:p>
      <w:pPr>
        <w:pageBreakBefore w:val="0"/>
      </w:pPr>
      <w:r/>
      <w:r>
        <w:rPr>
          <w:b/>
        </w:rPr>
        <w:t>Loi et jurisprudence.</w:t>
      </w:r>
      <w:r>
        <w:t xml:space="preserve"> Le législateur peut consacrer une solution jurisprudentielle ou la contredire par une nouvelle loi. Exemple du cours : les réactions législatives à l’arrêt Perruche. Un revirement interprétatif et une loi rétroactive sont deux mécanismes distincts ; leurs contrôles et leur application dans le temps ne se confondent pas.</w:t>
      </w:r>
    </w:p>
    <w:p>
      <w:pPr>
        <w:pStyle w:val="Heading1"/>
        <w:keepNext/>
        <w:keepLines/>
        <w:pageBreakBefore w:val="0"/>
        <w:widowControl/>
      </w:pPr>
      <w:r>
        <w:t>Chapitre 3 - La coutume</w:t>
      </w:r>
    </w:p>
    <w:p>
      <w:pPr>
        <w:pStyle w:val="Heading2"/>
        <w:keepNext/>
        <w:keepLines/>
        <w:pageBreakBefore w:val="0"/>
        <w:widowControl/>
      </w:pPr>
      <w:r>
        <w:t>I - Notion</w:t>
      </w:r>
    </w:p>
    <w:p>
      <w:pPr>
        <w:pageBreakBefore w:val="0"/>
        <w:widowControl/>
      </w:pPr>
      <w:r>
        <w:t>La coutume est une règle non écrite née d’une pratique répétée et tenue pour juridiquement obligatoire. Le cours distingue traditionnellement un élément matériel (répétition, généralité, ancienneté) et un élément psychologique ou moral (conviction du caractère obligatoire).</w:t>
      </w:r>
    </w:p>
    <w:p>
      <w:pPr>
        <w:pStyle w:val="Heading2"/>
        <w:keepNext/>
        <w:keepLines/>
        <w:pageBreakBefore w:val="0"/>
        <w:widowControl/>
      </w:pPr>
      <w:r>
        <w:t>II - Place en droit positif</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7"/>
        <w:gridCol w:w="3437"/>
        <w:gridCol w:w="3437"/>
      </w:tblGrid>
      <w:tr>
        <w:trPr>
          <w:cantSplit/>
          <w:tblHeader/>
        </w:trPr>
        <w:tc>
          <w:tcPr>
            <w:tcW w:type="dxa" w:w="1928"/>
            <w:vAlign w:val="center"/>
            <w:shd w:fill="EAF2F8"/>
          </w:tcPr>
          <w:p>
            <w:pPr>
              <w:spacing w:after="80" w:before="80"/>
            </w:pPr>
            <w:r/>
            <w:r>
              <w:rPr>
                <w:rFonts w:ascii="Aptos" w:hAnsi="Aptos"/>
                <w:b/>
                <w:color w:val="1F4E79"/>
                <w:sz w:val="18"/>
              </w:rPr>
              <w:t>Type</w:t>
            </w:r>
          </w:p>
        </w:tc>
        <w:tc>
          <w:tcPr>
            <w:tcW w:type="dxa" w:w="3515"/>
            <w:vAlign w:val="center"/>
            <w:shd w:fill="EAF2F8"/>
          </w:tcPr>
          <w:p>
            <w:pPr>
              <w:spacing w:after="80" w:before="80"/>
            </w:pPr>
            <w:r/>
            <w:r>
              <w:rPr>
                <w:rFonts w:ascii="Aptos" w:hAnsi="Aptos"/>
                <w:b/>
                <w:color w:val="1F4E79"/>
                <w:sz w:val="18"/>
              </w:rPr>
              <w:t>Définition</w:t>
            </w:r>
          </w:p>
        </w:tc>
        <w:tc>
          <w:tcPr>
            <w:tcW w:type="dxa" w:w="3685"/>
            <w:vAlign w:val="center"/>
            <w:shd w:fill="EAF2F8"/>
          </w:tcPr>
          <w:p>
            <w:pPr>
              <w:spacing w:after="80" w:before="80"/>
            </w:pPr>
            <w:r/>
            <w:r>
              <w:rPr>
                <w:rFonts w:ascii="Aptos" w:hAnsi="Aptos"/>
                <w:b/>
                <w:color w:val="1F4E79"/>
                <w:sz w:val="18"/>
              </w:rPr>
              <w:t>Exemple du cours</w:t>
            </w:r>
          </w:p>
        </w:tc>
      </w:tr>
      <w:tr>
        <w:trPr>
          <w:cantSplit/>
        </w:trPr>
        <w:tc>
          <w:tcPr>
            <w:tcW w:type="dxa" w:w="1928"/>
            <w:vAlign w:val="center"/>
          </w:tcPr>
          <w:p>
            <w:pPr>
              <w:spacing w:after="80" w:before="80"/>
            </w:pPr>
            <w:r/>
            <w:r>
              <w:rPr>
                <w:rFonts w:ascii="Aptos" w:hAnsi="Aptos"/>
                <w:b w:val="0"/>
                <w:sz w:val="18"/>
              </w:rPr>
              <w:t>Secundum legem</w:t>
            </w:r>
          </w:p>
        </w:tc>
        <w:tc>
          <w:tcPr>
            <w:tcW w:type="dxa" w:w="3515"/>
            <w:vAlign w:val="center"/>
          </w:tcPr>
          <w:p>
            <w:pPr>
              <w:spacing w:after="80" w:before="80"/>
            </w:pPr>
            <w:r/>
            <w:r>
              <w:rPr>
                <w:rFonts w:ascii="Aptos" w:hAnsi="Aptos"/>
                <w:b w:val="0"/>
                <w:sz w:val="18"/>
              </w:rPr>
              <w:t>La loi renvoie à l’usage ou à la coutume.</w:t>
            </w:r>
          </w:p>
        </w:tc>
        <w:tc>
          <w:tcPr>
            <w:tcW w:type="dxa" w:w="3685"/>
            <w:vAlign w:val="center"/>
          </w:tcPr>
          <w:p>
            <w:pPr>
              <w:spacing w:after="80" w:before="80"/>
            </w:pPr>
            <w:r/>
            <w:r>
              <w:rPr>
                <w:rFonts w:ascii="Aptos" w:hAnsi="Aptos"/>
                <w:b w:val="0"/>
                <w:sz w:val="18"/>
              </w:rPr>
              <w:t>Article 1194 du Code civil : le contrat oblige aussi à toutes les suites que lui donnent l’équité, l’usage ou la loi.</w:t>
            </w:r>
          </w:p>
        </w:tc>
      </w:tr>
      <w:tr>
        <w:trPr>
          <w:cantSplit/>
        </w:trPr>
        <w:tc>
          <w:tcPr>
            <w:tcW w:type="dxa" w:w="1928"/>
            <w:vAlign w:val="center"/>
          </w:tcPr>
          <w:p>
            <w:pPr>
              <w:spacing w:after="80" w:before="80"/>
            </w:pPr>
            <w:r/>
            <w:r>
              <w:rPr>
                <w:rFonts w:ascii="Aptos" w:hAnsi="Aptos"/>
                <w:b w:val="0"/>
                <w:sz w:val="18"/>
              </w:rPr>
              <w:t>Praeter legem</w:t>
            </w:r>
          </w:p>
        </w:tc>
        <w:tc>
          <w:tcPr>
            <w:tcW w:type="dxa" w:w="3515"/>
            <w:vAlign w:val="center"/>
          </w:tcPr>
          <w:p>
            <w:pPr>
              <w:spacing w:after="80" w:before="80"/>
            </w:pPr>
            <w:r/>
            <w:r>
              <w:rPr>
                <w:rFonts w:ascii="Aptos" w:hAnsi="Aptos"/>
                <w:b w:val="0"/>
                <w:sz w:val="18"/>
              </w:rPr>
              <w:t>La coutume complète le droit lorsque le texte est silencieux.</w:t>
            </w:r>
          </w:p>
        </w:tc>
        <w:tc>
          <w:tcPr>
            <w:tcW w:type="dxa" w:w="3685"/>
            <w:vAlign w:val="center"/>
          </w:tcPr>
          <w:p>
            <w:pPr>
              <w:spacing w:after="80" w:before="80"/>
            </w:pPr>
            <w:r/>
            <w:r>
              <w:rPr>
                <w:rFonts w:ascii="Aptos" w:hAnsi="Aptos"/>
                <w:b w:val="0"/>
                <w:sz w:val="18"/>
              </w:rPr>
              <w:t>Usages reconnus dans certaines matières.</w:t>
            </w:r>
          </w:p>
        </w:tc>
      </w:tr>
      <w:tr>
        <w:trPr>
          <w:cantSplit/>
        </w:trPr>
        <w:tc>
          <w:tcPr>
            <w:tcW w:type="dxa" w:w="1928"/>
            <w:vAlign w:val="center"/>
          </w:tcPr>
          <w:p>
            <w:pPr>
              <w:spacing w:after="80" w:before="80"/>
            </w:pPr>
            <w:r/>
            <w:r>
              <w:rPr>
                <w:rFonts w:ascii="Aptos" w:hAnsi="Aptos"/>
                <w:b w:val="0"/>
                <w:sz w:val="18"/>
              </w:rPr>
              <w:t>Contra legem</w:t>
            </w:r>
          </w:p>
        </w:tc>
        <w:tc>
          <w:tcPr>
            <w:tcW w:type="dxa" w:w="3515"/>
            <w:vAlign w:val="center"/>
          </w:tcPr>
          <w:p>
            <w:pPr>
              <w:spacing w:after="80" w:before="80"/>
            </w:pPr>
            <w:r/>
            <w:r>
              <w:rPr>
                <w:rFonts w:ascii="Aptos" w:hAnsi="Aptos"/>
                <w:b w:val="0"/>
                <w:sz w:val="18"/>
              </w:rPr>
              <w:t>La coutume paraît contraire au texte. Sa reconnaissance est exceptionnelle et discutée.</w:t>
            </w:r>
          </w:p>
        </w:tc>
        <w:tc>
          <w:tcPr>
            <w:tcW w:type="dxa" w:w="3685"/>
            <w:vAlign w:val="center"/>
          </w:tcPr>
          <w:p>
            <w:pPr>
              <w:spacing w:after="80" w:before="80"/>
            </w:pPr>
            <w:r/>
            <w:r>
              <w:rPr>
                <w:rFonts w:ascii="Aptos" w:hAnsi="Aptos"/>
                <w:b w:val="0"/>
                <w:sz w:val="18"/>
              </w:rPr>
              <w:t>Le cours évoque le don manuel comme illustration historique.</w:t>
            </w:r>
          </w:p>
        </w:tc>
      </w:tr>
    </w:tbl>
    <w:p>
      <w:pPr>
        <w:pStyle w:val="Heading1"/>
        <w:keepNext/>
        <w:keepLines/>
        <w:pageBreakBefore w:val="0"/>
        <w:widowControl/>
      </w:pPr>
      <w:r>
        <w:t>Chapitre 4 - La doctrine</w:t>
      </w:r>
    </w:p>
    <w:p>
      <w:pPr>
        <w:pageBreakBefore w:val="0"/>
        <w:widowControl/>
      </w:pPr>
      <w:r>
        <w:t>Doctrine : ensemble des opinions, analyses et travaux des universitaires et praticiens du droit. Elle n’a pas de force obligatoire pour le juge mais exerce une influence sur la compréhension des règles, la jurisprudence, les réformes et le débat juridique.</w:t>
      </w:r>
    </w:p>
    <w:p>
      <w:pPr>
        <w:pStyle w:val="Key"/>
        <w:pageBreakBefore w:val="0"/>
        <w:widowControl/>
        <w:ind w:left="198" w:right="113"/>
      </w:pPr>
      <w:r>
        <w:rPr>
          <w:b/>
        </w:rPr>
        <w:t xml:space="preserve">À RETENIR : </w:t>
      </w:r>
      <w:r>
        <w:t>Doctrine ≠ jurisprudence : la doctrine commente et propose ; la jurisprudence résulte des décisions de justice.</w:t>
      </w:r>
    </w:p>
    <w:p>
      <w:pPr>
        <w:pStyle w:val="Heading1"/>
        <w:keepNext/>
        <w:keepLines/>
        <w:pageBreakBefore w:val="0"/>
        <w:widowControl/>
      </w:pPr>
      <w:r>
        <w:t>PARTIE 3 - APPLIQUER LE DROIT</w:t>
      </w:r>
    </w:p>
    <w:p>
      <w:pPr>
        <w:pageBreakBefore w:val="0"/>
        <w:widowControl/>
      </w:pPr>
      <w:r>
        <w:t>Le cours reprend ici plusieurs éléments déjà étudiés dans la partie « Identifier le droit », notamment l’entrée en vigueur, l’abrogation et les conflits de lois dans le temps. La fiche évite de les recopier deux fois : les principes essentiels sont consolidés ci-dessous.</w:t>
      </w:r>
    </w:p>
    <w:p>
      <w:pPr>
        <w:pStyle w:val="Heading1"/>
        <w:keepNext/>
        <w:keepLines/>
        <w:pageBreakBefore w:val="0"/>
        <w:widowControl/>
      </w:pPr>
      <w:r>
        <w:t>Chapitre 1 - L’application de la loi dans le temps</w:t>
      </w:r>
    </w:p>
    <w:p>
      <w:pPr>
        <w:pStyle w:val="Heading2"/>
        <w:keepNext/>
        <w:keepLines/>
        <w:pageBreakBefore w:val="0"/>
        <w:widowControl/>
      </w:pPr>
      <w:r>
        <w:t>I - Méthode générale</w:t>
      </w:r>
    </w:p>
    <w:p>
      <w:pPr>
        <w:pageBreakBefore w:val="0"/>
        <w:widowControl/>
        <w:ind w:left="255" w:hanging="198"/>
      </w:pPr>
      <w:r>
        <w:rPr>
          <w:b/>
        </w:rPr>
        <w:t xml:space="preserve">1. </w:t>
      </w:r>
      <w:r>
        <w:t>Déterminer la date d’entrée en vigueur de la loi nouvelle.</w:t>
      </w:r>
    </w:p>
    <w:p>
      <w:pPr>
        <w:pageBreakBefore w:val="0"/>
        <w:widowControl/>
        <w:ind w:left="255" w:hanging="198"/>
      </w:pPr>
      <w:r>
        <w:rPr>
          <w:b/>
        </w:rPr>
        <w:t xml:space="preserve">2. </w:t>
      </w:r>
      <w:r>
        <w:t>Qualifier la situation : passée, en cours ou future ; distinguer situation contractuelle et non contractuelle.</w:t>
      </w:r>
    </w:p>
    <w:p>
      <w:pPr>
        <w:pageBreakBefore w:val="0"/>
        <w:widowControl/>
        <w:ind w:left="255" w:hanging="198"/>
      </w:pPr>
      <w:r>
        <w:rPr>
          <w:b/>
        </w:rPr>
        <w:t xml:space="preserve">3. </w:t>
      </w:r>
      <w:r>
        <w:t>Appliquer la règle de conflit : non-rétroactivité, effet immédiat ou survie de la loi ancienne.</w:t>
      </w:r>
    </w:p>
    <w:p>
      <w:pPr>
        <w:pStyle w:val="Heading2"/>
        <w:keepNext/>
        <w:keepLines/>
        <w:pageBreakBefore w:val="0"/>
        <w:widowControl/>
      </w:pPr>
      <w:r>
        <w:t>II - Principes à connaître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6"/>
        <w:gridCol w:w="5156"/>
      </w:tblGrid>
      <w:tr>
        <w:trPr>
          <w:cantSplit/>
          <w:tblHeader/>
        </w:trPr>
        <w:tc>
          <w:tcPr>
            <w:tcW w:type="dxa" w:w="2835"/>
            <w:vAlign w:val="center"/>
            <w:shd w:fill="EAF2F8"/>
          </w:tcPr>
          <w:p>
            <w:pPr>
              <w:spacing w:after="80" w:before="80"/>
            </w:pPr>
            <w:r/>
            <w:r>
              <w:rPr>
                <w:rFonts w:ascii="Aptos" w:hAnsi="Aptos"/>
                <w:b/>
                <w:color w:val="1F4E79"/>
                <w:sz w:val="18"/>
              </w:rPr>
              <w:t>Situation</w:t>
            </w:r>
          </w:p>
        </w:tc>
        <w:tc>
          <w:tcPr>
            <w:tcW w:type="dxa" w:w="6236"/>
            <w:vAlign w:val="center"/>
            <w:shd w:fill="EAF2F8"/>
          </w:tcPr>
          <w:p>
            <w:pPr>
              <w:spacing w:after="80" w:before="80"/>
            </w:pPr>
            <w:r/>
            <w:r>
              <w:rPr>
                <w:rFonts w:ascii="Aptos" w:hAnsi="Aptos"/>
                <w:b/>
                <w:color w:val="1F4E79"/>
                <w:sz w:val="18"/>
              </w:rPr>
              <w:t>Règle de principe</w:t>
            </w:r>
          </w:p>
        </w:tc>
      </w:tr>
      <w:tr>
        <w:trPr>
          <w:cantSplit/>
        </w:trPr>
        <w:tc>
          <w:tcPr>
            <w:tcW w:type="dxa" w:w="2835"/>
            <w:vAlign w:val="center"/>
          </w:tcPr>
          <w:p>
            <w:pPr>
              <w:spacing w:after="80" w:before="80"/>
            </w:pPr>
            <w:r/>
            <w:r>
              <w:rPr>
                <w:rFonts w:ascii="Aptos" w:hAnsi="Aptos"/>
                <w:b w:val="0"/>
                <w:sz w:val="18"/>
              </w:rPr>
              <w:t>Situation définitivement passée</w:t>
            </w:r>
          </w:p>
        </w:tc>
        <w:tc>
          <w:tcPr>
            <w:tcW w:type="dxa" w:w="6236"/>
            <w:vAlign w:val="center"/>
          </w:tcPr>
          <w:p>
            <w:pPr>
              <w:spacing w:after="80" w:before="80"/>
            </w:pPr>
            <w:r/>
            <w:r>
              <w:rPr>
                <w:rFonts w:ascii="Aptos" w:hAnsi="Aptos"/>
                <w:b w:val="0"/>
                <w:sz w:val="18"/>
              </w:rPr>
              <w:t>Loi ancienne ; la loi nouvelle n’est en principe pas rétroactive.</w:t>
            </w:r>
          </w:p>
        </w:tc>
      </w:tr>
      <w:tr>
        <w:trPr>
          <w:cantSplit/>
        </w:trPr>
        <w:tc>
          <w:tcPr>
            <w:tcW w:type="dxa" w:w="2835"/>
            <w:vAlign w:val="center"/>
          </w:tcPr>
          <w:p>
            <w:pPr>
              <w:spacing w:after="80" w:before="80"/>
            </w:pPr>
            <w:r/>
            <w:r>
              <w:rPr>
                <w:rFonts w:ascii="Aptos" w:hAnsi="Aptos"/>
                <w:b w:val="0"/>
                <w:sz w:val="18"/>
              </w:rPr>
              <w:t>Situation future</w:t>
            </w:r>
          </w:p>
        </w:tc>
        <w:tc>
          <w:tcPr>
            <w:tcW w:type="dxa" w:w="6236"/>
            <w:vAlign w:val="center"/>
          </w:tcPr>
          <w:p>
            <w:pPr>
              <w:spacing w:after="80" w:before="80"/>
            </w:pPr>
            <w:r/>
            <w:r>
              <w:rPr>
                <w:rFonts w:ascii="Aptos" w:hAnsi="Aptos"/>
                <w:b w:val="0"/>
                <w:sz w:val="18"/>
              </w:rPr>
              <w:t>Loi nouvelle.</w:t>
            </w:r>
          </w:p>
        </w:tc>
      </w:tr>
      <w:tr>
        <w:trPr>
          <w:cantSplit/>
        </w:trPr>
        <w:tc>
          <w:tcPr>
            <w:tcW w:type="dxa" w:w="2835"/>
            <w:vAlign w:val="center"/>
          </w:tcPr>
          <w:p>
            <w:pPr>
              <w:spacing w:after="80" w:before="80"/>
            </w:pPr>
            <w:r/>
            <w:r>
              <w:rPr>
                <w:rFonts w:ascii="Aptos" w:hAnsi="Aptos"/>
                <w:b w:val="0"/>
                <w:sz w:val="18"/>
              </w:rPr>
              <w:t>Situation légale en cours</w:t>
            </w:r>
          </w:p>
        </w:tc>
        <w:tc>
          <w:tcPr>
            <w:tcW w:type="dxa" w:w="6236"/>
            <w:vAlign w:val="center"/>
          </w:tcPr>
          <w:p>
            <w:pPr>
              <w:spacing w:after="80" w:before="80"/>
            </w:pPr>
            <w:r/>
            <w:r>
              <w:rPr>
                <w:rFonts w:ascii="Aptos" w:hAnsi="Aptos"/>
                <w:b w:val="0"/>
                <w:sz w:val="18"/>
              </w:rPr>
              <w:t>Effet immédiat de la loi nouvelle pour les effets futurs.</w:t>
            </w:r>
          </w:p>
        </w:tc>
      </w:tr>
      <w:tr>
        <w:trPr>
          <w:cantSplit/>
        </w:trPr>
        <w:tc>
          <w:tcPr>
            <w:tcW w:type="dxa" w:w="2835"/>
            <w:vAlign w:val="center"/>
          </w:tcPr>
          <w:p>
            <w:pPr>
              <w:spacing w:after="80" w:before="80"/>
            </w:pPr>
            <w:r/>
            <w:r>
              <w:rPr>
                <w:rFonts w:ascii="Aptos" w:hAnsi="Aptos"/>
                <w:b w:val="0"/>
                <w:sz w:val="18"/>
              </w:rPr>
              <w:t>Contrat en cours</w:t>
            </w:r>
          </w:p>
        </w:tc>
        <w:tc>
          <w:tcPr>
            <w:tcW w:type="dxa" w:w="6236"/>
            <w:vAlign w:val="center"/>
          </w:tcPr>
          <w:p>
            <w:pPr>
              <w:spacing w:after="80" w:before="80"/>
            </w:pPr>
            <w:r/>
            <w:r>
              <w:rPr>
                <w:rFonts w:ascii="Aptos" w:hAnsi="Aptos"/>
                <w:b w:val="0"/>
                <w:sz w:val="18"/>
              </w:rPr>
              <w:t>Survie de la loi ancienne, sauf exception.</w:t>
            </w:r>
          </w:p>
        </w:tc>
      </w:tr>
      <w:tr>
        <w:trPr>
          <w:cantSplit/>
        </w:trPr>
        <w:tc>
          <w:tcPr>
            <w:tcW w:type="dxa" w:w="2835"/>
            <w:vAlign w:val="center"/>
          </w:tcPr>
          <w:p>
            <w:pPr>
              <w:spacing w:after="80" w:before="80"/>
            </w:pPr>
            <w:r/>
            <w:r>
              <w:rPr>
                <w:rFonts w:ascii="Aptos" w:hAnsi="Aptos"/>
                <w:b w:val="0"/>
                <w:sz w:val="18"/>
              </w:rPr>
              <w:t>Loi pénale plus douce</w:t>
            </w:r>
          </w:p>
        </w:tc>
        <w:tc>
          <w:tcPr>
            <w:tcW w:type="dxa" w:w="6236"/>
            <w:vAlign w:val="center"/>
          </w:tcPr>
          <w:p>
            <w:pPr>
              <w:spacing w:after="80" w:before="80"/>
            </w:pPr>
            <w:r/>
            <w:r>
              <w:rPr>
                <w:rFonts w:ascii="Aptos" w:hAnsi="Aptos"/>
                <w:b w:val="0"/>
                <w:sz w:val="18"/>
              </w:rPr>
              <w:t>Rétroactivité in mitius si absence de condamnation définitive.</w:t>
            </w:r>
          </w:p>
        </w:tc>
      </w:tr>
      <w:tr>
        <w:trPr>
          <w:cantSplit/>
        </w:trPr>
        <w:tc>
          <w:tcPr>
            <w:tcW w:type="dxa" w:w="5156"/>
          </w:tcPr>
          <w:p>
            <w:pPr>
              <w:spacing w:after="80" w:before="80"/>
            </w:pPr>
            <w:r>
              <w:t>Faits dépénalisés après condamnation définitive</w:t>
            </w:r>
          </w:p>
        </w:tc>
        <w:tc>
          <w:tcPr>
            <w:tcW w:type="dxa" w:w="5156"/>
          </w:tcPr>
          <w:p>
            <w:pPr>
              <w:spacing w:after="80" w:before="80"/>
            </w:pPr>
            <w:r>
              <w:t>Fin de l’exécution de la peine : art. 112-4 CP.</w:t>
            </w:r>
          </w:p>
        </w:tc>
      </w:tr>
    </w:tbl>
    <w:p>
      <w:pPr>
        <w:pStyle w:val="Heading1"/>
        <w:keepNext/>
        <w:keepLines/>
        <w:pageBreakBefore w:val="0"/>
        <w:widowControl/>
      </w:pPr>
      <w:r>
        <w:t>Chapitre 2 - Articulation des règles et conflits de normes</w:t>
      </w:r>
    </w:p>
    <w:p>
      <w:pPr>
        <w:pStyle w:val="Heading2"/>
        <w:keepNext/>
        <w:keepLines/>
        <w:pageBreakBefore w:val="0"/>
        <w:widowControl/>
      </w:pPr>
      <w:r>
        <w:t>I - Loi générale et loi spéciale</w:t>
      </w:r>
    </w:p>
    <w:p>
      <w:pPr>
        <w:pageBreakBefore w:val="0"/>
        <w:widowControl/>
      </w:pPr>
      <w:r>
        <w:t>Lorsqu’une règle spéciale et une règle générale régissent la même situation, la règle spéciale a vocation à s’appliquer dans son domaine : lex specialis derogat generali. Il faut cependant vérifier le champ d’application des textes et l’intention du législateur.</w:t>
      </w:r>
    </w:p>
    <w:p>
      <w:pPr>
        <w:pStyle w:val="Heading2"/>
        <w:keepNext/>
        <w:keepLines/>
        <w:pageBreakBefore w:val="0"/>
        <w:widowControl/>
      </w:pPr>
      <w:r>
        <w:t>II - Contrôle de constitutionnalité</w:t>
      </w:r>
    </w:p>
    <w:p>
      <w:pPr>
        <w:pStyle w:val="Heading3"/>
        <w:keepNext/>
        <w:keepLines/>
        <w:pageBreakBefore w:val="0"/>
        <w:widowControl/>
      </w:pPr>
      <w:r>
        <w:t>A - Contrôle a priori : article 61</w:t>
      </w:r>
    </w:p>
    <w:p>
      <w:pPr>
        <w:pageBreakBefore w:val="0"/>
        <w:widowControl/>
      </w:pPr>
      <w:r>
        <w:t>Il intervient avant la promulgation. Pour une loi ordinaire, la saisine peut notamment venir du Président de la République, du Premier ministre, du président de l’une des assemblées, de 60 députés ou de 60 sénateurs. Une disposition déclarée contraire à la Constitution ne peut être promulguée ou mise en application.</w:t>
      </w:r>
    </w:p>
    <w:p>
      <w:pPr>
        <w:pageBreakBefore w:val="0"/>
      </w:pPr>
      <w:r/>
      <w:r>
        <w:rPr>
          <w:b/>
        </w:rPr>
        <w:t>Délais et contrôles obligatoires.</w:t>
      </w:r>
      <w:r>
        <w:t xml:space="preserve"> Le Conseil statue dans le mois ; à la demande du Gouvernement et en cas d’urgence, le délai est ramené à huit jours. La saisine suspend le délai de promulgation. Le contrôle est obligatoire pour les lois organiques, les règlements des assemblées et les propositions de loi relevant du référendum d’initiative partagée, selon les règles applicables à chaque catégorie.</w:t>
      </w:r>
    </w:p>
    <w:p>
      <w:pPr>
        <w:pStyle w:val="Heading3"/>
        <w:keepNext/>
        <w:keepLines/>
        <w:pageBreakBefore w:val="0"/>
        <w:widowControl/>
      </w:pPr>
      <w:r>
        <w:t>B - QPC : article 61-1</w:t>
      </w:r>
    </w:p>
    <w:p>
      <w:pPr>
        <w:pageBreakBefore w:val="0"/>
        <w:widowControl/>
      </w:pPr>
      <w:r>
        <w:t>À l’occasion d’un litige, un justiciable peut soutenir qu’une disposition législative porte atteinte aux droits et libertés que la Constitution garantit. La question est examinée par la juridiction saisie, puis filtrée par le Conseil d’État ou la Cour de cassation avant un éventuel renvoi au Conseil constitutionnel.</w:t>
      </w:r>
    </w:p>
    <w:p>
      <w:pPr>
        <w:pageBreakBefore w:val="0"/>
        <w:widowControl/>
      </w:pPr>
      <w:r>
        <w:t>La transmission puis le renvoi d’une QPC supposent des conditions précises, qui diffèrent selon le stade de la procédure.</w:t>
      </w:r>
    </w:p>
    <w:p>
      <w:pPr>
        <w:pageBreakBefore w:val="0"/>
      </w:pPr>
      <w:r/>
      <w:r>
        <w:rPr>
          <w:b/>
        </w:rPr>
        <w:t>Les deux filtres de la QPC.</w:t>
      </w:r>
      <w:r>
        <w:t xml:space="preserve"> Devant le juge saisi du litige : la disposition doit être applicable au litige ou à la procédure, ou constituer le fondement des poursuites ; elle ne doit pas avoir déjà été déclarée conforme dans les motifs et le dispositif d’une décision du Conseil, sauf changement de circonstances ; la question ne doit pas être dépourvue de caractère sérieux. Devant le Conseil d’État ou la Cour de cassation, les deux premières conditions subsistent, mais la question doit être nouvelle OU présenter un caractère sérieux.</w:t>
      </w:r>
    </w:p>
    <w:p>
      <w:pPr>
        <w:pageBreakBefore w:val="0"/>
      </w:pPr>
      <w:r/>
      <w:r>
        <w:rPr>
          <w:b/>
        </w:rPr>
        <w:t>Procédure.</w:t>
      </w:r>
      <w:r>
        <w:t xml:space="preserve"> Le moyen est présenté dans un écrit distinct et motivé. Le premier juge statue sans délai sur la transmission. La juridiction suprême dispose de trois mois pour décider du renvoi ; le Conseil constitutionnel statue ensuite dans les trois mois de sa saisine. Si la question est soulevée directement devant le Conseil d’État ou la Cour de cassation, il n’existe pas de premier filtre distinct.</w:t>
      </w:r>
    </w:p>
    <w:p>
      <w:pPr>
        <w:pageBreakBefore w:val="0"/>
      </w:pPr>
      <w:r/>
      <w:r>
        <w:rPr>
          <w:b/>
        </w:rPr>
        <w:t>Effets.</w:t>
      </w:r>
      <w:r>
        <w:t xml:space="preserve"> Une déclaration d’inconstitutionnalité en QPC entraîne une abrogation, immédiate ou différée selon la décision du Conseil. Le Conseil fixe aussi les conditions dans lesquelles les effets déjà produits peuvent être remis en cause : ce n’est donc pas une annulation rétroactive automatique de tous les actes passés.</w:t>
      </w:r>
    </w:p>
    <w:p>
      <w:pPr>
        <w:pStyle w:val="Correction"/>
        <w:keepNext w:val="0"/>
        <w:pageBreakBefore w:val="0"/>
        <w:widowControl/>
        <w:ind w:left="255" w:right="142"/>
      </w:pPr>
      <w:r>
        <w:rPr>
          <w:b/>
          <w:color w:val="C00000"/>
        </w:rPr>
        <w:t xml:space="preserve">CORRECTION / MISE À JOUR VÉRIFIÉE : </w:t>
      </w:r>
      <w:r>
        <w:t>Le contrôle a posteriori a été créé par la révision du 23 juillet 2008 ; la loi organique du 10 décembre 2009 a organisé la procédure ; entrée en vigueur le 1er mars 2010.</w:t>
      </w:r>
    </w:p>
    <w:p>
      <w:pPr>
        <w:pStyle w:val="Heading2"/>
        <w:keepNext/>
        <w:keepLines/>
        <w:pageBreakBefore w:val="0"/>
        <w:widowControl/>
      </w:pPr>
      <w:r>
        <w:t>III - Contrôle de légalité et théorie de la loi-écran</w:t>
      </w:r>
    </w:p>
    <w:p>
      <w:pPr>
        <w:pageBreakBefore w:val="0"/>
        <w:widowControl/>
      </w:pPr>
      <w:r>
        <w:t>Le juge administratif contrôle la légalité des actes administratifs. Par voie d’action, le recours pour excès de pouvoir peut conduire à l’annulation d’un acte. Par voie d’exception, l’illégalité d’un règlement peut être invoquée à l’occasion d’un litige dans les conditions propres à la matière.</w:t>
      </w:r>
    </w:p>
    <w:p>
      <w:pPr>
        <w:pageBreakBefore w:val="0"/>
      </w:pPr>
      <w:r/>
      <w:r>
        <w:rPr>
          <w:b/>
        </w:rPr>
        <w:t>Action et exception.</w:t>
      </w:r>
      <w:r>
        <w:t xml:space="preserve"> Le recours pour excès de pouvoir tend à l’annulation de l’acte, en principe dans les deux mois suivant la publicité appropriée ou la notification selon le cas. L’exception d’illégalité tend à écarter l’acte pour résoudre un autre litige. L’exception contre un règlement n’est pas limitée de la même manière dans le temps, mais tous les moyens ne demeurent pas invocables : éviter la formule « exception perpétuelle sans aucune limite ».</w:t>
      </w:r>
    </w:p>
    <w:p>
      <w:pPr>
        <w:pageBreakBefore w:val="0"/>
      </w:pPr>
      <w:r/>
      <w:r>
        <w:rPr>
          <w:b/>
        </w:rPr>
        <w:t>Juge pénal.</w:t>
      </w:r>
      <w:r>
        <w:t xml:space="preserve"> L’article 111-5 du Code pénal lui permet d’interpréter et d’apprécier la légalité d’actes administratifs réglementaires ou individuels lorsque la solution du procès pénal en dépend. Il ne s’agit pas d’un pouvoir général d’annulation des actes administratifs.</w:t>
      </w:r>
    </w:p>
    <w:p>
      <w:pPr>
        <w:pageBreakBefore w:val="0"/>
        <w:widowControl/>
      </w:pPr>
      <w:r>
        <w:t>CE, 6 novembre 1936, Arrighi : théorie de la loi-écran. Lorsque l’acte administratif se borne à appliquer une loi, le juge administratif ne contrôle pas la constitutionnalité de cette loi à travers l’acte.</w:t>
      </w:r>
    </w:p>
    <w:p>
      <w:pPr>
        <w:pageBreakBefore w:val="0"/>
        <w:widowControl/>
      </w:pPr>
      <w:r>
        <w:t>CE, 17 mai 1991, Quintin : lorsque la loi n’impose pas réellement le contenu du règlement, l’écran peut être considéré comme transparent et permettre un contrôle plus direct de la norme administrative.</w:t>
      </w:r>
    </w:p>
    <w:p>
      <w:pPr>
        <w:pStyle w:val="Key"/>
        <w:pageBreakBefore w:val="0"/>
        <w:widowControl/>
        <w:ind w:left="198" w:right="113"/>
      </w:pPr>
      <w:r>
        <w:rPr>
          <w:b/>
        </w:rPr>
        <w:t xml:space="preserve">À RETENIR : </w:t>
      </w:r>
      <w:r>
        <w:t>Depuis la QPC, une partie peut contester la disposition législative elle-même par la procédure de l’article 61-1, ce qui réduit l’importance pratique de certaines difficultés liées à la loi-écran.</w:t>
      </w:r>
    </w:p>
    <w:p>
      <w:pPr>
        <w:pStyle w:val="Heading2"/>
        <w:keepNext/>
        <w:keepLines/>
        <w:pageBreakBefore w:val="0"/>
        <w:widowControl/>
      </w:pPr>
      <w:r>
        <w:t>IV - Loi et droit international : contrôle de conventionnalité</w:t>
      </w:r>
    </w:p>
    <w:p>
      <w:pPr>
        <w:pageBreakBefore w:val="0"/>
        <w:widowControl/>
      </w:pPr>
      <w:r>
        <w:t>Article 55 de la Constitution : les traités ou accords régulièrement ratifiés ou approuvés et publiés ont une autorité supérieure à celle des lois, sous les conditions prévues par cet article.</w:t>
      </w:r>
    </w:p>
    <w:p>
      <w:pPr>
        <w:pageBreakBefore w:val="0"/>
        <w:widowControl/>
      </w:pPr>
      <w:r>
        <w:t>Conseil constitutionnel, décision IVG du 15 janvier 1975 : le contrôle de conformité d’une loi à un traité n’est pas le contrôle de constitutionnalité de l’article 61. Le Conseil constitutionnel refuse donc, dans ce cadre, d’être le juge général de la conventionnalité des lois.</w:t>
      </w:r>
    </w:p>
    <w:p>
      <w:pPr>
        <w:pageBreakBefore w:val="0"/>
        <w:widowControl/>
      </w:pPr>
      <w:r>
        <w:t>Cour de cassation, 24 mai 1975, Jacques Vabre : la Cour accepte d’écarter une loi française contraire au traité de Rome, y compris lorsque la loi est postérieure au traité.</w:t>
      </w:r>
    </w:p>
    <w:p>
      <w:pPr>
        <w:pageBreakBefore w:val="0"/>
        <w:widowControl/>
      </w:pPr>
      <w:r>
        <w:t>Conseil d’État, 20 octobre 1989, Nicolo : le juge administratif accepte à son tour de contrôler la compatibilité d’une loi postérieure avec un traité et, en cas de contrariété, d’écarter la loi pour le litige.</w:t>
      </w:r>
    </w:p>
    <w:p>
      <w:pPr>
        <w:pageBreakBefore w:val="0"/>
        <w:widowControl/>
      </w:pPr>
      <w:r>
        <w:t>CJCE, 9 mars 1978, Simmenthal : du point de vue du droit de l’Union, le juge national doit assurer le plein effet du droit de l’Union et laisser inappliquée la disposition nationale contraire.</w:t>
      </w:r>
    </w:p>
    <w:p>
      <w:pPr>
        <w:pageBreakBefore w:val="0"/>
      </w:pPr>
      <w:r/>
      <w:r>
        <w:rPr>
          <w:b/>
        </w:rPr>
        <w:t>Conséquence à mémoriser.</w:t>
      </w:r>
      <w:r>
        <w:t xml:space="preserve"> Dans le contrôle de conventionnalité, le juge écarte la loi incompatible pour trancher le litige ; il ne l’abroge pas. En QPC, le Conseil constitutionnel peut abroger la disposition. Le recours pour excès de pouvoir peut, lui, annuler un acte administratif. Le verbe employé doit correspondre au contrôle exercé.</w:t>
      </w:r>
    </w:p>
    <w:p>
      <w:pPr>
        <w:pStyle w:val="Heading2"/>
        <w:keepNext/>
        <w:keepLines/>
        <w:pageBreakBefore w:val="0"/>
        <w:widowControl/>
      </w:pPr>
      <w:r>
        <w:t>V - Constitution et engagements internationaux</w:t>
      </w:r>
    </w:p>
    <w:p>
      <w:pPr>
        <w:pStyle w:val="Heading3"/>
        <w:keepNext/>
        <w:keepLines/>
        <w:pageBreakBefore w:val="0"/>
        <w:widowControl/>
      </w:pPr>
      <w:r>
        <w:t>A - Dans l’ordre juridique interne français</w:t>
      </w:r>
    </w:p>
    <w:p>
      <w:pPr>
        <w:pageBreakBefore w:val="0"/>
        <w:widowControl/>
      </w:pPr>
      <w:r>
        <w:t>CE, Ass., 30 octobre 1998, Sarran et Levacher ; Cass., Ass. plén., 2 juin 2000, Fraisse : dans l’ordre interne, la supériorité reconnue aux engagements internationaux par l’article 55 ne s’étend pas à la Constitution.</w:t>
      </w:r>
    </w:p>
    <w:p>
      <w:pPr>
        <w:pStyle w:val="Article"/>
        <w:pageBreakBefore w:val="0"/>
        <w:widowControl/>
        <w:ind w:left="255"/>
      </w:pPr>
      <w:r>
        <w:rPr>
          <w:b/>
        </w:rPr>
        <w:t xml:space="preserve">Repère juridique : </w:t>
      </w:r>
      <w:r>
        <w:t>Article 54 : lorsqu’un engagement international contient une clause contraire à la Constitution, la ratification ou l’approbation ne peut intervenir qu’après révision de la Constitution.</w:t>
      </w:r>
    </w:p>
    <w:p>
      <w:pPr>
        <w:pStyle w:val="Heading3"/>
        <w:keepNext/>
        <w:keepLines/>
        <w:pageBreakBefore w:val="0"/>
        <w:widowControl/>
      </w:pPr>
      <w:r>
        <w:t>B - Point de vue des ordres internationaux et européen</w:t>
      </w:r>
    </w:p>
    <w:p>
      <w:pPr>
        <w:pageBreakBefore w:val="0"/>
        <w:widowControl/>
      </w:pPr>
      <w:r>
        <w:t>Le droit de l’Union affirme sa primauté sur les normes nationales, y compris constitutionnelles, dans son propre ordre juridique. Arrêt de référence : CJCE, 17 décembre 1970, Internationale Handelsgesellschaft. En droit français, l’articulation avec la Constitution est traitée par une jurisprudence spécifique et ne se résume pas à une pyramide unique.</w:t>
      </w:r>
    </w:p>
    <w:p>
      <w:pPr>
        <w:pStyle w:val="Correction"/>
        <w:keepNext w:val="0"/>
        <w:pageBreakBefore w:val="0"/>
        <w:widowControl/>
        <w:ind w:left="255" w:right="142"/>
      </w:pPr>
      <w:r>
        <w:rPr>
          <w:b/>
          <w:color w:val="C00000"/>
        </w:rPr>
        <w:t xml:space="preserve">CORRECTION / MISE À JOUR VÉRIFIÉE : </w:t>
      </w:r>
      <w:r>
        <w:t>Le support écrit « Handelgesellschaft » : le nom correct est Internationale Handelsgesellschaft. L’arrêt CEDH Open Door ne fixe pas, à lui seul, une hiérarchie interne entre Convention et Constitution : la Cour contrôle le respect de la Convention par l’État.</w:t>
      </w:r>
    </w:p>
    <w:p>
      <w:pPr>
        <w:pStyle w:val="Heading1"/>
        <w:keepNext/>
        <w:keepLines/>
        <w:pageBreakBefore w:val="0"/>
        <w:widowControl/>
      </w:pPr>
      <w:r>
        <w:t>SYNTHÈSE - CE QU’IL FAUT SAVOIR PAR CŒUR</w:t>
      </w:r>
    </w:p>
    <w:p>
      <w:pPr>
        <w:pStyle w:val="Heading2"/>
        <w:keepNext/>
        <w:keepLines/>
        <w:pageBreakBefore w:val="0"/>
        <w:widowControl/>
      </w:pPr>
      <w:r>
        <w:t>1 - Définitions essentielles</w:t>
      </w:r>
    </w:p>
    <w:p>
      <w:pPr>
        <w:pageBreakBefore w:val="0"/>
        <w:widowControl/>
        <w:spacing w:after="40"/>
      </w:pPr>
      <w:r>
        <w:rPr>
          <w:b/>
          <w:color w:val="1F4E79"/>
        </w:rPr>
        <w:t xml:space="preserve">Droit objectif : </w:t>
      </w:r>
      <w:r>
        <w:t>Ensemble des règles applicables dans une société donnée.</w:t>
      </w:r>
    </w:p>
    <w:p>
      <w:pPr>
        <w:pageBreakBefore w:val="0"/>
        <w:widowControl/>
        <w:spacing w:after="40"/>
      </w:pPr>
      <w:r>
        <w:rPr>
          <w:b/>
          <w:color w:val="1F4E79"/>
        </w:rPr>
        <w:t xml:space="preserve">Droits subjectifs : </w:t>
      </w:r>
      <w:r>
        <w:t>Prérogatives reconnues à une personne par le droit objectif.</w:t>
      </w:r>
    </w:p>
    <w:p>
      <w:pPr>
        <w:pageBreakBefore w:val="0"/>
        <w:widowControl/>
        <w:spacing w:after="40"/>
      </w:pPr>
      <w:r>
        <w:rPr>
          <w:b/>
          <w:color w:val="1F4E79"/>
        </w:rPr>
        <w:t xml:space="preserve">Juridicité : </w:t>
      </w:r>
      <w:r>
        <w:t>Caractère de ce qui appartient à la sphère juridique.</w:t>
      </w:r>
    </w:p>
    <w:p>
      <w:pPr>
        <w:pageBreakBefore w:val="0"/>
        <w:widowControl/>
        <w:spacing w:after="40"/>
      </w:pPr>
      <w:r>
        <w:rPr>
          <w:b/>
          <w:color w:val="1F4E79"/>
        </w:rPr>
        <w:t xml:space="preserve">Qualification juridique : </w:t>
      </w:r>
      <w:r>
        <w:t>Rattachement de faits concrets à une catégorie juridique.</w:t>
      </w:r>
    </w:p>
    <w:p>
      <w:pPr>
        <w:pageBreakBefore w:val="0"/>
        <w:widowControl/>
        <w:spacing w:after="40"/>
      </w:pPr>
      <w:r>
        <w:rPr>
          <w:b/>
          <w:color w:val="1F4E79"/>
        </w:rPr>
        <w:t xml:space="preserve">Syllogisme : </w:t>
      </w:r>
      <w:r>
        <w:t>Règle de droit + application aux faits + conclusion.</w:t>
      </w:r>
    </w:p>
    <w:p>
      <w:pPr>
        <w:pageBreakBefore w:val="0"/>
        <w:widowControl/>
        <w:spacing w:after="40"/>
      </w:pPr>
      <w:r>
        <w:rPr>
          <w:b/>
          <w:color w:val="1F4E79"/>
        </w:rPr>
        <w:t xml:space="preserve">Juridiction : </w:t>
      </w:r>
      <w:r>
        <w:t>Organe chargé de trancher un litige en disant le droit.</w:t>
      </w:r>
    </w:p>
    <w:p>
      <w:pPr>
        <w:pageBreakBefore w:val="0"/>
        <w:widowControl/>
        <w:spacing w:after="40"/>
      </w:pPr>
      <w:r>
        <w:rPr>
          <w:b/>
          <w:color w:val="1F4E79"/>
        </w:rPr>
        <w:t xml:space="preserve">Compétence matérielle : </w:t>
      </w:r>
      <w:r>
        <w:t>Compétence déterminée par la nature du litige.</w:t>
      </w:r>
    </w:p>
    <w:p>
      <w:pPr>
        <w:pageBreakBefore w:val="0"/>
        <w:widowControl/>
        <w:spacing w:after="40"/>
      </w:pPr>
      <w:r>
        <w:rPr>
          <w:b/>
          <w:color w:val="1F4E79"/>
        </w:rPr>
        <w:t xml:space="preserve">Compétence territoriale : </w:t>
      </w:r>
      <w:r>
        <w:t>Compétence déterminée par le lieu.</w:t>
      </w:r>
    </w:p>
    <w:p>
      <w:pPr>
        <w:pageBreakBefore w:val="0"/>
        <w:widowControl/>
        <w:spacing w:after="40"/>
      </w:pPr>
      <w:r>
        <w:rPr>
          <w:b/>
          <w:color w:val="1F4E79"/>
        </w:rPr>
        <w:t xml:space="preserve">Appel : </w:t>
      </w:r>
      <w:r>
        <w:t>Voie de recours permettant un nouvel examen en fait et en droit.</w:t>
      </w:r>
    </w:p>
    <w:p>
      <w:pPr>
        <w:pageBreakBefore w:val="0"/>
        <w:widowControl/>
        <w:spacing w:after="40"/>
      </w:pPr>
      <w:r>
        <w:rPr>
          <w:b/>
          <w:color w:val="1F4E79"/>
        </w:rPr>
        <w:t xml:space="preserve">Pourvoi en cassation : </w:t>
      </w:r>
      <w:r>
        <w:t>Recours visant à contrôler la correcte application du droit, sans troisième examen complet des faits.</w:t>
      </w:r>
    </w:p>
    <w:p>
      <w:pPr>
        <w:pageBreakBefore w:val="0"/>
        <w:widowControl/>
        <w:spacing w:after="40"/>
      </w:pPr>
      <w:r>
        <w:rPr>
          <w:b/>
          <w:color w:val="1F4E79"/>
        </w:rPr>
        <w:t xml:space="preserve">Règle impérative : </w:t>
      </w:r>
      <w:r>
        <w:t>Règle à laquelle les parties ne peuvent déroger.</w:t>
      </w:r>
    </w:p>
    <w:p>
      <w:pPr>
        <w:pageBreakBefore w:val="0"/>
        <w:widowControl/>
        <w:spacing w:after="40"/>
      </w:pPr>
      <w:r>
        <w:rPr>
          <w:b/>
          <w:color w:val="1F4E79"/>
        </w:rPr>
        <w:t xml:space="preserve">Règle supplétive : </w:t>
      </w:r>
      <w:r>
        <w:t>Règle qui s’applique à défaut de volonté contraire.</w:t>
      </w:r>
    </w:p>
    <w:p>
      <w:pPr>
        <w:pageBreakBefore w:val="0"/>
        <w:widowControl/>
        <w:spacing w:after="40"/>
      </w:pPr>
      <w:r>
        <w:rPr>
          <w:b/>
          <w:color w:val="1F4E79"/>
        </w:rPr>
        <w:t xml:space="preserve">Jurisprudence : </w:t>
      </w:r>
      <w:r>
        <w:t>Ensemble des décisions de justice et solutions d’interprétation dégagées par les juridictions.</w:t>
      </w:r>
    </w:p>
    <w:p>
      <w:pPr>
        <w:pageBreakBefore w:val="0"/>
        <w:widowControl/>
        <w:spacing w:after="40"/>
      </w:pPr>
      <w:r>
        <w:rPr>
          <w:b/>
          <w:color w:val="1F4E79"/>
        </w:rPr>
        <w:t xml:space="preserve">Coutume : </w:t>
      </w:r>
      <w:r>
        <w:t>Règle non écrite issue d’une pratique répétée tenue pour obligatoire.</w:t>
      </w:r>
    </w:p>
    <w:p>
      <w:pPr>
        <w:pageBreakBefore w:val="0"/>
        <w:widowControl/>
        <w:spacing w:after="40"/>
      </w:pPr>
      <w:r>
        <w:rPr>
          <w:b/>
          <w:color w:val="1F4E79"/>
        </w:rPr>
        <w:t xml:space="preserve">Doctrine : </w:t>
      </w:r>
      <w:r>
        <w:t>Travaux et opinions des auteurs et praticiens du droit.</w:t>
      </w:r>
    </w:p>
    <w:p>
      <w:pPr>
        <w:pageBreakBefore w:val="0"/>
        <w:widowControl/>
        <w:spacing w:after="40"/>
      </w:pPr>
      <w:r>
        <w:rPr>
          <w:b/>
          <w:color w:val="1F4E79"/>
        </w:rPr>
        <w:t xml:space="preserve">Contrôle de constitutionnalité : </w:t>
      </w:r>
      <w:r>
        <w:t>Vérification de la conformité d’une norme à la Constitution.</w:t>
      </w:r>
    </w:p>
    <w:p>
      <w:pPr>
        <w:pageBreakBefore w:val="0"/>
        <w:widowControl/>
        <w:spacing w:after="40"/>
      </w:pPr>
      <w:r>
        <w:rPr>
          <w:b/>
          <w:color w:val="1F4E79"/>
        </w:rPr>
        <w:t xml:space="preserve">Contrôle de conventionnalité : </w:t>
      </w:r>
      <w:r>
        <w:t>Vérification de la compatibilité d’une norme interne avec un engagement international applicable.</w:t>
      </w:r>
    </w:p>
    <w:p>
      <w:pPr>
        <w:pageBreakBefore w:val="0"/>
        <w:widowControl/>
        <w:spacing w:after="40"/>
      </w:pPr>
      <w:r>
        <w:rPr>
          <w:b/>
          <w:color w:val="1F4E79"/>
        </w:rPr>
        <w:t xml:space="preserve">QPC : </w:t>
      </w:r>
      <w:r>
        <w:t>Procédure permettant à un justiciable de contester une disposition législative portant atteinte aux droits et libertés garantis par la Constitution.</w:t>
      </w:r>
    </w:p>
    <w:p>
      <w:pPr>
        <w:pageBreakBefore w:val="0"/>
        <w:widowControl/>
        <w:spacing w:after="40"/>
      </w:pPr>
      <w:r>
        <w:rPr>
          <w:b/>
          <w:color w:val="1F4E79"/>
        </w:rPr>
        <w:t xml:space="preserve">Non-rétroactivité : </w:t>
      </w:r>
      <w:r>
        <w:t>Principe selon lequel la loi nouvelle ne remet pas en cause, en principe, les situations définitivement constituées sous l’empire de la loi ancienne.</w:t>
      </w:r>
    </w:p>
    <w:p>
      <w:pPr>
        <w:pageBreakBefore w:val="0"/>
        <w:widowControl/>
        <w:spacing w:after="40"/>
      </w:pPr>
      <w:r>
        <w:rPr>
          <w:b/>
          <w:color w:val="1F4E79"/>
        </w:rPr>
        <w:t xml:space="preserve">Effet immédiat : </w:t>
      </w:r>
      <w:r>
        <w:t>Application de la loi nouvelle aux effets futurs des situations qu’elle régit, selon les règles de conflit dans le temps.</w:t>
      </w:r>
    </w:p>
    <w:p>
      <w:pPr>
        <w:pStyle w:val="Heading2"/>
        <w:keepNext/>
        <w:keepLines/>
        <w:pageBreakBefore w:val="0"/>
        <w:widowControl/>
      </w:pPr>
      <w:r>
        <w:t>2 - Jurisprudences et dates repères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7"/>
        <w:gridCol w:w="3437"/>
        <w:gridCol w:w="3437"/>
      </w:tblGrid>
      <w:tr>
        <w:trPr>
          <w:cantSplit/>
          <w:tblHeader/>
        </w:trPr>
        <w:tc>
          <w:tcPr>
            <w:tcW w:type="dxa" w:w="1474"/>
            <w:vAlign w:val="center"/>
            <w:shd w:fill="EAF2F8"/>
          </w:tcPr>
          <w:p>
            <w:pPr>
              <w:spacing w:after="80" w:before="80"/>
            </w:pPr>
            <w:r/>
            <w:r>
              <w:rPr>
                <w:rFonts w:ascii="Aptos" w:hAnsi="Aptos"/>
                <w:b/>
                <w:color w:val="1F4E79"/>
                <w:sz w:val="18"/>
              </w:rPr>
              <w:t>Date</w:t>
            </w:r>
          </w:p>
        </w:tc>
        <w:tc>
          <w:tcPr>
            <w:tcW w:type="dxa" w:w="2948"/>
            <w:vAlign w:val="center"/>
            <w:shd w:fill="EAF2F8"/>
          </w:tcPr>
          <w:p>
            <w:pPr>
              <w:spacing w:after="80" w:before="80"/>
            </w:pPr>
            <w:r/>
            <w:r>
              <w:rPr>
                <w:rFonts w:ascii="Aptos" w:hAnsi="Aptos"/>
                <w:b/>
                <w:color w:val="1F4E79"/>
                <w:sz w:val="18"/>
              </w:rPr>
              <w:t>Décision / texte</w:t>
            </w:r>
          </w:p>
        </w:tc>
        <w:tc>
          <w:tcPr>
            <w:tcW w:type="dxa" w:w="4649"/>
            <w:vAlign w:val="center"/>
            <w:shd w:fill="EAF2F8"/>
          </w:tcPr>
          <w:p>
            <w:pPr>
              <w:spacing w:after="80" w:before="80"/>
            </w:pPr>
            <w:r/>
            <w:r>
              <w:rPr>
                <w:rFonts w:ascii="Aptos" w:hAnsi="Aptos"/>
                <w:b/>
                <w:color w:val="1F4E79"/>
                <w:sz w:val="18"/>
              </w:rPr>
              <w:t>Apport</w:t>
            </w:r>
          </w:p>
        </w:tc>
      </w:tr>
      <w:tr>
        <w:trPr>
          <w:cantSplit/>
        </w:trPr>
        <w:tc>
          <w:tcPr>
            <w:tcW w:type="dxa" w:w="1474"/>
            <w:vAlign w:val="center"/>
          </w:tcPr>
          <w:p>
            <w:pPr>
              <w:spacing w:after="80" w:before="80"/>
            </w:pPr>
            <w:r/>
            <w:r>
              <w:rPr>
                <w:rFonts w:ascii="Aptos" w:hAnsi="Aptos"/>
                <w:b w:val="0"/>
                <w:sz w:val="18"/>
              </w:rPr>
              <w:t>8 févr. 1873</w:t>
            </w:r>
          </w:p>
        </w:tc>
        <w:tc>
          <w:tcPr>
            <w:tcW w:type="dxa" w:w="2948"/>
            <w:vAlign w:val="center"/>
          </w:tcPr>
          <w:p>
            <w:pPr>
              <w:spacing w:after="80" w:before="80"/>
            </w:pPr>
            <w:r/>
            <w:r>
              <w:rPr>
                <w:rFonts w:ascii="Aptos" w:hAnsi="Aptos"/>
                <w:b w:val="0"/>
                <w:sz w:val="18"/>
              </w:rPr>
              <w:t>TC, Blanco</w:t>
            </w:r>
          </w:p>
        </w:tc>
        <w:tc>
          <w:tcPr>
            <w:tcW w:type="dxa" w:w="4649"/>
            <w:vAlign w:val="center"/>
          </w:tcPr>
          <w:p>
            <w:pPr>
              <w:spacing w:after="80" w:before="80"/>
            </w:pPr>
            <w:r/>
            <w:r>
              <w:rPr>
                <w:rFonts w:ascii="Aptos" w:hAnsi="Aptos"/>
                <w:b w:val="0"/>
                <w:sz w:val="18"/>
              </w:rPr>
              <w:t>Responsabilité de l’État / compétence administrative - repère fondateur.</w:t>
            </w:r>
          </w:p>
        </w:tc>
      </w:tr>
      <w:tr>
        <w:trPr>
          <w:cantSplit/>
        </w:trPr>
        <w:tc>
          <w:tcPr>
            <w:tcW w:type="dxa" w:w="1474"/>
            <w:vAlign w:val="center"/>
          </w:tcPr>
          <w:p>
            <w:pPr>
              <w:spacing w:after="80" w:before="80"/>
            </w:pPr>
            <w:r/>
            <w:r>
              <w:rPr>
                <w:rFonts w:ascii="Aptos" w:hAnsi="Aptos"/>
                <w:b w:val="0"/>
                <w:sz w:val="18"/>
              </w:rPr>
              <w:t>6 nov. 1936</w:t>
            </w:r>
          </w:p>
        </w:tc>
        <w:tc>
          <w:tcPr>
            <w:tcW w:type="dxa" w:w="2948"/>
            <w:vAlign w:val="center"/>
          </w:tcPr>
          <w:p>
            <w:pPr>
              <w:spacing w:after="80" w:before="80"/>
            </w:pPr>
            <w:r/>
            <w:r>
              <w:rPr>
                <w:rFonts w:ascii="Aptos" w:hAnsi="Aptos"/>
                <w:b w:val="0"/>
                <w:sz w:val="18"/>
              </w:rPr>
              <w:t>CE, Arrighi</w:t>
            </w:r>
          </w:p>
        </w:tc>
        <w:tc>
          <w:tcPr>
            <w:tcW w:type="dxa" w:w="4649"/>
            <w:vAlign w:val="center"/>
          </w:tcPr>
          <w:p>
            <w:pPr>
              <w:spacing w:after="80" w:before="80"/>
            </w:pPr>
            <w:r/>
            <w:r>
              <w:rPr>
                <w:rFonts w:ascii="Aptos" w:hAnsi="Aptos"/>
                <w:b w:val="0"/>
                <w:sz w:val="18"/>
              </w:rPr>
              <w:t>Théorie de la loi-écran.</w:t>
            </w:r>
          </w:p>
        </w:tc>
      </w:tr>
      <w:tr>
        <w:trPr>
          <w:cantSplit/>
        </w:trPr>
        <w:tc>
          <w:tcPr>
            <w:tcW w:type="dxa" w:w="1474"/>
            <w:vAlign w:val="center"/>
          </w:tcPr>
          <w:p>
            <w:pPr>
              <w:spacing w:after="80" w:before="80"/>
            </w:pPr>
            <w:r/>
            <w:r>
              <w:rPr>
                <w:rFonts w:ascii="Aptos" w:hAnsi="Aptos"/>
                <w:b w:val="0"/>
                <w:sz w:val="18"/>
              </w:rPr>
              <w:t>15 janv. 1975</w:t>
            </w:r>
          </w:p>
        </w:tc>
        <w:tc>
          <w:tcPr>
            <w:tcW w:type="dxa" w:w="2948"/>
            <w:vAlign w:val="center"/>
          </w:tcPr>
          <w:p>
            <w:pPr>
              <w:spacing w:after="80" w:before="80"/>
            </w:pPr>
            <w:r/>
            <w:r>
              <w:rPr>
                <w:rFonts w:ascii="Aptos" w:hAnsi="Aptos"/>
                <w:b w:val="0"/>
                <w:sz w:val="18"/>
              </w:rPr>
              <w:t>Conseil constitutionnel, IVG</w:t>
            </w:r>
          </w:p>
        </w:tc>
        <w:tc>
          <w:tcPr>
            <w:tcW w:type="dxa" w:w="4649"/>
            <w:vAlign w:val="center"/>
          </w:tcPr>
          <w:p>
            <w:pPr>
              <w:spacing w:after="80" w:before="80"/>
            </w:pPr>
            <w:r/>
            <w:r>
              <w:rPr>
                <w:rFonts w:ascii="Aptos" w:hAnsi="Aptos"/>
                <w:b w:val="0"/>
                <w:sz w:val="18"/>
              </w:rPr>
              <w:t>Le Conseil ne contrôle pas la conventionnalité des lois dans le cadre de l’article 61.</w:t>
            </w:r>
          </w:p>
        </w:tc>
      </w:tr>
      <w:tr>
        <w:trPr>
          <w:cantSplit/>
        </w:trPr>
        <w:tc>
          <w:tcPr>
            <w:tcW w:type="dxa" w:w="1474"/>
            <w:vAlign w:val="center"/>
          </w:tcPr>
          <w:p>
            <w:pPr>
              <w:spacing w:after="80" w:before="80"/>
            </w:pPr>
            <w:r/>
            <w:r>
              <w:rPr>
                <w:rFonts w:ascii="Aptos" w:hAnsi="Aptos"/>
                <w:b w:val="0"/>
                <w:sz w:val="18"/>
              </w:rPr>
              <w:t>24 mai 1975</w:t>
            </w:r>
          </w:p>
        </w:tc>
        <w:tc>
          <w:tcPr>
            <w:tcW w:type="dxa" w:w="2948"/>
            <w:vAlign w:val="center"/>
          </w:tcPr>
          <w:p>
            <w:pPr>
              <w:spacing w:after="80" w:before="80"/>
            </w:pPr>
            <w:r/>
            <w:r>
              <w:rPr>
                <w:rFonts w:ascii="Aptos" w:hAnsi="Aptos"/>
                <w:b w:val="0"/>
                <w:sz w:val="18"/>
              </w:rPr>
              <w:t>Cass., Jacques Vabre</w:t>
            </w:r>
          </w:p>
        </w:tc>
        <w:tc>
          <w:tcPr>
            <w:tcW w:type="dxa" w:w="4649"/>
            <w:vAlign w:val="center"/>
          </w:tcPr>
          <w:p>
            <w:pPr>
              <w:spacing w:after="80" w:before="80"/>
            </w:pPr>
            <w:r/>
            <w:r>
              <w:rPr>
                <w:rFonts w:ascii="Aptos" w:hAnsi="Aptos"/>
                <w:b w:val="0"/>
                <w:sz w:val="18"/>
              </w:rPr>
              <w:t>Primauté du traité sur une loi postérieure dans le contrôle judiciaire.</w:t>
            </w:r>
          </w:p>
        </w:tc>
      </w:tr>
      <w:tr>
        <w:trPr>
          <w:cantSplit/>
        </w:trPr>
        <w:tc>
          <w:tcPr>
            <w:tcW w:type="dxa" w:w="1474"/>
            <w:vAlign w:val="center"/>
          </w:tcPr>
          <w:p>
            <w:pPr>
              <w:spacing w:after="80" w:before="80"/>
            </w:pPr>
            <w:r/>
            <w:r>
              <w:rPr>
                <w:rFonts w:ascii="Aptos" w:hAnsi="Aptos"/>
                <w:b w:val="0"/>
                <w:sz w:val="18"/>
              </w:rPr>
              <w:t>9 mars 1978</w:t>
            </w:r>
          </w:p>
        </w:tc>
        <w:tc>
          <w:tcPr>
            <w:tcW w:type="dxa" w:w="2948"/>
            <w:vAlign w:val="center"/>
          </w:tcPr>
          <w:p>
            <w:pPr>
              <w:spacing w:after="80" w:before="80"/>
            </w:pPr>
            <w:r/>
            <w:r>
              <w:rPr>
                <w:rFonts w:ascii="Aptos" w:hAnsi="Aptos"/>
                <w:b w:val="0"/>
                <w:sz w:val="18"/>
              </w:rPr>
              <w:t>CJCE, Simmenthal</w:t>
            </w:r>
          </w:p>
        </w:tc>
        <w:tc>
          <w:tcPr>
            <w:tcW w:type="dxa" w:w="4649"/>
            <w:vAlign w:val="center"/>
          </w:tcPr>
          <w:p>
            <w:pPr>
              <w:spacing w:after="80" w:before="80"/>
            </w:pPr>
            <w:r/>
            <w:r>
              <w:rPr>
                <w:rFonts w:ascii="Aptos" w:hAnsi="Aptos"/>
                <w:b w:val="0"/>
                <w:sz w:val="18"/>
              </w:rPr>
              <w:t>Le juge national doit assurer le plein effet du droit communautaire/UE.</w:t>
            </w:r>
          </w:p>
        </w:tc>
      </w:tr>
      <w:tr>
        <w:trPr>
          <w:cantSplit/>
        </w:trPr>
        <w:tc>
          <w:tcPr>
            <w:tcW w:type="dxa" w:w="1474"/>
            <w:vAlign w:val="center"/>
          </w:tcPr>
          <w:p>
            <w:pPr>
              <w:spacing w:after="80" w:before="80"/>
            </w:pPr>
            <w:r/>
            <w:r>
              <w:rPr>
                <w:rFonts w:ascii="Aptos" w:hAnsi="Aptos"/>
                <w:b w:val="0"/>
                <w:sz w:val="18"/>
              </w:rPr>
              <w:t>20 oct. 1989</w:t>
            </w:r>
          </w:p>
        </w:tc>
        <w:tc>
          <w:tcPr>
            <w:tcW w:type="dxa" w:w="2948"/>
            <w:vAlign w:val="center"/>
          </w:tcPr>
          <w:p>
            <w:pPr>
              <w:spacing w:after="80" w:before="80"/>
            </w:pPr>
            <w:r/>
            <w:r>
              <w:rPr>
                <w:rFonts w:ascii="Aptos" w:hAnsi="Aptos"/>
                <w:b w:val="0"/>
                <w:sz w:val="18"/>
              </w:rPr>
              <w:t>CE, Nicolo</w:t>
            </w:r>
          </w:p>
        </w:tc>
        <w:tc>
          <w:tcPr>
            <w:tcW w:type="dxa" w:w="4649"/>
            <w:vAlign w:val="center"/>
          </w:tcPr>
          <w:p>
            <w:pPr>
              <w:spacing w:after="80" w:before="80"/>
            </w:pPr>
            <w:r/>
            <w:r>
              <w:rPr>
                <w:rFonts w:ascii="Aptos" w:hAnsi="Aptos"/>
                <w:b w:val="0"/>
                <w:sz w:val="18"/>
              </w:rPr>
              <w:t>Contrôle de conventionnalité d’une loi postérieure par le juge administratif.</w:t>
            </w:r>
          </w:p>
        </w:tc>
      </w:tr>
      <w:tr>
        <w:trPr>
          <w:cantSplit/>
        </w:trPr>
        <w:tc>
          <w:tcPr>
            <w:tcW w:type="dxa" w:w="1474"/>
            <w:vAlign w:val="center"/>
          </w:tcPr>
          <w:p>
            <w:pPr>
              <w:spacing w:after="80" w:before="80"/>
            </w:pPr>
            <w:r/>
            <w:r>
              <w:rPr>
                <w:rFonts w:ascii="Aptos" w:hAnsi="Aptos"/>
                <w:b w:val="0"/>
                <w:sz w:val="18"/>
              </w:rPr>
              <w:t>17 mai 1991</w:t>
            </w:r>
          </w:p>
        </w:tc>
        <w:tc>
          <w:tcPr>
            <w:tcW w:type="dxa" w:w="2948"/>
            <w:vAlign w:val="center"/>
          </w:tcPr>
          <w:p>
            <w:pPr>
              <w:spacing w:after="80" w:before="80"/>
            </w:pPr>
            <w:r/>
            <w:r>
              <w:rPr>
                <w:rFonts w:ascii="Aptos" w:hAnsi="Aptos"/>
                <w:b w:val="0"/>
                <w:sz w:val="18"/>
              </w:rPr>
              <w:t>CE, Quintin</w:t>
            </w:r>
          </w:p>
        </w:tc>
        <w:tc>
          <w:tcPr>
            <w:tcW w:type="dxa" w:w="4649"/>
            <w:vAlign w:val="center"/>
          </w:tcPr>
          <w:p>
            <w:pPr>
              <w:spacing w:after="80" w:before="80"/>
            </w:pPr>
            <w:r/>
            <w:r>
              <w:rPr>
                <w:rFonts w:ascii="Aptos" w:hAnsi="Aptos"/>
                <w:b w:val="0"/>
                <w:sz w:val="18"/>
              </w:rPr>
              <w:t>Écran législatif transparent dans certaines hypothèses.</w:t>
            </w:r>
          </w:p>
        </w:tc>
      </w:tr>
      <w:tr>
        <w:trPr>
          <w:cantSplit/>
        </w:trPr>
        <w:tc>
          <w:tcPr>
            <w:tcW w:type="dxa" w:w="1474"/>
            <w:vAlign w:val="center"/>
          </w:tcPr>
          <w:p>
            <w:pPr>
              <w:spacing w:after="80" w:before="80"/>
            </w:pPr>
            <w:r/>
            <w:r>
              <w:rPr>
                <w:rFonts w:ascii="Aptos" w:hAnsi="Aptos"/>
                <w:b w:val="0"/>
                <w:sz w:val="18"/>
              </w:rPr>
              <w:t>30 oct. 1998</w:t>
            </w:r>
          </w:p>
        </w:tc>
        <w:tc>
          <w:tcPr>
            <w:tcW w:type="dxa" w:w="2948"/>
            <w:vAlign w:val="center"/>
          </w:tcPr>
          <w:p>
            <w:pPr>
              <w:spacing w:after="80" w:before="80"/>
            </w:pPr>
            <w:r/>
            <w:r>
              <w:rPr>
                <w:rFonts w:ascii="Aptos" w:hAnsi="Aptos"/>
                <w:b w:val="0"/>
                <w:sz w:val="18"/>
              </w:rPr>
              <w:t>CE, Sarran</w:t>
            </w:r>
          </w:p>
        </w:tc>
        <w:tc>
          <w:tcPr>
            <w:tcW w:type="dxa" w:w="4649"/>
            <w:vAlign w:val="center"/>
          </w:tcPr>
          <w:p>
            <w:pPr>
              <w:spacing w:after="80" w:before="80"/>
            </w:pPr>
            <w:r/>
            <w:r>
              <w:rPr>
                <w:rFonts w:ascii="Aptos" w:hAnsi="Aptos"/>
                <w:b w:val="0"/>
                <w:sz w:val="18"/>
              </w:rPr>
              <w:t>Primauté de la Constitution dans l’ordre interne sur les engagements internationaux.</w:t>
            </w:r>
          </w:p>
        </w:tc>
      </w:tr>
      <w:tr>
        <w:trPr>
          <w:cantSplit/>
        </w:trPr>
        <w:tc>
          <w:tcPr>
            <w:tcW w:type="dxa" w:w="1474"/>
            <w:vAlign w:val="center"/>
          </w:tcPr>
          <w:p>
            <w:pPr>
              <w:spacing w:after="80" w:before="80"/>
            </w:pPr>
            <w:r/>
            <w:r>
              <w:rPr>
                <w:rFonts w:ascii="Aptos" w:hAnsi="Aptos"/>
                <w:b w:val="0"/>
                <w:sz w:val="18"/>
              </w:rPr>
              <w:t>2 juin 2000</w:t>
            </w:r>
          </w:p>
        </w:tc>
        <w:tc>
          <w:tcPr>
            <w:tcW w:type="dxa" w:w="2948"/>
            <w:vAlign w:val="center"/>
          </w:tcPr>
          <w:p>
            <w:pPr>
              <w:spacing w:after="80" w:before="80"/>
            </w:pPr>
            <w:r/>
            <w:r>
              <w:rPr>
                <w:rFonts w:ascii="Aptos" w:hAnsi="Aptos"/>
                <w:b w:val="0"/>
                <w:sz w:val="18"/>
              </w:rPr>
              <w:t>Cass., Fraisse</w:t>
            </w:r>
          </w:p>
        </w:tc>
        <w:tc>
          <w:tcPr>
            <w:tcW w:type="dxa" w:w="4649"/>
            <w:vAlign w:val="center"/>
          </w:tcPr>
          <w:p>
            <w:pPr>
              <w:spacing w:after="80" w:before="80"/>
            </w:pPr>
            <w:r/>
            <w:r>
              <w:rPr>
                <w:rFonts w:ascii="Aptos" w:hAnsi="Aptos"/>
                <w:b w:val="0"/>
                <w:sz w:val="18"/>
              </w:rPr>
              <w:t>Même principe dans l’ordre judiciaire.</w:t>
            </w:r>
          </w:p>
        </w:tc>
      </w:tr>
      <w:tr>
        <w:trPr>
          <w:cantSplit/>
        </w:trPr>
        <w:tc>
          <w:tcPr>
            <w:tcW w:type="dxa" w:w="1474"/>
            <w:vAlign w:val="center"/>
          </w:tcPr>
          <w:p>
            <w:pPr>
              <w:spacing w:after="80" w:before="80"/>
            </w:pPr>
            <w:r/>
            <w:r>
              <w:rPr>
                <w:rFonts w:ascii="Aptos" w:hAnsi="Aptos"/>
                <w:b w:val="0"/>
                <w:sz w:val="18"/>
              </w:rPr>
              <w:t>23 juill. 2008</w:t>
            </w:r>
          </w:p>
        </w:tc>
        <w:tc>
          <w:tcPr>
            <w:tcW w:type="dxa" w:w="2948"/>
            <w:vAlign w:val="center"/>
          </w:tcPr>
          <w:p>
            <w:pPr>
              <w:spacing w:after="80" w:before="80"/>
            </w:pPr>
            <w:r/>
            <w:r>
              <w:rPr>
                <w:rFonts w:ascii="Aptos" w:hAnsi="Aptos"/>
                <w:b w:val="0"/>
                <w:sz w:val="18"/>
              </w:rPr>
              <w:t>Révision constitutionnelle</w:t>
            </w:r>
          </w:p>
        </w:tc>
        <w:tc>
          <w:tcPr>
            <w:tcW w:type="dxa" w:w="4649"/>
            <w:vAlign w:val="center"/>
          </w:tcPr>
          <w:p>
            <w:pPr>
              <w:spacing w:after="80" w:before="80"/>
            </w:pPr>
            <w:r/>
            <w:r>
              <w:rPr>
                <w:rFonts w:ascii="Aptos" w:hAnsi="Aptos"/>
                <w:b w:val="0"/>
                <w:sz w:val="18"/>
              </w:rPr>
              <w:t>Création de la QPC.</w:t>
            </w:r>
          </w:p>
        </w:tc>
      </w:tr>
      <w:tr>
        <w:trPr>
          <w:cantSplit/>
        </w:trPr>
        <w:tc>
          <w:tcPr>
            <w:tcW w:type="dxa" w:w="1474"/>
            <w:vAlign w:val="center"/>
          </w:tcPr>
          <w:p>
            <w:pPr>
              <w:spacing w:after="80" w:before="80"/>
            </w:pPr>
            <w:r/>
            <w:r>
              <w:rPr>
                <w:rFonts w:ascii="Aptos" w:hAnsi="Aptos"/>
                <w:b w:val="0"/>
                <w:sz w:val="18"/>
              </w:rPr>
              <w:t>1er mars 2010</w:t>
            </w:r>
          </w:p>
        </w:tc>
        <w:tc>
          <w:tcPr>
            <w:tcW w:type="dxa" w:w="2948"/>
            <w:vAlign w:val="center"/>
          </w:tcPr>
          <w:p>
            <w:pPr>
              <w:spacing w:after="80" w:before="80"/>
            </w:pPr>
            <w:r/>
            <w:r>
              <w:rPr>
                <w:rFonts w:ascii="Aptos" w:hAnsi="Aptos"/>
                <w:b w:val="0"/>
                <w:sz w:val="18"/>
              </w:rPr>
              <w:t>Entrée en vigueur QPC</w:t>
            </w:r>
          </w:p>
        </w:tc>
        <w:tc>
          <w:tcPr>
            <w:tcW w:type="dxa" w:w="4649"/>
            <w:vAlign w:val="center"/>
          </w:tcPr>
          <w:p>
            <w:pPr>
              <w:spacing w:after="80" w:before="80"/>
            </w:pPr>
            <w:r/>
            <w:r>
              <w:rPr>
                <w:rFonts w:ascii="Aptos" w:hAnsi="Aptos"/>
                <w:b w:val="0"/>
                <w:sz w:val="18"/>
              </w:rPr>
              <w:t>Début du contrôle a posteriori accessible au justiciable.</w:t>
            </w:r>
          </w:p>
        </w:tc>
      </w:tr>
    </w:tbl>
    <w:p>
      <w:pPr>
        <w:pStyle w:val="Heading2"/>
        <w:keepNext/>
        <w:keepLines/>
        <w:pageBreakBefore w:val="0"/>
        <w:widowControl/>
      </w:pPr>
      <w:r>
        <w:t>3 - Articles à repérer dans les codes / la Constitution</w:t>
      </w:r>
    </w:p>
    <w:p>
      <w:pPr>
        <w:pageBreakBefore w:val="0"/>
        <w:widowControl/>
        <w:ind w:left="255" w:hanging="142"/>
      </w:pPr>
      <w:r>
        <w:t>• Code civil : art. 1er (entrée en vigueur), art. 2 (non-rétroactivité), art. 4 (obligation de juger), art. 5 (interdiction des arrêts de règlement), art. 1194 (suite du contrat : équité, usage, loi).</w:t>
      </w:r>
    </w:p>
    <w:p>
      <w:pPr>
        <w:pageBreakBefore w:val="0"/>
        <w:widowControl/>
        <w:ind w:left="255" w:hanging="142"/>
      </w:pPr>
      <w:r>
        <w:t>• Code pénal : art. 112-1 (non-rétroactivité et loi pénale plus douce), 112-4 (fin de l’exécution de la peine en cas de dépénalisation), 111-5 (interprétation et appréciation de la légalité d’actes administratifs par le juge pénal).</w:t>
      </w:r>
    </w:p>
    <w:p>
      <w:pPr>
        <w:pageBreakBefore w:val="0"/>
        <w:widowControl/>
        <w:ind w:left="255" w:hanging="142"/>
      </w:pPr>
      <w:r>
        <w:t>• Constitution : art. 34 (domaine de la loi), 37 (domaine réglementaire), 38 (ordonnances), 54 et 55 (engagements internationaux), 61 (contrôle a priori), 61-1 (QPC), 62 (effets des décisions du Conseil constitutionnel).</w:t>
      </w:r>
    </w:p>
    <w:p>
      <w:pPr>
        <w:pageBreakBefore w:val="0"/>
        <w:widowControl/>
        <w:ind w:left="255" w:hanging="142"/>
      </w:pPr>
      <w:r>
        <w:t>• TFUE : art. 288 (règlement, directive, décision, recommandations et avis).</w:t>
      </w:r>
    </w:p>
    <w:p>
      <w:pPr>
        <w:pStyle w:val="Heading2"/>
        <w:keepNext/>
        <w:keepLines/>
        <w:pageBreakBefore w:val="0"/>
        <w:widowControl/>
      </w:pPr>
      <w:r>
        <w:t>4 - Méthode express pour un cas pratique</w:t>
      </w:r>
    </w:p>
    <w:p>
      <w:pPr>
        <w:pageBreakBefore w:val="0"/>
        <w:widowControl/>
        <w:ind w:left="255" w:hanging="198"/>
      </w:pPr>
      <w:r>
        <w:rPr>
          <w:b/>
        </w:rPr>
        <w:t xml:space="preserve">1. </w:t>
      </w:r>
      <w:r>
        <w:t>Qualifier juridiquement les faits et éliminer les informations inutiles.</w:t>
      </w:r>
    </w:p>
    <w:p>
      <w:pPr>
        <w:pageBreakBefore w:val="0"/>
        <w:widowControl/>
        <w:ind w:left="255" w:hanging="198"/>
      </w:pPr>
      <w:r>
        <w:rPr>
          <w:b/>
        </w:rPr>
        <w:t xml:space="preserve">2. </w:t>
      </w:r>
      <w:r>
        <w:t>Formuler un problème de droit général et impersonnel.</w:t>
      </w:r>
    </w:p>
    <w:p>
      <w:pPr>
        <w:pageBreakBefore w:val="0"/>
        <w:widowControl/>
        <w:ind w:left="255" w:hanging="198"/>
      </w:pPr>
      <w:r>
        <w:rPr>
          <w:b/>
        </w:rPr>
        <w:t xml:space="preserve">3. </w:t>
      </w:r>
      <w:r>
        <w:t>Identifier la règle applicable, sa source et ses conditions.</w:t>
      </w:r>
    </w:p>
    <w:p>
      <w:pPr>
        <w:pageBreakBefore w:val="0"/>
        <w:widowControl/>
        <w:ind w:left="255" w:hanging="198"/>
      </w:pPr>
      <w:r>
        <w:rPr>
          <w:b/>
        </w:rPr>
        <w:t xml:space="preserve">4. </w:t>
      </w:r>
      <w:r>
        <w:t>Appliquer chacune des conditions aux faits : « En l’espèce… »</w:t>
      </w:r>
    </w:p>
    <w:p>
      <w:pPr>
        <w:pageBreakBefore w:val="0"/>
        <w:widowControl/>
        <w:ind w:left="255" w:hanging="198"/>
      </w:pPr>
      <w:r>
        <w:rPr>
          <w:b/>
        </w:rPr>
        <w:t xml:space="preserve">5. </w:t>
      </w:r>
      <w:r>
        <w:t>Conclure clairement et, si nécessaire, présenter les incertitudes.</w:t>
      </w:r>
    </w:p>
    <w:p>
      <w:pPr>
        <w:pStyle w:val="Key"/>
        <w:pageBreakBefore w:val="0"/>
        <w:widowControl/>
        <w:ind w:left="198" w:right="113"/>
      </w:pPr>
      <w:r>
        <w:rPr>
          <w:b/>
        </w:rPr>
        <w:t xml:space="preserve">À RETENIR : </w:t>
      </w:r>
      <w:r>
        <w:t>Dans chaque développement : règle → faits → solution. Ne pas mélanger la majeure et la mineure.</w:t>
      </w:r>
    </w:p>
    <w:p>
      <w:pPr>
        <w:pageBreakBefore w:val="0"/>
      </w:pPr>
      <w:r/>
      <w:r>
        <w:rPr>
          <w:b/>
        </w:rPr>
        <w:t>Entraînement ciblé.</w:t>
      </w:r>
      <w:r>
        <w:t xml:space="preserve"> 1. Un contrat est conclu avant une loi nouvelle : rechercher d’abord les dispositions transitoires, puis distinguer formation du contrat, effets passés et effets futurs. 2. Une loi paraît contraire à un traité : envisager le contrôle de conventionnalité, sans demander au juge ordinaire de l’abroger. 3. Un arrêt d’appel contient une erreur de droit : envisager le pourvoi, sans présenter la Cour de cassation comme un troisième juge des faits.</w:t>
      </w:r>
    </w:p>
    <w:p>
      <w:pPr>
        <w:pStyle w:val="Heading1"/>
        <w:keepNext/>
        <w:keepLines/>
        <w:pageBreakBefore w:val="0"/>
        <w:widowControl/>
      </w:pPr>
      <w:r>
        <w:t>CORRECTIONS ET MISES À JOUR VÉRIFIÉES</w:t>
      </w:r>
    </w:p>
    <w:p>
      <w:pPr>
        <w:pageBreakBefore w:val="0"/>
        <w:widowControl/>
      </w:pPr>
      <w:r>
        <w:t>Cette page recense les principales corrections apportées au support transmis. Elles ne modifient pas silencieusement le cours : elles sont isolées ici afin que tu saches précisément ce qui diffère du document source.</w:t>
      </w:r>
    </w:p>
    <w:p>
      <w:pPr>
        <w:pageBreakBefore w:val="0"/>
        <w:widowControl/>
        <w:spacing w:after="80"/>
      </w:pPr>
      <w:r>
        <w:rPr>
          <w:b/>
          <w:color w:val="C00000"/>
        </w:rPr>
        <w:t xml:space="preserve">Sources du droit : </w:t>
      </w:r>
      <w:r>
        <w:t>La Constitution n’est pas la seule norme susceptible de « créer du droit ». La loi, les règlements et les autres sources reconnues par l’ordre juridique participent également à la production du droit.</w:t>
      </w:r>
    </w:p>
    <w:p>
      <w:pPr>
        <w:pageBreakBefore w:val="0"/>
        <w:widowControl/>
        <w:spacing w:after="80"/>
      </w:pPr>
      <w:r>
        <w:rPr>
          <w:b/>
          <w:color w:val="C00000"/>
        </w:rPr>
        <w:t xml:space="preserve">Union européenne : </w:t>
      </w:r>
      <w:r>
        <w:t>27 États membres ; le Conseil de l’UE réunit les ministres des 27 États. Une décision de l’UE est obligatoire ; recommandations et avis ne lient pas (art. 288 TFUE).</w:t>
      </w:r>
    </w:p>
    <w:p>
      <w:pPr>
        <w:pageBreakBefore w:val="0"/>
        <w:widowControl/>
        <w:spacing w:after="80"/>
      </w:pPr>
      <w:r>
        <w:rPr>
          <w:b/>
          <w:color w:val="C00000"/>
        </w:rPr>
        <w:t xml:space="preserve">Tribunal des conflits : </w:t>
      </w:r>
      <w:r>
        <w:t>Depuis 2015, il n’est plus présidé par le garde des Sceaux. Le président est choisi parmi ses membres, alternativement issu du Conseil d’État ou de la Cour de cassation.</w:t>
      </w:r>
    </w:p>
    <w:p>
      <w:pPr>
        <w:pageBreakBefore w:val="0"/>
        <w:widowControl/>
        <w:spacing w:after="80"/>
      </w:pPr>
      <w:r>
        <w:t>Organisation pénale : présentation de la cour criminelle départementale précisée. Contrairement à ce qu’indiquait la première fiche, elle figurait déjà dans le cours.</w:t>
      </w:r>
    </w:p>
    <w:p>
      <w:pPr>
        <w:pageBreakBefore w:val="0"/>
        <w:widowControl/>
        <w:spacing w:after="80"/>
      </w:pPr>
      <w:r>
        <w:rPr>
          <w:b/>
          <w:color w:val="C00000"/>
        </w:rPr>
        <w:t xml:space="preserve">Tribunal de police : </w:t>
      </w:r>
      <w:r>
        <w:t>La référence au tribunal d’instance est obsolète depuis la réforme entrée en vigueur le 1er janvier 2020.</w:t>
      </w:r>
    </w:p>
    <w:p>
      <w:pPr>
        <w:pageBreakBefore w:val="0"/>
        <w:widowControl/>
        <w:spacing w:after="80"/>
      </w:pPr>
      <w:r>
        <w:rPr>
          <w:b/>
          <w:color w:val="C00000"/>
        </w:rPr>
        <w:t xml:space="preserve">Taux de ressort : </w:t>
      </w:r>
      <w:r>
        <w:t>Le seuil de 5 000 € figurant dans le cours reste un repère actuel pour de nombreuses demandes civiles devant le tribunal judiciaire, sous réserve des règles spéciales.</w:t>
      </w:r>
    </w:p>
    <w:p>
      <w:pPr>
        <w:pageBreakBefore w:val="0"/>
        <w:widowControl/>
        <w:spacing w:after="80"/>
      </w:pPr>
      <w:r>
        <w:rPr>
          <w:b/>
          <w:color w:val="C00000"/>
        </w:rPr>
        <w:t xml:space="preserve">QPC : </w:t>
      </w:r>
      <w:r>
        <w:t>Révision constitutionnelle du 23 juillet 2008 ; entrée en vigueur de la QPC le 1er mars 2010.</w:t>
      </w:r>
    </w:p>
    <w:p>
      <w:pPr>
        <w:pageBreakBefore w:val="0"/>
        <w:widowControl/>
        <w:spacing w:after="80"/>
      </w:pPr>
      <w:r>
        <w:rPr>
          <w:b/>
          <w:color w:val="C00000"/>
        </w:rPr>
        <w:t xml:space="preserve">Ordonnances art. 38 : </w:t>
      </w:r>
      <w:r>
        <w:t>Il faut distinguer le défaut de dépôt du projet de loi de ratification dans le délai (caducité) et la simple absence de ratification après dépôt en temps utile.</w:t>
      </w:r>
    </w:p>
    <w:p>
      <w:pPr>
        <w:pageBreakBefore w:val="0"/>
        <w:widowControl/>
        <w:spacing w:after="80"/>
      </w:pPr>
      <w:r>
        <w:rPr>
          <w:b/>
          <w:color w:val="C00000"/>
        </w:rPr>
        <w:t xml:space="preserve">Jurisprudence européenne : </w:t>
      </w:r>
      <w:r>
        <w:t>Nom correct : Internationale Handelsgesellschaft. La relation Convention EDH / Constitution ne doit pas être présentée comme une simple hiérarchie interne.</w:t>
      </w:r>
    </w:p>
    <w:p>
      <w:pPr>
        <w:pageBreakBefore w:val="0"/>
        <w:widowControl/>
        <w:spacing w:after="80"/>
      </w:pPr>
      <w:r>
        <w:rPr>
          <w:b/>
          <w:color w:val="C00000"/>
        </w:rPr>
        <w:t xml:space="preserve">Cour de cassation : </w:t>
      </w:r>
      <w:r>
        <w:t>Elle comporte toujours six chambres en 2026.</w:t>
      </w:r>
    </w:p>
    <w:p>
      <w:pPr>
        <w:pStyle w:val="Heading1"/>
      </w:pPr>
      <w:r>
        <w:t>Modifications et approfondissements</w:t>
      </w:r>
    </w:p>
    <w:p>
      <w:r>
        <w:t>Révision du 29 septembre 2026. Les corrections ci-dessous sont intégrées dans le texte à apprendre. Les passages « Approfondissement utile » expliquent un mécanisme ; les passages « Culture juridique » constituent des repères complémentaires.</w:t>
      </w:r>
    </w:p>
    <w:p>
      <w:r>
        <w:t>Compléments réintégrés : compétence territoriale et prud’homale ; voies de recours et exécution provisoire ; formations et fonctions de la Cour de cassation ; lois interprétatives et de validation ; Gény et Thibierge ; procédure législative ; règlements ; contrôles des normes.</w:t>
      </w:r>
    </w:p>
    <w:p>
      <w:r>
        <w:t>Corrections de fond : dépénalisation après condamnation définitive ; portée du rejet et de la cassation ; demande d’avis également possible au pénal ; distinction entre abrogation et désuétude ; caractère obligatoire de certaines étapes du filtrage de la QPC. Les TAE sont une expérimentation de quatre ans, non trois.</w:t>
      </w:r>
    </w:p>
    <w:p>
      <w:r>
        <w:t>Correction de la première fiche : la cour criminelle départementale était déjà présente dans le cours. Les catégories de crimes et les conditions de sa compétence ont été précisées.</w:t>
      </w:r>
      <w:r>
        <w:t xml:space="preserve"> Relecture : le tableau indique bien « quinze ou vingt ans », selon la peine encourue, et non une fourchette de peines prononcées.</w:t>
      </w:r>
    </w:p>
    <w:p>
      <w:r>
        <w:t>Plan : le titre « Articulation des règles et conflits de normes » explicite le contenu du chapitre intitulé dans le support « Les conflits de lois générales et spéciales ». La section 1 bis des juridictions pénales est un regroupement de présentation de la première fiche. Les répétitions sur la loi dans le temps sont conservées sous forme de méthode et tableau récapitulatif.</w:t>
      </w:r>
    </w:p>
    <w:p>
      <w:r>
        <w:t>Approfondissements ajoutés : exemples de qualification et de syllogisme, limites de Blanco, effets légaux du contrat, statut des ordonnances non ratifiées et distinctions entre les sanctions des différents contrôles.</w:t>
      </w:r>
    </w:p>
    <w:p>
      <w:pPr>
        <w:pStyle w:val="Heading2"/>
      </w:pPr>
      <w:r>
        <w:t>Références de vérification</w:t>
      </w:r>
    </w:p>
    <w:p>
      <w:hyperlink r:id="rId11">
        <w:r>
          <w:rPr>
            <w:color w:val="21558A"/>
          </w:rPr>
          <w:t>Code de procédure civile — articles 42 à 48, 514 et suivants, 538</w:t>
        </w:r>
      </w:hyperlink>
    </w:p>
    <w:p>
      <w:hyperlink r:id="rId12">
        <w:r>
          <w:rPr>
            <w:color w:val="21558A"/>
          </w:rPr>
          <w:t>Code de l’organisation judiciaire — L. 411-3, L. 431-4 à L. 431-6, L. 441-1 et suivants, L. 452-1</w:t>
        </w:r>
      </w:hyperlink>
    </w:p>
    <w:p>
      <w:hyperlink r:id="rId13">
        <w:r>
          <w:rPr>
            <w:color w:val="21558A"/>
          </w:rPr>
          <w:t>Code pénal — articles 111-5 et 112-1 à 112-4</w:t>
        </w:r>
      </w:hyperlink>
    </w:p>
    <w:p>
      <w:hyperlink r:id="rId14">
        <w:r>
          <w:rPr>
            <w:color w:val="21558A"/>
          </w:rPr>
          <w:t>Code du travail — compétence territoriale des prud’hommes</w:t>
        </w:r>
      </w:hyperlink>
    </w:p>
    <w:p>
      <w:hyperlink r:id="rId15">
        <w:r>
          <w:rPr>
            <w:color w:val="21558A"/>
          </w:rPr>
          <w:t>Ministère de la Justice — expérimentation des tribunaux des activités économiques</w:t>
        </w:r>
      </w:hyperlink>
    </w:p>
    <w:p>
      <w:hyperlink r:id="rId16">
        <w:r>
          <w:rPr>
            <w:color w:val="21558A"/>
          </w:rPr>
          <w:t>Constitution — articles 10, 34 à 46, 54, 55, 61 à 62</w:t>
        </w:r>
      </w:hyperlink>
    </w:p>
    <w:p>
      <w:hyperlink r:id="rId17">
        <w:r>
          <w:rPr>
            <w:color w:val="21558A"/>
          </w:rPr>
          <w:t>QPC — dispositions organiques, articles 23-1 à 23-12</w:t>
        </w:r>
      </w:hyperlink>
    </w:p>
    <w:p>
      <w:hyperlink r:id="rId18">
        <w:r>
          <w:rPr>
            <w:color w:val="21558A"/>
          </w:rPr>
          <w:t>Conseil constitutionnel — encadrement des validations, décision 2023-1071 QPC</w:t>
        </w:r>
      </w:hyperlink>
    </w:p>
    <w:p>
      <w:hyperlink r:id="rId19">
        <w:r>
          <w:rPr>
            <w:color w:val="21558A"/>
          </w:rPr>
          <w:t>Conseil d’État — contrôle des ordonnances de l’article 38</w:t>
        </w:r>
      </w:hyperlink>
    </w:p>
    <w:p>
      <w:r>
        <w:rPr>
          <w:i/>
        </w:rPr>
        <w:t>Périmètre : ensemble du cours transmis pour cette matière. Les consignes du professeur et les exercices de TD restent nécessaires pour connaître le format exact du partiel et s’entraîner à la rédaction.</w:t>
      </w:r>
    </w:p>
    <w:sectPr w:rsidR="00FC693F" w:rsidRPr="0006063C" w:rsidSect="00034616">
      <w:headerReference w:type="default" r:id="rId9"/>
      <w:footerReference w:type="default" r:id="rId10"/>
      <w:pgSz w:w="12240" w:h="15840"/>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Droit privé - Fiche de révision L1 - Toulouse Capitole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Aptos" w:hAnsi="Aptos"/>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ptos Display" w:hAnsi="Aptos Display"/>
      <w:b/>
      <w:bCs/>
      <w:color w:val="0070C0"/>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Aptos Display" w:hAnsi="Aptos Display"/>
      <w:b/>
      <w:bCs/>
      <w:color w:val="00785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before="0"/>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
    <w:name w:val="Key"/>
    <w:pPr>
      <w:widowControl/>
      <w:spacing w:after="60"/>
    </w:pPr>
    <w:rPr>
      <w:rFonts w:ascii="Aptos" w:hAnsi="Aptos"/>
      <w:b/>
      <w:i w:val="0"/>
      <w:color w:val="1F4E79"/>
      <w:sz w:val="20"/>
    </w:rPr>
  </w:style>
  <w:style w:type="paragraph" w:customStyle="1" w:styleId="Correction">
    <w:name w:val="Correction"/>
    <w:pPr>
      <w:widowControl/>
      <w:spacing w:after="60"/>
    </w:pPr>
    <w:rPr>
      <w:rFonts w:ascii="Aptos" w:hAnsi="Aptos"/>
      <w:b w:val="0"/>
      <w:i w:val="0"/>
      <w:color w:val="C00000"/>
      <w:sz w:val="19"/>
    </w:rPr>
  </w:style>
  <w:style w:type="paragraph" w:customStyle="1" w:styleId="Example">
    <w:name w:val="Example"/>
    <w:pPr>
      <w:widowControl/>
      <w:spacing w:after="60"/>
    </w:pPr>
    <w:rPr>
      <w:rFonts w:ascii="Aptos" w:hAnsi="Aptos"/>
      <w:b w:val="0"/>
      <w:i/>
      <w:color w:val="007850"/>
      <w:sz w:val="19"/>
    </w:rPr>
  </w:style>
  <w:style w:type="paragraph" w:customStyle="1" w:styleId="Small">
    <w:name w:val="Small"/>
    <w:pPr>
      <w:widowControl/>
      <w:spacing w:after="60"/>
    </w:pPr>
    <w:rPr>
      <w:rFonts w:ascii="Aptos" w:hAnsi="Aptos"/>
      <w:b w:val="0"/>
      <w:i w:val="0"/>
      <w:color w:val="595959"/>
      <w:sz w:val="17"/>
    </w:rPr>
  </w:style>
  <w:style w:type="paragraph" w:customStyle="1" w:styleId="Article">
    <w:name w:val="Article"/>
    <w:pPr>
      <w:widowControl/>
      <w:spacing w:after="60"/>
    </w:pPr>
    <w:rPr>
      <w:rFonts w:ascii="Aptos" w:hAnsi="Aptos"/>
      <w:b w:val="0"/>
      <w:i w:val="0"/>
      <w:color w:val="BF5F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france.gouv.fr/codes/id/LEGITEXT000006070716/" TargetMode="External"/><Relationship Id="rId12" Type="http://schemas.openxmlformats.org/officeDocument/2006/relationships/hyperlink" Target="https://www.legifrance.gouv.fr/codes/id/LEGITEXT000006071164/" TargetMode="External"/><Relationship Id="rId13" Type="http://schemas.openxmlformats.org/officeDocument/2006/relationships/hyperlink" Target="https://www.legifrance.gouv.fr/codes/section_lc/LEGITEXT000006070719/LEGISCTA000006149815/" TargetMode="External"/><Relationship Id="rId14" Type="http://schemas.openxmlformats.org/officeDocument/2006/relationships/hyperlink" Target="https://www.legifrance.gouv.fr/codes/article_lc/LEGIARTI000018536861/" TargetMode="External"/><Relationship Id="rId15" Type="http://schemas.openxmlformats.org/officeDocument/2006/relationships/hyperlink" Target="https://www.justice.fr/actu/tribunal-commerce-devient-tribunal-activites-economiques" TargetMode="External"/><Relationship Id="rId16" Type="http://schemas.openxmlformats.org/officeDocument/2006/relationships/hyperlink" Target="https://www.legifrance.gouv.fr/loda/texte_lc/LEGITEXT000006071194/" TargetMode="External"/><Relationship Id="rId17" Type="http://schemas.openxmlformats.org/officeDocument/2006/relationships/hyperlink" Target="https://www.legifrance.gouv.fr/codes/section_lc/JORFTEXT000000705065/LEGISCTA000021448078/" TargetMode="External"/><Relationship Id="rId18" Type="http://schemas.openxmlformats.org/officeDocument/2006/relationships/hyperlink" Target="https://www.conseil-constitutionnel.fr/decision/2023/20231071QPC.htm" TargetMode="External"/><Relationship Id="rId19" Type="http://schemas.openxmlformats.org/officeDocument/2006/relationships/hyperlink" Target="https://www.conseil-etat.fr/actualites/ordonnances-de-l-article-38-de-la-constitution-le-conseil-d-etat-precise-le-mode-d-emploi-du-controle-qu-il-continuera-d-exercer-sur-leur-l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Droit prive Fiche revision approfondie L1</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