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ageBreakBefore w:val="0"/>
        <w:jc w:val="center"/>
      </w:pPr>
      <w:r>
        <w:rPr>
          <w:b/>
          <w:color w:val="000000"/>
          <w:sz w:val="48"/>
        </w:rPr>
        <w:t xml:space="preserve">Histoire du droit</w:t>
      </w:r>
    </w:p>
    <w:p>
      <w:pPr>
        <w:pageBreakBefore w:val="0"/>
        <w:jc w:val="center"/>
      </w:pPr>
      <w:r>
        <w:rPr>
          <w:b/>
          <w:color w:val="3C3C3C"/>
          <w:sz w:val="24"/>
        </w:rPr>
        <w:t xml:space="preserve">Fiche de révision approfondie L1 S1</w:t>
      </w:r>
    </w:p>
    <w:p>
      <w:pPr>
        <w:pStyle w:val="SmallNote"/>
        <w:pageBreakBefore w:val="0"/>
      </w:pPr>
      <w:r>
        <w:t xml:space="preserve">Cours actuel disponible jusqu’au CM5. Cette fiche couvre les sources du droit romain, le droit et la justice à l’époque franque, puis les sources du droit médiéval jusqu’au renouveau de la législation royale. Elle s’arrête à cette limite ; l’archive de l’année précédente est conservée séparément.</w:t>
      </w:r>
    </w:p>
    <w:p>
      <w:pPr>
        <w:pStyle w:val="KeyPoint"/>
        <w:pageBreakBefore w:val="0"/>
      </w:pPr>
      <w:r>
        <w:t xml:space="preserve">Fil directeur : les sources du droit changent avec les pouvoirs et les besoins de la société. À Rome, la pluralité des sources est progressivement encadrée par l’empereur. À l’époque franque, plusieurs lois personnelles coexistent avec une législation royale. Au Moyen Âge, coutumes, droits savants et législation royale se combinent.</w:t>
      </w:r>
    </w:p>
    <w:p>
      <w:pPr>
        <w:pStyle w:val="Heading2"/>
        <w:keepNext/>
        <w:pageBreakBefore w:val="0"/>
      </w:pPr>
      <w:r>
        <w:t xml:space="preserve">Plan de la fiche</w:t>
      </w:r>
    </w:p>
    <w:p>
      <w:pPr>
        <w:pStyle w:val="ListBullet"/>
        <w:pageBreakBefore w:val="0"/>
        <w:spacing w:after="40"/>
      </w:pPr>
      <w:r>
        <w:t xml:space="preserve">Chapitre 1 Les sources du droit romain : ancien droit, droit classique, droit tardif et compilations de Justinien.</w:t>
      </w:r>
    </w:p>
    <w:p>
      <w:pPr>
        <w:pStyle w:val="ListBullet"/>
        <w:pageBreakBefore w:val="0"/>
        <w:spacing w:after="40"/>
      </w:pPr>
      <w:r>
        <w:t xml:space="preserve">Chapitre 2 Droit et justice à l’époque franque : lois personnelles, capitulaires, juridictions, procédure, preuves et sanctions.</w:t>
      </w:r>
    </w:p>
    <w:p>
      <w:pPr>
        <w:pStyle w:val="ListBullet"/>
        <w:pageBreakBefore w:val="0"/>
        <w:spacing w:after="40"/>
      </w:pPr>
      <w:r>
        <w:t xml:space="preserve">Chapitre 3 Les sources du droit médiéval : coutumes, droits savants, universités et reconstruction du pouvoir législatif royal.</w:t>
      </w:r>
    </w:p>
    <w:p>
      <w:pPr>
        <w:pStyle w:val="ListBullet"/>
        <w:pageBreakBefore w:val="0"/>
        <w:spacing w:after="40"/>
      </w:pPr>
      <w:r>
        <w:t xml:space="preserve">Synthèse transversale, définitions, chronologie et méthode de révision.</w:t>
      </w:r>
    </w:p>
    <w:p>
      <w:pPr>
        <w:pStyle w:val="SmallNote"/>
        <w:pageBreakBefore w:val="0"/>
      </w:pPr>
      <w:r>
        <w:t xml:space="preserve">Les explications et conseils de révision sont des supports préparés à partir du cours. Ils ne constituent pas des consignes supplémentaires du professeur.</w:t>
      </w:r>
    </w:p>
    <w:p>
      <w:pPr>
        <w:pStyle w:val="Heading1"/>
        <w:keepNext/>
        <w:pageBreakBefore w:val="0"/>
      </w:pPr>
      <w:r>
        <w:t xml:space="preserve">Chapitre 1 Les sources du droit romain</w:t>
      </w:r>
    </w:p>
    <w:p>
      <w:pPr>
        <w:pStyle w:val="Heading2"/>
        <w:keepNext/>
        <w:pageBreakBefore w:val="0"/>
      </w:pPr>
      <w:r>
        <w:t xml:space="preserve">Repères de période et héritage juridique</w:t>
      </w:r>
    </w:p>
    <w:p>
      <w:pPr>
        <w:pageBreakBefore w:val="0"/>
      </w:pPr>
      <w:r>
        <w:t xml:space="preserve">Le droit romain a transmis un vocabulaire, des classifications et des méthodes de raisonnement au droit européen. Cet héritage a été repris et transformé : il faut éviter de projeter directement les institutions actuelles sur Rome.</w:t>
      </w:r>
    </w:p>
    <w:p>
      <w:pPr>
        <w:pStyle w:val="ListBullet"/>
        <w:pageBreakBefore w:val="0"/>
        <w:spacing w:after="40"/>
      </w:pPr>
      <w:r>
        <w:t xml:space="preserve">Royauté : 753–509 av. J.-C. dans la chronologie traditionnelle. La fondation de Rome en 753 est un repère légendaire, non une date historiquement démontrée.</w:t>
      </w:r>
    </w:p>
    <w:p>
      <w:pPr>
        <w:pStyle w:val="ListBullet"/>
        <w:pageBreakBefore w:val="0"/>
        <w:spacing w:after="40"/>
      </w:pPr>
      <w:r>
        <w:t xml:space="preserve">République : 509–27 av. J.-C. Elle associe magistratures, Sénat et assemblées populaires ; elle n’est pas une démocratie au sens contemporain.</w:t>
      </w:r>
    </w:p>
    <w:p>
      <w:pPr>
        <w:pStyle w:val="ListBullet"/>
        <w:pageBreakBefore w:val="0"/>
        <w:spacing w:after="40"/>
      </w:pPr>
      <w:r>
        <w:t xml:space="preserve">Principat : à partir de 27 av. J.-C., lorsque Octave reçoit le titre d’Auguste. Les formes républicaines subsistent tandis que le pouvoir se concentre autour du princeps.</w:t>
      </w:r>
    </w:p>
    <w:p>
      <w:pPr>
        <w:pStyle w:val="ListBullet"/>
        <w:pageBreakBefore w:val="0"/>
        <w:spacing w:after="40"/>
      </w:pPr>
      <w:r>
        <w:t xml:space="preserve">Repères de l’histoire du droit dans le cours : droit classique environ 130 av. J.-C.–230 apr. J.-C. ; droit tardif environ 230–530. Ces bornes juridiques ne se confondent pas avec les changements de régime politique.</w:t>
      </w:r>
    </w:p>
    <w:p>
      <w:pPr>
        <w:pageBreakBefore w:val="0"/>
      </w:pPr>
      <w:r>
        <w:t xml:space="preserve">La crise républicaine tient notamment à l’expansion territoriale, aux tensions sociales et agraires, aux transformations de l’armée et aux rivalités des chefs. César est assassiné le 15 mars 44 av. J.-C. ; Octave l’emporte à Actium en 31 et devient Auguste en 27. La construction du pouvoir impérial est donc progressive.</w:t>
      </w:r>
    </w:p>
    <w:p>
      <w:pPr>
        <w:pStyle w:val="Definition"/>
        <w:pageBreakBefore w:val="0"/>
      </w:pPr>
      <w:r>
        <w:rPr>
          <w:b/>
        </w:rPr>
        <w:t xml:space="preserve">Princeps : </w:t>
      </w:r>
      <w:r>
        <w:t xml:space="preserve">le « premier des citoyens », titre associé au régime du Principat et à la concentration du pouvoir autour d’Auguste.</w:t>
      </w:r>
    </w:p>
    <w:p>
      <w:pPr>
        <w:pStyle w:val="Definition"/>
        <w:pageBreakBefore w:val="0"/>
      </w:pPr>
      <w:r>
        <w:rPr>
          <w:b/>
        </w:rPr>
        <w:t xml:space="preserve">Cursus honorum : </w:t>
      </w:r>
      <w:r>
        <w:t xml:space="preserve">succession des magistratures dans une carrière politique romaine ; ses règles se structurent et évoluent au cours de la République.</w:t>
      </w:r>
    </w:p>
    <w:p>
      <w:pPr>
        <w:pStyle w:val="SmallNote"/>
        <w:pageBreakBefore w:val="0"/>
      </w:pPr>
      <w:r>
        <w:t xml:space="preserve">Éclairage contemporain repris du cours. Usus, fructus et abusus présentent pédagogiquement les prérogatives de la propriété ; cette trilogie n’est pas une définition générale formulée telle quelle par les juristes romains. La force majeure contractuelle actuelle relève de l’article 1218 du Code civil : elle ne doit pas être confondue avec une catégorie ancienne appliquée sans changement.</w:t>
      </w:r>
    </w:p>
    <w:p>
      <w:pPr>
        <w:pStyle w:val="Heading2"/>
        <w:keepNext/>
        <w:pageBreakBefore w:val="0"/>
      </w:pPr>
      <w:r>
        <w:t xml:space="preserve">Section 1 Les sources de l’ancien droit romain</w:t>
      </w:r>
    </w:p>
    <w:p>
      <w:pPr>
        <w:pStyle w:val="Heading3"/>
        <w:keepNext/>
        <w:pageBreakBefore w:val="0"/>
      </w:pPr>
      <w:r>
        <w:t xml:space="preserve">La coutume et ses caractères</w:t>
      </w:r>
    </w:p>
    <w:p>
      <w:pPr>
        <w:pStyle w:val="Definition"/>
        <w:pageBreakBefore w:val="0"/>
      </w:pPr>
      <w:r>
        <w:rPr>
          <w:b/>
        </w:rPr>
        <w:t xml:space="preserve">Coutume : </w:t>
      </w:r>
      <w:r>
        <w:t xml:space="preserve">usage répété reconnu comme juridiquement obligatoire. Une simple habitude ne suffit pas ; la coutume ne provient pas nécessairement d’une décision du roi.</w:t>
      </w:r>
    </w:p>
    <w:p>
      <w:pPr>
        <w:pageBreakBefore w:val="0"/>
      </w:pPr>
      <w:r>
        <w:t xml:space="preserve">L’ancien droit repose largement sur des pratiques transmises oralement. Le cours oppose, à titre pédagogique, un droit horizontal issu des pratiques sociales à un droit vertical produit par une autorité instituée. La connaissance précise des « lois royales » et de leurs origines reste discutée.</w:t>
      </w:r>
    </w:p>
    <w:p>
      <w:pPr>
        <w:pStyle w:val="ListBullet"/>
        <w:pageBreakBefore w:val="0"/>
        <w:spacing w:after="40"/>
      </w:pPr>
      <w:r>
        <w:t xml:space="preserve">Religieux : droit, politique et religion sont étroitement liés. Les pontifes contribuent à conserver, interpréter et révéler les règles rituelles et juridiques.</w:t>
      </w:r>
    </w:p>
    <w:p>
      <w:pPr>
        <w:pStyle w:val="ListBullet"/>
        <w:pageBreakBefore w:val="0"/>
        <w:spacing w:after="40"/>
      </w:pPr>
      <w:r>
        <w:t xml:space="preserve">Formaliste : certains actes supposent des gestes ou des paroles solennelles. Leur respect peut déterminer la validité de l’acte. Les contrats réels et consensuels se développent ensuite, sans faire disparaître tout formalisme.</w:t>
      </w:r>
    </w:p>
    <w:p>
      <w:pPr>
        <w:pStyle w:val="ListBullet"/>
        <w:pageBreakBefore w:val="0"/>
        <w:spacing w:after="40"/>
      </w:pPr>
      <w:r>
        <w:t xml:space="preserve">Rural : terre, voisinage, récoltes, incendies et dommages causés par les animaux occupent une place importante dans une société de citoyens paysans-soldats.</w:t>
      </w:r>
    </w:p>
    <w:p>
      <w:pPr>
        <w:pStyle w:val="ListBullet"/>
        <w:pageBreakBefore w:val="0"/>
        <w:spacing w:after="40"/>
      </w:pPr>
      <w:r>
        <w:t xml:space="preserve">Familial : les droits et pouvoirs sont structurés par la famille juridique et l’autorité du paterfamilias. La famille ne se réduit pas à l’ensemble des parents par le sang.</w:t>
      </w:r>
    </w:p>
    <w:p>
      <w:pPr>
        <w:pStyle w:val="Definition"/>
        <w:pageBreakBefore w:val="0"/>
      </w:pPr>
      <w:r>
        <w:rPr>
          <w:b/>
        </w:rPr>
        <w:t xml:space="preserve">Nexum : </w:t>
      </w:r>
      <w:r>
        <w:t xml:space="preserve">acte archaïque lié à l’endettement, associé au rituel du bronze et de la balance, per aes et libram. Sa nature exacte reste discutée.</w:t>
      </w:r>
    </w:p>
    <w:p>
      <w:pPr>
        <w:pStyle w:val="Definition"/>
        <w:pageBreakBefore w:val="0"/>
      </w:pPr>
      <w:r>
        <w:rPr>
          <w:b/>
        </w:rPr>
        <w:t xml:space="preserve">Paterfamilias : </w:t>
      </w:r>
      <w:r>
        <w:t xml:space="preserve">chef de la famille juridique, indépendant d’une puissance paternelle supérieure ; il n’est pas nécessairement le plus âgé de toute la parenté.</w:t>
      </w:r>
    </w:p>
    <w:p>
      <w:pPr>
        <w:pStyle w:val="Definition"/>
        <w:pageBreakBefore w:val="0"/>
      </w:pPr>
      <w:r>
        <w:rPr>
          <w:b/>
        </w:rPr>
        <w:t xml:space="preserve">Patria potestas : </w:t>
      </w:r>
      <w:r>
        <w:t xml:space="preserve">puissance exercée par le paterfamilias sur les descendants placés sous son autorité.</w:t>
      </w:r>
    </w:p>
    <w:p>
      <w:pPr>
        <w:pStyle w:val="Definition"/>
        <w:pageBreakBefore w:val="0"/>
      </w:pPr>
      <w:r>
        <w:rPr>
          <w:b/>
        </w:rPr>
        <w:t xml:space="preserve">Abandon noxal ou noxae deditio : </w:t>
      </w:r>
      <w:r>
        <w:t xml:space="preserve">remise, dans les conditions du droit, de la personne soumise à une puissance qui a causé un dommage, en alternative au paiement de la condamnation.</w:t>
      </w:r>
    </w:p>
    <w:p>
      <w:pPr>
        <w:pageBreakBefore w:val="0"/>
      </w:pPr>
      <w:r>
        <w:t xml:space="preserve">L’affranchi est un ancien esclave devenu libre ; le client est une personne libre liée à un patron par une relation de protection et de dépendance. Patronat, clientèle et patria potestas ne sont pas des relations identiques.</w:t>
      </w:r>
    </w:p>
    <w:p>
      <w:pPr>
        <w:pStyle w:val="Heading3"/>
        <w:keepNext/>
        <w:pageBreakBefore w:val="0"/>
      </w:pPr>
      <w:r>
        <w:t xml:space="preserve">La Loi des XII Tables</w:t>
      </w:r>
    </w:p>
    <w:p>
      <w:pPr>
        <w:pStyle w:val="Definition"/>
        <w:pageBreakBefore w:val="0"/>
      </w:pPr>
      <w:r>
        <w:rPr>
          <w:b/>
        </w:rPr>
        <w:t xml:space="preserve">Loi des XII Tables : </w:t>
      </w:r>
      <w:r>
        <w:t xml:space="preserve">premier grand texte juridique romain connu, traditionnellement daté de 451–450 av. J.-C. Le texte originel n’a pas été conservé intégralement ; sa connaissance repose sur des citations et commentaires postérieurs.</w:t>
      </w:r>
    </w:p>
    <w:p>
      <w:pPr>
        <w:pageBreakBefore w:val="0"/>
      </w:pPr>
      <w:r>
        <w:t xml:space="preserve">La rédaction répond notamment aux tensions entre patriciens et plébéiens. Les patriciens détiennent initialement des positions privilégiées dans les magistratures et les fonctions religieuses ; les plébéiens réclament davantage de protection et d’accès aux responsabilités. La plèbe est socialement diverse et ne se réduit pas aux plus pauvres.</w:t>
      </w:r>
    </w:p>
    <w:p>
      <w:pPr>
        <w:pageBreakBefore w:val="0"/>
      </w:pPr>
      <w:r>
        <w:t xml:space="preserve">Tribuns, édiles plébéiens et concile de la plèbe participent à l’organisation des revendications. Les sécessions sont des moyens de pression collective. L’écriture et la publicité des règles rendent le droit plus connaissable et limitent l’arbitraire, mais elles n’effacent pas toutes les inégalités.</w:t>
      </w:r>
    </w:p>
    <w:p>
      <w:pPr>
        <w:pStyle w:val="Definition"/>
        <w:pageBreakBefore w:val="0"/>
      </w:pPr>
      <w:r>
        <w:rPr>
          <w:b/>
        </w:rPr>
        <w:t xml:space="preserve">Provocatio ad populum : </w:t>
      </w:r>
      <w:r>
        <w:t xml:space="preserve">recours politique au peuple contre la coercition d’un magistrat dans certaines conditions ; ce n’est pas un appel juridictionnel moderne.</w:t>
      </w:r>
    </w:p>
    <w:p>
      <w:pPr>
        <w:pageBreakBefore w:val="0"/>
      </w:pPr>
      <w:r>
        <w:t xml:space="preserve">Les XII Tables concernent notamment la procédure, les dettes, la famille, les successions, les biens et les infractions. Certaines sanctions sont très rigoureuses : talion pour certaines atteintes corporelles, contrainte sur le débiteur ou dispositions archaïques relatives aux personnes. Le talion n’est pas une sanction générale ; une compensation peut parfois l’éviter.</w:t>
      </w:r>
    </w:p>
    <w:p>
      <w:pPr>
        <w:pageBreakBefore w:val="0"/>
      </w:pPr>
      <w:r>
        <w:t xml:space="preserve">La tradition évoque, pour certaines dettes non acquittées après la procédure prévue, la mise à mort ou la vente au-delà du Tibre. La portée du fragment relatif au partage du débiteur et son application effective restent discutées. Ces textes doivent être replacés dans leur contexte, sans en faire des pratiques identiques à toutes les époques romaines.</w:t>
      </w:r>
    </w:p>
    <w:p>
      <w:pPr>
        <w:pageBreakBefore w:val="0"/>
      </w:pPr>
      <w:r>
        <w:t xml:space="preserve">Les XII Tables maintiennent l’interdiction du mariage juridiquement reconnu entre patriciens et plébéiens. La loi Canuleia la lève en 445 av. J.-C. L’ouverture progressive des magistratures contribue ensuite à une nobilitas mêlant grandes familles patriciennes et plébéiennes, sans supprimer les inégalités sociales.</w:t>
      </w:r>
    </w:p>
    <w:p>
      <w:pPr>
        <w:pStyle w:val="Heading3"/>
        <w:keepNext/>
        <w:pageBreakBefore w:val="0"/>
      </w:pPr>
      <w:r>
        <w:t xml:space="preserve">Influences grecques et portée des XII Tables</w:t>
      </w:r>
    </w:p>
    <w:p>
      <w:pPr>
        <w:pageBreakBefore w:val="0"/>
      </w:pPr>
      <w:r>
        <w:t xml:space="preserve">Dracon est associé à une législation pénale sévère à Athènes à la fin du VIIe siècle av. J.-C. Solon engage des réformes en 594–593 av. J.-C. pour apaiser les conflits sociaux et organise les droits politiques selon des classes de richesse. Les contacts avec les cités grecques rendent possibles des influences, mais les XII Tables répondent aux besoins propres de Rome.</w:t>
      </w:r>
    </w:p>
    <w:p>
      <w:pPr>
        <w:pageBreakBefore w:val="0"/>
      </w:pPr>
      <w:r>
        <w:t xml:space="preserve">Athènes domine une partie de ses alliés de la ligue de Délos, créée en 478–477 av. J.-C., et non toutes les cités grecques. Le contexte grec ne prouve donc pas une copie intégrale des lois athéniennes par Rome.</w:t>
      </w:r>
    </w:p>
    <w:p>
      <w:pPr>
        <w:pageBreakBefore w:val="0"/>
      </w:pPr>
      <w:r>
        <w:t xml:space="preserve">Cicéron rapproche certaines dispositions funéraires des lois de Solon et témoigne de l’apprentissage des XII Tables durant son enfance. Tite-Live les présente comme une source fondatrice du droit public et privé. Leur importance comme référence n’empêche pas l’interprétation et le développement de nouvelles règles.</w:t>
      </w:r>
    </w:p>
    <w:p>
      <w:pPr>
        <w:pStyle w:val="KeyPoint"/>
        <w:pageBreakBefore w:val="0"/>
      </w:pPr>
      <w:r>
        <w:t xml:space="preserve">À retenir : les XII Tables rendent le droit visible et servent de référence durable. Elles ne constituent ni un code complet au sens contemporain, ni la fin de l’interprétation, ni la disparition de toutes les coutumes.</w:t>
      </w:r>
    </w:p>
    <w:p>
      <w:pPr>
        <w:pStyle w:val="Heading2"/>
        <w:keepNext/>
        <w:pageBreakBefore w:val="0"/>
      </w:pPr>
      <w:r>
        <w:t xml:space="preserve">Section 2 Les sources du droit romain classique</w:t>
      </w:r>
    </w:p>
    <w:p>
      <w:pPr>
        <w:pageBreakBefore w:val="0"/>
      </w:pPr>
      <w:r>
        <w:t xml:space="preserve">Le droit classique est caractérisé par le pluralisme : droit prétorien, activité des jurisconsultes, sénatus-consultes et constitutions impériales coexistent. Les institutions républicaines ne disparaissent pas instantanément avec le Principat ; leur rôle se transforme.</w:t>
      </w:r>
    </w:p>
    <w:p>
      <w:pPr>
        <w:pStyle w:val="Heading3"/>
        <w:keepNext/>
        <w:pageBreakBefore w:val="0"/>
      </w:pPr>
      <w:r>
        <w:t xml:space="preserve">Le droit prétorien et les magistratures</w:t>
      </w:r>
    </w:p>
    <w:p>
      <w:pPr>
        <w:pageBreakBefore w:val="0"/>
      </w:pPr>
      <w:r>
        <w:t xml:space="preserve">Les magistratures sont en principe temporaires, souvent annuelles, et collégiales, avec des exceptions. Les questeurs s’occupent des finances ; les édiles surveillent notamment la ville et les marchés ; les préteurs organisent notamment la justice ; les consuls exercent les principales responsabilités politiques et militaires. Préteurs et consuls disposent de l’imperium.</w:t>
      </w:r>
    </w:p>
    <w:p>
      <w:pPr>
        <w:pStyle w:val="Definition"/>
        <w:pageBreakBefore w:val="0"/>
      </w:pPr>
      <w:r>
        <w:rPr>
          <w:b/>
        </w:rPr>
        <w:t xml:space="preserve">Imperium : </w:t>
      </w:r>
      <w:r>
        <w:t xml:space="preserve">pouvoir supérieur de commandement civil et militaire, dont l’exercice est encadré par les institutions romaines.</w:t>
      </w:r>
    </w:p>
    <w:p>
      <w:pPr>
        <w:pageBreakBefore w:val="0"/>
      </w:pPr>
      <w:r>
        <w:t xml:space="preserve">Le préteur n’est pas un juge professionnel contemporain. Le préteur urbain intervient en principe entre citoyens romains. Le préteur pérégrin, créé en 242 av. J.-C., connaît de litiges impliquant des personnes libres non citoyennes : entre pérégrins, ou entre un citoyen et un pérégrin.</w:t>
      </w:r>
    </w:p>
    <w:p>
      <w:pPr>
        <w:pStyle w:val="Definition"/>
        <w:pageBreakBefore w:val="0"/>
      </w:pPr>
      <w:r>
        <w:rPr>
          <w:b/>
        </w:rPr>
        <w:t xml:space="preserve">Pérégrin : </w:t>
      </w:r>
      <w:r>
        <w:t xml:space="preserve">personne libre ne possédant pas la citoyenneté romaine. Il ne faut confondre ni citoyenneté romaine et nationalité moderne, ni pérégrin et esclave.</w:t>
      </w:r>
    </w:p>
    <w:p>
      <w:pPr>
        <w:pStyle w:val="Definition"/>
        <w:pageBreakBefore w:val="0"/>
      </w:pPr>
      <w:r>
        <w:rPr>
          <w:b/>
        </w:rPr>
        <w:t xml:space="preserve">Édit du préteur : </w:t>
      </w:r>
      <w:r>
        <w:t xml:space="preserve">programme juridictionnel publié à l’entrée en fonction, annonçant notamment les situations dans lesquelles une action en justice sera accordée.</w:t>
      </w:r>
    </w:p>
    <w:p>
      <w:pPr>
        <w:pageBreakBefore w:val="0"/>
      </w:pPr>
      <w:r>
        <w:t xml:space="preserve">L’octroi d’actions protège des situations concrètes et adapte le droit à de nouveaux besoins. Les préteurs reprennent des dispositions utiles de leurs prédécesseurs et peuvent en ajouter : cette activité forme le droit prétorien.</w:t>
      </w:r>
    </w:p>
    <w:p>
      <w:pPr>
        <w:pStyle w:val="Heading3"/>
        <w:keepNext/>
        <w:pageBreakBefore w:val="0"/>
      </w:pPr>
      <w:r>
        <w:t xml:space="preserve">Les deux phases du procès formulaire</w:t>
      </w:r>
    </w:p>
    <w:p>
      <w:pPr>
        <w:pStyle w:val="ListBullet"/>
        <w:pageBreakBefore w:val="0"/>
        <w:spacing w:after="40"/>
      </w:pPr>
      <w:r>
        <w:t xml:space="preserve">In iure : le préteur examine la demande, accorde ou refuse l’action, organise le procès, désigne le juge selon les règles applicables et établit la formule.</w:t>
      </w:r>
    </w:p>
    <w:p>
      <w:pPr>
        <w:pStyle w:val="ListBullet"/>
        <w:pageBreakBefore w:val="0"/>
        <w:spacing w:after="40"/>
      </w:pPr>
      <w:r>
        <w:t xml:space="preserve">Apud iudicem : le juge privé examine les faits et les preuves et tranche dans le cadre de la formule.</w:t>
      </w:r>
    </w:p>
    <w:p>
      <w:pPr>
        <w:pStyle w:val="Definition"/>
        <w:pageBreakBefore w:val="0"/>
      </w:pPr>
      <w:r>
        <w:rPr>
          <w:b/>
        </w:rPr>
        <w:t xml:space="preserve">Formule : </w:t>
      </w:r>
      <w:r>
        <w:t xml:space="preserve">écrit fixant la question juridique à résoudre et les conditions dans lesquelles le juge doit condamner ou absoudre. Elle ne contient pas un jugement arrêté à l’avance.</w:t>
      </w:r>
    </w:p>
    <w:p>
      <w:pPr>
        <w:pStyle w:val="KeyPoint"/>
        <w:pageBreakBefore w:val="0"/>
      </w:pPr>
      <w:r>
        <w:t xml:space="preserve">Schéma à reconstruire : prétention d’une partie → examen par le préteur et octroi d’une action → formule → appréciation des faits par le juge → jugement.</w:t>
      </w:r>
    </w:p>
    <w:p>
      <w:pPr>
        <w:pageBreakBefore w:val="0"/>
      </w:pPr>
      <w:r>
        <w:t xml:space="preserve">Le droit prétorien est concret, souple et honoraire. Honoraire renvoie à l’honor, la charge publique, et non à une rémunération ou à l’étymologie d’imperium. Sous Hadrien, vers 125–130 apr. J.-C., le jurisconsulte Julien fixe l’édit : l’innovation des préteurs est fortement limitée et l’évolution du droit dépend davantage du pouvoir impérial.</w:t>
      </w:r>
    </w:p>
    <w:p>
      <w:pPr>
        <w:pStyle w:val="SmallNote"/>
        <w:pageBreakBefore w:val="0"/>
      </w:pPr>
      <w:r>
        <w:t xml:space="preserve">« Édit perpétuel » peut désigner, selon le contexte, un édit valable durant l’année de charge ou l’édit fixé sous Hadrien. Toujours préciser la période étudiée.</w:t>
      </w:r>
    </w:p>
    <w:p>
      <w:pPr>
        <w:pStyle w:val="Heading3"/>
        <w:keepNext/>
        <w:pageBreakBefore w:val="0"/>
      </w:pPr>
      <w:r>
        <w:t xml:space="preserve">La jurisprudence des jurisconsultes</w:t>
      </w:r>
    </w:p>
    <w:p>
      <w:pPr>
        <w:pStyle w:val="Definition"/>
        <w:pageBreakBefore w:val="0"/>
      </w:pPr>
      <w:r>
        <w:rPr>
          <w:b/>
        </w:rPr>
        <w:t xml:space="preserve">Jurisprudence romaine : </w:t>
      </w:r>
      <w:r>
        <w:t xml:space="preserve">activité et savoir des spécialistes du droit, les jurisconsultes ou prudentes. Elle ne désigne pas principalement l’ensemble des décisions judiciaires, contrairement à l’usage contemporain.</w:t>
      </w:r>
    </w:p>
    <w:p>
      <w:pPr>
        <w:pageBreakBefore w:val="0"/>
      </w:pPr>
      <w:r>
        <w:t xml:space="preserve">L’activité juridique se laïcise progressivement par rapport à la connaissance initialement liée aux pontifes. Les jurisconsultes consultent, conseillent la rédaction d’actes et enseignent. Leur prestige social et leur auctoritas soutiennent leurs avis ; leurs solutions peuvent diverger.</w:t>
      </w:r>
    </w:p>
    <w:p>
      <w:pPr>
        <w:pStyle w:val="Definition"/>
        <w:pageBreakBefore w:val="0"/>
      </w:pPr>
      <w:r>
        <w:rPr>
          <w:b/>
        </w:rPr>
        <w:t xml:space="preserve">Auctoritas : </w:t>
      </w:r>
      <w:r>
        <w:t xml:space="preserve">autorité intellectuelle, sociale ou politique reconnue à une personne ou à une institution. Elle ne se confond pas simplement avec un pouvoir de commandement.</w:t>
      </w:r>
    </w:p>
    <w:p>
      <w:pPr>
        <w:pageBreakBefore w:val="0"/>
      </w:pPr>
      <w:r>
        <w:t xml:space="preserve">Les écoles sabinienne et proculienne structurent des débats juridiques. Parmi les juristes majeurs : Gaius et ses Institutes ; Papinien, exécuté en 212 ; Ulpien, juriste et préfet du prétoire, mort en 223 ; Paul ; puis Modestin, élève d’Ulpien et préfet des vigiles. Plusieurs participent à l’administration impériale.</w:t>
      </w:r>
    </w:p>
    <w:p>
      <w:pPr>
        <w:pStyle w:val="Definition"/>
        <w:pageBreakBefore w:val="0"/>
      </w:pPr>
      <w:r>
        <w:rPr>
          <w:b/>
        </w:rPr>
        <w:t xml:space="preserve">Ius respondendi ex auctoritate principis : </w:t>
      </w:r>
      <w:r>
        <w:t xml:space="preserve">autorité renforcée accordée à certaines consultations sous l’autorité du prince, traditionnellement rattachée à Auguste. Sa date précise, sa portée et son fonctionnement restent discutés.</w:t>
      </w:r>
    </w:p>
    <w:p>
      <w:pPr>
        <w:pStyle w:val="KeyPoint"/>
        <w:pageBreakBefore w:val="0"/>
      </w:pPr>
      <w:r>
        <w:t xml:space="preserve">À ne pas confondre : le préteur organise une protection juridictionnelle ; le jurisconsulte produit une analyse et un avis ; le juge tranche le litige. Le pouvoir impérial encadre progressivement ces activités.</w:t>
      </w:r>
    </w:p>
    <w:p>
      <w:pPr>
        <w:pStyle w:val="Heading3"/>
        <w:keepNext/>
        <w:pageBreakBefore w:val="0"/>
      </w:pPr>
      <w:r>
        <w:t xml:space="preserve">Le Sénat et les sénatus-consultes</w:t>
      </w:r>
    </w:p>
    <w:p>
      <w:pPr>
        <w:pageBreakBefore w:val="0"/>
      </w:pPr>
      <w:r>
        <w:t xml:space="preserve">Sous la République, les leges publiques sont votées par les assemblées populaires compétentes sur proposition d’un magistrat. Le Sénat influence fortement la vie publique par son auctoritas ; ses sénatus-consultes sont formellement des avis adressés aux magistrats, plutôt que des lois votées comme aujourd’hui.</w:t>
      </w:r>
    </w:p>
    <w:p>
      <w:pPr>
        <w:pStyle w:val="Definition"/>
        <w:pageBreakBefore w:val="0"/>
      </w:pPr>
      <w:r>
        <w:rPr>
          <w:b/>
        </w:rPr>
        <w:t xml:space="preserve">Sénatus-consulte : </w:t>
      </w:r>
      <w:r>
        <w:t xml:space="preserve">avis ou décision du Sénat dont la portée normative évolue entre République et Empire.</w:t>
      </w:r>
    </w:p>
    <w:p>
      <w:pPr>
        <w:pageBreakBefore w:val="0"/>
      </w:pPr>
      <w:r>
        <w:t xml:space="preserve">L’auctoritas patrum est une approbation des patres de certaines décisions populaires. La lex Publilia Philonis de 339 av. J.-C. la place avant le vote des comices centuriates : elle réduit la possibilité de remettre en cause après coup la décision du peuple.</w:t>
      </w:r>
    </w:p>
    <w:p>
      <w:pPr>
        <w:pageBreakBefore w:val="0"/>
      </w:pPr>
      <w:r>
        <w:t xml:space="preserve">Au début de l’Empire, les sénatus-consultes acquièrent une portée normative accrue. L’oratio principis, discours ou communication du prince au Sénat, contribue ensuite à réduire l’autonomie sénatoriale au profit de la volonté impériale.</w:t>
      </w:r>
    </w:p>
    <w:p>
      <w:pPr>
        <w:pStyle w:val="SmallNote"/>
        <w:pageBreakBefore w:val="0"/>
      </w:pPr>
      <w:r>
        <w:t xml:space="preserve">Ne pas reconstruire une procédure républicaine immuable de « trois votes ». La combinaison de proposition, vote populaire et influence sénatoriale varie historiquement.</w:t>
      </w:r>
    </w:p>
    <w:p>
      <w:pPr>
        <w:pStyle w:val="Heading3"/>
        <w:keepNext/>
        <w:pageBreakBefore w:val="0"/>
      </w:pPr>
      <w:r>
        <w:t xml:space="preserve">La législation impériale</w:t>
      </w:r>
    </w:p>
    <w:p>
      <w:pPr>
        <w:pStyle w:val="Definition"/>
        <w:pageBreakBefore w:val="0"/>
      </w:pPr>
      <w:r>
        <w:rPr>
          <w:b/>
        </w:rPr>
        <w:t xml:space="preserve">Constitution impériale : </w:t>
      </w:r>
      <w:r>
        <w:t xml:space="preserve">décision juridique émanant de l’empereur romain. Ici, constitution ne signifie pas texte organisant les pouvoirs publics au sens contemporain.</w:t>
      </w:r>
    </w:p>
    <w:p>
      <w:pPr>
        <w:pStyle w:val="ListBullet"/>
        <w:pageBreakBefore w:val="0"/>
        <w:spacing w:after="40"/>
      </w:pPr>
      <w:r>
        <w:t xml:space="preserve">Édit impérial : disposition de portée générale. Exemples : citoyenneté accordée par Caracalla en 212 ; édit du Maximum de Dioclétien en 301.</w:t>
      </w:r>
    </w:p>
    <w:p>
      <w:pPr>
        <w:pStyle w:val="ListBullet"/>
        <w:pageBreakBefore w:val="0"/>
        <w:spacing w:after="40"/>
      </w:pPr>
      <w:r>
        <w:t xml:space="preserve">Décret impérial : décision rendue par l’empereur dans une affaire judiciaire.</w:t>
      </w:r>
    </w:p>
    <w:p>
      <w:pPr>
        <w:pStyle w:val="ListBullet"/>
        <w:pageBreakBefore w:val="0"/>
        <w:spacing w:after="40"/>
      </w:pPr>
      <w:r>
        <w:t xml:space="preserve">Rescrit : réponse écrite de l’empereur à une question ou une requête juridique.</w:t>
      </w:r>
    </w:p>
    <w:p>
      <w:pPr>
        <w:pStyle w:val="ListBullet"/>
        <w:pageBreakBefore w:val="0"/>
        <w:spacing w:after="40"/>
      </w:pPr>
      <w:r>
        <w:t xml:space="preserve">Mandat : instruction adressée à un agent de l’administration, notamment un gouverneur provincial.</w:t>
      </w:r>
    </w:p>
    <w:p>
      <w:pPr>
        <w:pageBreakBefore w:val="0"/>
      </w:pPr>
      <w:r>
        <w:t xml:space="preserve">Le pouvoir normatif impérial s’affirme progressivement par le contrôle de l’édit, l’encadrement des juristes et l’influence sur le Sénat. Ulpien rattache la force de loi de la décision du prince au pouvoir qui lui aurait été conféré par le peuple : ce n’est pas une simple équivalence entre toute préférence personnelle et une loi.</w:t>
      </w:r>
    </w:p>
    <w:p>
      <w:pPr>
        <w:pStyle w:val="KeyPoint"/>
        <w:pageBreakBefore w:val="0"/>
      </w:pPr>
      <w:r>
        <w:t xml:space="preserve">Comparaison essentielle : édit du préteur = programme de protection juridictionnelle ; édit impérial = décision normative générale de l’empereur. Les deux actes ne proviennent pas de la même autorité et n’exercent pas la même fonction.</w:t>
      </w:r>
    </w:p>
    <w:p>
      <w:pPr>
        <w:pStyle w:val="Heading2"/>
        <w:keepNext/>
        <w:pageBreakBefore w:val="0"/>
      </w:pPr>
      <w:r>
        <w:t xml:space="preserve">Section 3 Droit tardif et mouvement de codification</w:t>
      </w:r>
    </w:p>
    <w:p>
      <w:pPr>
        <w:pStyle w:val="Heading3"/>
        <w:keepNext/>
        <w:pageBreakBefore w:val="0"/>
      </w:pPr>
      <w:r>
        <w:t xml:space="preserve">Transformations politiques et juridiques</w:t>
      </w:r>
    </w:p>
    <w:p>
      <w:pPr>
        <w:pageBreakBefore w:val="0"/>
      </w:pPr>
      <w:r>
        <w:t xml:space="preserve">L’instabilité de 235–284/285 précède les réformes de Dioclétien : accession en 284, Tétrarchie en 293, deux Augustes et deux Césars. Constantin gouverne seul de 324 à 337 et inaugure Constantinople en 330. Après Théodose Ier en 395, les trajectoires de l’Orient et de l’Occident s’éloignent ; l’Empire d’Occident prend fin en 476, celui d’Orient en 1453.</w:t>
      </w:r>
    </w:p>
    <w:p>
      <w:pPr>
        <w:pageBreakBefore w:val="0"/>
      </w:pPr>
      <w:r>
        <w:t xml:space="preserve">La grande science juridique classique perd de son dynamisme, mais les œuvres anciennes restent utilisées, copiées, résumées et adaptées. « Déclin » ne signifie donc pas disparition de tout droit ou de toute activité juridique.</w:t>
      </w:r>
    </w:p>
    <w:p>
      <w:pPr>
        <w:pageBreakBefore w:val="0"/>
      </w:pPr>
      <w:r>
        <w:t xml:space="preserve">Les persécutions des chrétiens sont variables, notamment sous Dèce puis Dioclétien. Une décision de tolérance intervient sous Galère en 311 ; les mesures de 313 liées à Constantin et Licinius accordent la liberté du culte chrétien ; en 380, l’édit de Thessalonique affirme la place officielle du christianisme nicéen.</w:t>
      </w:r>
    </w:p>
    <w:p>
      <w:pPr>
        <w:pageBreakBefore w:val="0"/>
      </w:pPr>
      <w:r>
        <w:t xml:space="preserve">La romanisation des provinces est inégale. La citoyenneté étendue par Caracalla en 212 ne supprime pas immédiatement les traditions locales. Les solutions romaines se simplifient et s’adaptent dans la pratique.</w:t>
      </w:r>
    </w:p>
    <w:p>
      <w:pPr>
        <w:pStyle w:val="Definition"/>
        <w:pageBreakBefore w:val="0"/>
      </w:pPr>
      <w:r>
        <w:rPr>
          <w:b/>
        </w:rPr>
        <w:t xml:space="preserve">Droit romain vulgaire : </w:t>
      </w:r>
      <w:r>
        <w:t xml:space="preserve">expression désignant des formes pratiques et adaptées du droit tardif ; il ne s’agit ni d’un code particulier ni d’un droit uniforme officiellement promulgué.</w:t>
      </w:r>
    </w:p>
    <w:p>
      <w:pPr>
        <w:pStyle w:val="Heading3"/>
        <w:keepNext/>
        <w:pageBreakBefore w:val="0"/>
      </w:pPr>
      <w:r>
        <w:t xml:space="preserve">La loi des citations de 426</w:t>
      </w:r>
    </w:p>
    <w:p>
      <w:pPr>
        <w:pageBreakBefore w:val="0"/>
      </w:pPr>
      <w:r>
        <w:t xml:space="preserve">Elle reconnaît une autorité particulière à cinq juristes : Gaius, Papinien, Ulpien, Paul et Modestin. En cas de contradiction, la majorité est suivie ; en cas de partage égal, l’avis de Papinien prévaut. Si celui-ci ne s’est pas prononcé, le juge dispose d’une marge de choix.</w:t>
      </w:r>
    </w:p>
    <w:p>
      <w:pPr>
        <w:pStyle w:val="KeyPoint"/>
        <w:pageBreakBefore w:val="0"/>
      </w:pPr>
      <w:r>
        <w:t xml:space="preserve">Mémo des cinq juristes : Gaius — Papinien — Ulpien — Paul — Modestin. Le mécanisme vise à ordonner l’usage d’avis anciens concurrents.</w:t>
      </w:r>
    </w:p>
    <w:p>
      <w:pPr>
        <w:pStyle w:val="Heading3"/>
        <w:keepNext/>
        <w:pageBreakBefore w:val="0"/>
      </w:pPr>
      <w:r>
        <w:t xml:space="preserve">Les premiers recueils et le Code Théodosien</w:t>
      </w:r>
    </w:p>
    <w:p>
      <w:pPr>
        <w:pStyle w:val="Definition"/>
        <w:pageBreakBefore w:val="0"/>
      </w:pPr>
      <w:r>
        <w:rPr>
          <w:b/>
        </w:rPr>
        <w:t xml:space="preserve">Codification : </w:t>
      </w:r>
      <w:r>
        <w:t xml:space="preserve">opération de rassemblement et d’organisation de textes juridiques pour fournir une référence plus utilisable. Ses méthodes et sa portée varient selon les époques.</w:t>
      </w:r>
    </w:p>
    <w:p>
      <w:pPr>
        <w:pageBreakBefore w:val="0"/>
      </w:pPr>
      <w:r>
        <w:t xml:space="preserve">Le codex est d’abord une forme matérielle de livre à feuilles reliées, distincte du volumen. Il facilite la consultation ; il ne faut pas confondre cette forme avec tout recueil juridique appelé « code ».</w:t>
      </w:r>
    </w:p>
    <w:p>
      <w:pPr>
        <w:pageBreakBefore w:val="0"/>
      </w:pPr>
      <w:r>
        <w:t xml:space="preserve">Les Codes Grégorien et Hermogénien sont des collections privées de constitutions impériales de la fin du IIIe siècle. Leur contenu est connu notamment par des compilations ultérieures ; l’identité et la carrière exactes de leurs compilateurs ne sont pas entièrement assurées.</w:t>
      </w:r>
    </w:p>
    <w:p>
      <w:pPr>
        <w:pageBreakBefore w:val="0"/>
      </w:pPr>
      <w:r>
        <w:t xml:space="preserve">Le Code Théodosien est un recueil officiel préparé sous Théodose II. Promulgué en Orient en 438, applicable en Occident à partir de 439, il comprend seize livres et rassemble principalement des constitutions depuis Constantin, classées par matières.</w:t>
      </w:r>
    </w:p>
    <w:p>
      <w:pPr>
        <w:pageBreakBefore w:val="0"/>
      </w:pPr>
      <w:r>
        <w:t xml:space="preserve">Il conserve une influence en Occident après 476, notamment par le Bréviaire d’Alaric de 506. Une compilation peut sélectionner et abréger ses textes ; une réception politique dans plusieurs territoires ne rend pas toutes les pratiques locales identiques.</w:t>
      </w:r>
    </w:p>
    <w:p>
      <w:pPr>
        <w:pStyle w:val="Heading3"/>
        <w:keepNext/>
        <w:pageBreakBefore w:val="0"/>
      </w:pPr>
      <w:r>
        <w:t xml:space="preserve">Les compilations de Justinien</w:t>
      </w:r>
    </w:p>
    <w:p>
      <w:pPr>
        <w:pageBreakBefore w:val="0"/>
      </w:pPr>
      <w:r>
        <w:t xml:space="preserve">Justinien règne en Orient de 527 à 565. Son projet associe unité juridique, utilité pratique et pédagogique, affirmation politique et unité religieuse. Tribonien coordonne des commissions. La compilation ne doit pas être confondue avec les campagnes de reconquête, auxquelles participent plusieurs généraux, notamment Bélisaire.</w:t>
      </w:r>
    </w:p>
    <w:p>
      <w:pPr>
        <w:pStyle w:val="ListBullet"/>
        <w:pageBreakBefore w:val="0"/>
        <w:spacing w:after="40"/>
      </w:pPr>
      <w:r>
        <w:t xml:space="preserve">Code : constitutions impériales ; première version en 529, version définitive en 534 ; douze livres.</w:t>
      </w:r>
    </w:p>
    <w:p>
      <w:pPr>
        <w:pStyle w:val="ListBullet"/>
        <w:pageBreakBefore w:val="0"/>
        <w:spacing w:after="40"/>
      </w:pPr>
      <w:r>
        <w:t xml:space="preserve">Digeste ou Pandectes : extraits d’œuvres des juristes classiques ; 533 ; cinquante livres.</w:t>
      </w:r>
    </w:p>
    <w:p>
      <w:pPr>
        <w:pStyle w:val="ListBullet"/>
        <w:pageBreakBefore w:val="0"/>
        <w:spacing w:after="40"/>
      </w:pPr>
      <w:r>
        <w:t xml:space="preserve">Institutes : manuel officiel d’enseignement, inspiré notamment de Gaius, doté d’autorité juridique ; 533 ; quatre livres.</w:t>
      </w:r>
    </w:p>
    <w:p>
      <w:pPr>
        <w:pStyle w:val="ListBullet"/>
        <w:pageBreakBefore w:val="0"/>
        <w:spacing w:after="40"/>
      </w:pPr>
      <w:r>
        <w:t xml:space="preserve">Novelles : constitutions impériales nouvelles postérieures à la version définitive du Code de 534 ; réunies notamment dans des collections privées et souvent rédigées en grec.</w:t>
      </w:r>
    </w:p>
    <w:p>
      <w:pPr>
        <w:pStyle w:val="Definition"/>
        <w:pageBreakBefore w:val="0"/>
      </w:pPr>
      <w:r>
        <w:rPr>
          <w:b/>
        </w:rPr>
        <w:t xml:space="preserve">Interpolation : </w:t>
      </w:r>
      <w:r>
        <w:t xml:space="preserve">modification d’un texte ancien par les compilateurs pour l’adapter à leur contexte. Le Digeste conserve néanmoins de nombreux éléments du droit classique.</w:t>
      </w:r>
    </w:p>
    <w:p>
      <w:pPr>
        <w:pageBreakBefore w:val="0"/>
      </w:pPr>
      <w:r>
        <w:t xml:space="preserve">La Novelle 118 de 543 réorganise la succession sans testament : la parenté par le sang, ou cognation, prend le pas sur d’anciennes distinctions agnatiques. Les descendants viennent en premier ; la représentation permet à certains descendants d’un enfant prédécédé de recueillir sa part. À défaut, ascendants, frères et sœurs, puis autres collatéraux sont appelés selon les règles prévues. Le conjoint survivant relève de règles particulières.</w:t>
      </w:r>
    </w:p>
    <w:p>
      <w:pPr>
        <w:pStyle w:val="Definition"/>
        <w:pageBreakBefore w:val="0"/>
      </w:pPr>
      <w:r>
        <w:rPr>
          <w:b/>
        </w:rPr>
        <w:t xml:space="preserve">Succession ab intestat : </w:t>
      </w:r>
      <w:r>
        <w:t xml:space="preserve">succession ouverte en l’absence de testament.</w:t>
      </w:r>
    </w:p>
    <w:p>
      <w:pPr>
        <w:pStyle w:val="Definition"/>
        <w:pageBreakBefore w:val="0"/>
      </w:pPr>
      <w:r>
        <w:rPr>
          <w:b/>
        </w:rPr>
        <w:t xml:space="preserve">Agnation et cognation : </w:t>
      </w:r>
      <w:r>
        <w:t xml:space="preserve">l’agnation renvoie à une parenté organisée juridiquement par les puissances familiales ; la cognation met l’accent sur la parenté par le sang.</w:t>
      </w:r>
    </w:p>
    <w:p>
      <w:pPr>
        <w:pageBreakBefore w:val="0"/>
      </w:pPr>
      <w:r>
        <w:t xml:space="preserve">Les compilations s’appliquent en Orient et dans certains territoires reconquis. Elles demeurent peu connues dans une grande partie de l’Occident. Leur étude systématique renaît surtout à la fin du XIe siècle, puis dans les universités.</w:t>
      </w:r>
    </w:p>
    <w:p>
      <w:pPr>
        <w:pStyle w:val="KeyPoint"/>
        <w:pageBreakBefore w:val="0"/>
      </w:pPr>
      <w:r>
        <w:t xml:space="preserve">Synthèse du chapitre : coutume et XII Tables → pluralité des sources classiques → emprise croissante de l’empereur → mise en ordre des textes → conservation et transmission par les compilations.</w:t>
      </w:r>
    </w:p>
    <w:p>
      <w:pPr>
        <w:pStyle w:val="Heading1"/>
        <w:keepNext/>
        <w:pageBreakBefore w:val="0"/>
      </w:pPr>
      <w:r>
        <w:t xml:space="preserve">Chapitre 2 Droit et justice à l’époque franque</w:t>
      </w:r>
    </w:p>
    <w:p>
      <w:pPr>
        <w:pStyle w:val="Heading2"/>
        <w:keepNext/>
        <w:pageBreakBefore w:val="0"/>
      </w:pPr>
      <w:r>
        <w:t xml:space="preserve">Repères et continuités avec Rome</w:t>
      </w:r>
    </w:p>
    <w:p>
      <w:pPr>
        <w:pageBreakBefore w:val="0"/>
      </w:pPr>
      <w:r>
        <w:t xml:space="preserve">L’époque franque est située dans le cours de 481, avènement de Clovis, à 987, avènement d’Hugues Capet. Les Mérovingiens précèdent les Carolingiens. Pépin le Bref fonde la nouvelle dynastie en 751 ; Charlemagne règne de 768 à 814 et est couronné empereur le 25 décembre 800.</w:t>
      </w:r>
    </w:p>
    <w:p>
      <w:pPr>
        <w:pageBreakBefore w:val="0"/>
      </w:pPr>
      <w:r>
        <w:t xml:space="preserve">Après Louis le Pieux, mort en 840, les serments de Strasbourg de 842 précèdent Verdun en 843. Les conflits et partages contribuent à la fragmentation de l’unité impériale. La période franque appartient au Haut Moyen Âge : « obscure » ne veut pas dire sans institutions ni droit.</w:t>
      </w:r>
    </w:p>
    <w:p>
      <w:pPr>
        <w:pageBreakBefore w:val="0"/>
      </w:pPr>
      <w:r>
        <w:t xml:space="preserve">Les liens avec Rome mêlent conflits, alliances et intégration. Childéric, père de Clovis, illustre l’insertion d’un chef franc dans les structures de la Gaule tardive. La conversion catholique de Clovis favorise les liens avec les élites gallo-romaines ; sa date est discutée, le cours retenant vers 505. Il serait anachronique d’en déduire la naissance d’un État français contemporain.</w:t>
      </w:r>
    </w:p>
    <w:p>
      <w:pPr>
        <w:pStyle w:val="Heading2"/>
        <w:keepNext/>
        <w:pageBreakBefore w:val="0"/>
      </w:pPr>
      <w:r>
        <w:t xml:space="preserve">Section 1 Les sources mérovingiennes</w:t>
      </w:r>
    </w:p>
    <w:p>
      <w:pPr>
        <w:pStyle w:val="Heading3"/>
        <w:keepNext/>
        <w:pageBreakBefore w:val="0"/>
      </w:pPr>
      <w:r>
        <w:t xml:space="preserve">Les lois des peuples germaniques</w:t>
      </w:r>
    </w:p>
    <w:p>
      <w:pPr>
        <w:pStyle w:val="Definition"/>
        <w:pageBreakBefore w:val="0"/>
      </w:pPr>
      <w:r>
        <w:rPr>
          <w:b/>
        </w:rPr>
        <w:t xml:space="preserve">Leges barbarorum : </w:t>
      </w:r>
      <w:r>
        <w:t xml:space="preserve">lois mises par écrit pour les peuples germaniques installés dans l’ancien Empire romain d’Occident.</w:t>
      </w:r>
    </w:p>
    <w:p>
      <w:pPr>
        <w:pageBreakBefore w:val="0"/>
      </w:pPr>
      <w:r>
        <w:t xml:space="preserve">Exemples : Code d’Euric pour les Wisigoths, loi Gombette pour les Burgondes, loi salique pour les Francs saliens ; d’autres textes existent, comme la loi ripuaire et la loi des Alamans. Leur rédaction en latin et certains instruments monétaires et juridiques manifestent des influences romaines.</w:t>
      </w:r>
    </w:p>
    <w:p>
      <w:pPr>
        <w:pStyle w:val="Definition"/>
        <w:pageBreakBefore w:val="0"/>
      </w:pPr>
      <w:r>
        <w:rPr>
          <w:b/>
        </w:rPr>
        <w:t xml:space="preserve">Composition pécuniaire : </w:t>
      </w:r>
      <w:r>
        <w:t xml:space="preserve">somme fixée pour réparer une atteinte et contribuer au rétablissement de la paix, notamment en rachetant la vengeance privée.</w:t>
      </w:r>
    </w:p>
    <w:p>
      <w:pPr>
        <w:pStyle w:val="Definition"/>
        <w:pageBreakBefore w:val="0"/>
      </w:pPr>
      <w:r>
        <w:rPr>
          <w:b/>
        </w:rPr>
        <w:t xml:space="preserve">Wergeld : </w:t>
      </w:r>
      <w:r>
        <w:t xml:space="preserve">« prix de l’homme », composition liée à un homicide et variable selon le statut de la victime.</w:t>
      </w:r>
    </w:p>
    <w:p>
      <w:pPr>
        <w:pageBreakBefore w:val="0"/>
      </w:pPr>
      <w:r>
        <w:t xml:space="preserve">La loi salique est transmise par plusieurs versions et remaniements. Une rédaction officielle est généralement située vers 507–511 ; l’hypothèse d’un noyau beaucoup plus ancien reste discutée. Son prologue insiste sur la concorde et l’arrêt de l’enchaînement des violences.</w:t>
      </w:r>
    </w:p>
    <w:p>
      <w:pPr>
        <w:pageBreakBefore w:val="0"/>
      </w:pPr>
      <w:r>
        <w:t xml:space="preserve">Elle est surtout un tarif de compositions, mais traite aussi famille, biens et procédure. Elle n’exclut pas les femmes de toute succession : une disposition concerne la terra Salica, dont le sens exact reste discuté. Son utilisation, à partir du XIVe siècle, dans la succession à la Couronne est un phénomène ultérieur.</w:t>
      </w:r>
    </w:p>
    <w:p>
      <w:pPr>
        <w:pStyle w:val="Heading3"/>
        <w:keepNext/>
        <w:pageBreakBefore w:val="0"/>
      </w:pPr>
      <w:r>
        <w:t xml:space="preserve">Le maintien du droit romain</w:t>
      </w:r>
    </w:p>
    <w:p>
      <w:pPr>
        <w:pageBreakBefore w:val="0"/>
      </w:pPr>
      <w:r>
        <w:t xml:space="preserve">Les populations gallo-romaines conservent le droit romain comme référence. Les rois germaniques produisent des recueils appelés leges Romanae barbarorum. Le principal est le Bréviaire d’Alaric, promulgué en 506 par Alaric II pour ses sujets romains ; il sélectionne des textes du Code Théodosien et d’autres sources, accompagnés d’interprétations.</w:t>
      </w:r>
    </w:p>
    <w:p>
      <w:pPr>
        <w:pageBreakBefore w:val="0"/>
      </w:pPr>
      <w:r>
        <w:t xml:space="preserve">Après Vouillé en 507 et la mort d’Alaric II, Clovis maintient l’usage du Bréviaire pour les populations passées sous son autorité. La Loi romaine des Burgondes est appelée Papien en raison d’une ancienne attribution erronée à Papinien.</w:t>
      </w:r>
    </w:p>
    <w:p>
      <w:pPr>
        <w:pStyle w:val="Definition"/>
        <w:pageBreakBefore w:val="0"/>
      </w:pPr>
      <w:r>
        <w:rPr>
          <w:b/>
        </w:rPr>
        <w:t xml:space="preserve">Formulaire : </w:t>
      </w:r>
      <w:r>
        <w:t xml:space="preserve">recueil de modèles d’actes destinés aux praticiens. Le formulaire de Marculf, au VIIe siècle, témoigne de la persistance de techniques juridiques romaines.</w:t>
      </w:r>
    </w:p>
    <w:p>
      <w:pPr>
        <w:pStyle w:val="Heading3"/>
        <w:keepNext/>
        <w:pageBreakBefore w:val="0"/>
      </w:pPr>
      <w:r>
        <w:t xml:space="preserve">Personnalité et territorialisation des lois</w:t>
      </w:r>
    </w:p>
    <w:p>
      <w:pPr>
        <w:pStyle w:val="Definition"/>
        <w:pageBreakBefore w:val="0"/>
      </w:pPr>
      <w:r>
        <w:rPr>
          <w:b/>
        </w:rPr>
        <w:t xml:space="preserve">Personnalité des lois : </w:t>
      </w:r>
      <w:r>
        <w:t xml:space="preserve">application, en principe, de la loi du peuple auquel appartient une personne. Plusieurs droits peuvent donc coexister sur un même territoire.</w:t>
      </w:r>
    </w:p>
    <w:p>
      <w:pPr>
        <w:pStyle w:val="Definition"/>
        <w:pageBreakBefore w:val="0"/>
      </w:pPr>
      <w:r>
        <w:rPr>
          <w:b/>
        </w:rPr>
        <w:t xml:space="preserve">Professio legis : </w:t>
      </w:r>
      <w:r>
        <w:t xml:space="preserve">déclaration de la loi sous laquelle une personne vit, utile pour identifier le droit applicable au procès.</w:t>
      </w:r>
    </w:p>
    <w:p>
      <w:pPr>
        <w:pageBreakBefore w:val="0"/>
      </w:pPr>
      <w:r>
        <w:t xml:space="preserve">La loi personnelle dépend principalement de la naissance, avec des règles particulières pour l’enfant, l’affranchi, la femme mariée et les clercs. En cas de lois différentes entre parties, les règles de choix évoluent : le cours distingue notamment la loi du défendeur puis, progressivement, celle de la victime.</w:t>
      </w:r>
    </w:p>
    <w:p>
      <w:pPr>
        <w:pageBreakBefore w:val="0"/>
      </w:pPr>
      <w:r>
        <w:t xml:space="preserve">Les déplacements, mariages et mélanges des populations compliquent ce système. Le lieu de vie ou de jugement devient progressivement plus important : c’est la territorialisation. Ce mouvement ne signifie pas l’abolition soudaine de toutes les lois personnelles.</w:t>
      </w:r>
    </w:p>
    <w:p>
      <w:pPr>
        <w:pStyle w:val="KeyPoint"/>
        <w:pageBreakBefore w:val="0"/>
      </w:pPr>
      <w:r>
        <w:t xml:space="preserve">Comparaison : personnalité = critère lié à la personne et à son groupe ; territorialité = critère lié au lieu. Les capitulaires accompagnent la transition sans supprimer instantanément le pluralisme.</w:t>
      </w:r>
    </w:p>
    <w:p>
      <w:pPr>
        <w:pStyle w:val="Heading2"/>
        <w:keepNext/>
        <w:pageBreakBefore w:val="0"/>
      </w:pPr>
      <w:r>
        <w:t xml:space="preserve">Section 2 Les sources carolingiennes</w:t>
      </w:r>
    </w:p>
    <w:p>
      <w:pPr>
        <w:pageBreakBefore w:val="0"/>
      </w:pPr>
      <w:r>
        <w:t xml:space="preserve">Le renforcement royal puis impérial redonne une place à la législation générale. La renaissance carolingienne favorise écoles, copie des manuscrits et recours aux conseillers. Charlemagne emploie des règles écrites pour gouverner un territoire étendu.</w:t>
      </w:r>
    </w:p>
    <w:p>
      <w:pPr>
        <w:pageBreakBefore w:val="0"/>
      </w:pPr>
      <w:r>
        <w:t xml:space="preserve">L’Admonitio generalis de 789 concerne notamment discipline religieuse, administration et instruction. Louis le Pieux poursuit l’activité législative ; les conflits et Verdun affaiblissent ensuite l’unité politique.</w:t>
      </w:r>
    </w:p>
    <w:p>
      <w:pPr>
        <w:pStyle w:val="Definition"/>
        <w:pageBreakBefore w:val="0"/>
      </w:pPr>
      <w:r>
        <w:rPr>
          <w:b/>
        </w:rPr>
        <w:t xml:space="preserve">Capitulaire : </w:t>
      </w:r>
      <w:r>
        <w:t xml:space="preserve">texte normatif du roi ou de l’empereur carolingien, divisé en capitula et portant sur des matières diverses.</w:t>
      </w:r>
    </w:p>
    <w:p>
      <w:pPr>
        <w:pStyle w:val="ListBullet"/>
        <w:pageBreakBefore w:val="0"/>
        <w:spacing w:after="40"/>
      </w:pPr>
      <w:r>
        <w:t xml:space="preserve">Capitulaires ajoutés aux lois des peuples : complètent ou modifient une loi personnelle.</w:t>
      </w:r>
    </w:p>
    <w:p>
      <w:pPr>
        <w:pStyle w:val="ListBullet"/>
        <w:pageBreakBefore w:val="0"/>
        <w:spacing w:after="40"/>
      </w:pPr>
      <w:r>
        <w:t xml:space="preserve">Capitulaires autonomes : édictent des règles indépendantes des anciennes lois personnelles, souvent dans une perspective plus territoriale.</w:t>
      </w:r>
    </w:p>
    <w:p>
      <w:pPr>
        <w:pStyle w:val="ListBullet"/>
        <w:pageBreakBefore w:val="0"/>
        <w:spacing w:after="40"/>
      </w:pPr>
      <w:r>
        <w:t xml:space="preserve">Capitulaires ecclésiastiques : concernent l’Église, sa discipline et ses relations avec le pouvoir.</w:t>
      </w:r>
    </w:p>
    <w:p>
      <w:pPr>
        <w:pageBreakBefore w:val="0"/>
      </w:pPr>
      <w:r>
        <w:t xml:space="preserve">Ces catégories ne rendent pas immédiatement tout le droit uniforme. L’édit de Pîtres de 864 illustre déjà la place du lieu où la justice est rendue dans la détermination des règles applicables.</w:t>
      </w:r>
    </w:p>
    <w:p>
      <w:pPr>
        <w:pStyle w:val="Heading2"/>
        <w:keepNext/>
        <w:pageBreakBefore w:val="0"/>
      </w:pPr>
      <w:r>
        <w:t xml:space="preserve">Section 3 La justice franque</w:t>
      </w:r>
    </w:p>
    <w:p>
      <w:pPr>
        <w:pStyle w:val="Heading3"/>
        <w:keepNext/>
        <w:pageBreakBefore w:val="0"/>
      </w:pPr>
      <w:r>
        <w:t xml:space="preserve">Juridictions et acteurs</w:t>
      </w:r>
    </w:p>
    <w:p>
      <w:pPr>
        <w:pageBreakBefore w:val="0"/>
      </w:pPr>
      <w:r>
        <w:t xml:space="preserve">Il n’existe pas une hiérarchie de juridictions semblable à celle d’aujourd’hui. Le tribunal du roi, ou tribunal palatin, traite surtout des affaires graves ou intéressant le souverain et des personnes de rang élevé ; ce n’est pas une cour d’appel moderne.</w:t>
      </w:r>
    </w:p>
    <w:p>
      <w:pPr>
        <w:pStyle w:val="Definition"/>
        <w:pageBreakBefore w:val="0"/>
      </w:pPr>
      <w:r>
        <w:rPr>
          <w:b/>
        </w:rPr>
        <w:t xml:space="preserve">Mallus : </w:t>
      </w:r>
      <w:r>
        <w:t xml:space="preserve">tribunal local des hommes libres du comté, présidé par le comte ou son vicaire.</w:t>
      </w:r>
    </w:p>
    <w:p>
      <w:pPr>
        <w:pStyle w:val="Definition"/>
        <w:pageBreakBefore w:val="0"/>
      </w:pPr>
      <w:r>
        <w:rPr>
          <w:b/>
        </w:rPr>
        <w:t xml:space="preserve">Rachimbourgs : </w:t>
      </w:r>
      <w:r>
        <w:t xml:space="preserve">hommes libres qui participent à dire le droit dans la justice mérovingienne, en s’appuyant notamment sur les usages du groupe.</w:t>
      </w:r>
    </w:p>
    <w:p>
      <w:pPr>
        <w:pStyle w:val="Definition"/>
        <w:pageBreakBefore w:val="0"/>
      </w:pPr>
      <w:r>
        <w:rPr>
          <w:b/>
        </w:rPr>
        <w:t xml:space="preserve">Scabins ou échevins : </w:t>
      </w:r>
      <w:r>
        <w:t xml:space="preserve">participants à l’activité judiciaire choisis plus durablement sous les Carolingiens.</w:t>
      </w:r>
    </w:p>
    <w:p>
      <w:pPr>
        <w:pStyle w:val="Definition"/>
        <w:pageBreakBefore w:val="0"/>
      </w:pPr>
      <w:r>
        <w:rPr>
          <w:b/>
        </w:rPr>
        <w:t xml:space="preserve">Missi dominici : </w:t>
      </w:r>
      <w:r>
        <w:t xml:space="preserve">envoyés du souverain chargés de contrôler les autorités locales, de recevoir des plaintes et de participer à l’exercice de son autorité, souvent par paire laïque et ecclésiastique.</w:t>
      </w:r>
    </w:p>
    <w:p>
      <w:pPr>
        <w:pageBreakBefore w:val="0"/>
      </w:pPr>
      <w:r>
        <w:t xml:space="preserve">Les causes majeures sont notamment liées aux crimes graves, à l’état des personnes et à la propriété ; des causes mineures peuvent être jugées sous le vicaire. Les immunités limitent l’intervention des agents ordinaires sur certains domaines, souvent ecclésiastiques, et favorisent des pouvoirs locaux ; elles ne suffisent pas, à elles seules, à expliquer la féodalité.</w:t>
      </w:r>
    </w:p>
    <w:p>
      <w:pPr>
        <w:pStyle w:val="Heading3"/>
        <w:keepNext/>
        <w:pageBreakBefore w:val="0"/>
      </w:pPr>
      <w:r>
        <w:t xml:space="preserve">Les caractères de la procédure</w:t>
      </w:r>
    </w:p>
    <w:p>
      <w:pPr>
        <w:pStyle w:val="Definition"/>
        <w:pageBreakBefore w:val="0"/>
      </w:pPr>
      <w:r>
        <w:rPr>
          <w:b/>
        </w:rPr>
        <w:t xml:space="preserve">Procédure accusatoire : </w:t>
      </w:r>
      <w:r>
        <w:t xml:space="preserve">le procès dépend principalement de l’initiative des parties ; le juge agit surtout comme arbitre.</w:t>
      </w:r>
    </w:p>
    <w:p>
      <w:pPr>
        <w:pStyle w:val="Definition"/>
        <w:pageBreakBefore w:val="0"/>
      </w:pPr>
      <w:r>
        <w:rPr>
          <w:b/>
        </w:rPr>
        <w:t xml:space="preserve">Procédure inquisitoire : </w:t>
      </w:r>
      <w:r>
        <w:t xml:space="preserve">l’autorité judiciaire prend une part plus active au déclenchement et à la recherche des preuves. La distinction décrit des tendances et n’exclut pas des pratiques mixtes.</w:t>
      </w:r>
    </w:p>
    <w:p>
      <w:pPr>
        <w:pageBreakBefore w:val="0"/>
      </w:pPr>
      <w:r>
        <w:t xml:space="preserve">La procédure franque est principalement accusatoire, orale et formaliste, avec une forte coloration pénale. Les paroles, formules et gestes doivent intervenir au moment et dans les formes attendues. Un prolocutor peut aider une partie à prononcer correctement sa demande.</w:t>
      </w:r>
    </w:p>
    <w:p>
      <w:pPr>
        <w:pageBreakBefore w:val="0"/>
      </w:pPr>
      <w:r>
        <w:t xml:space="preserve">Les catégories actuelles de droit civil et pénal ne sont pas nettement séparées. La réparation d’une atteinte peut aussi racheter la vengeance du groupe et rétablir la paix. Il faut donc éviter une projection directe des procédures contemporaines.</w:t>
      </w:r>
    </w:p>
    <w:p>
      <w:pPr>
        <w:pStyle w:val="Heading3"/>
        <w:keepNext/>
        <w:pageBreakBefore w:val="0"/>
      </w:pPr>
      <w:r>
        <w:t xml:space="preserve">Les moyens de preuve</w:t>
      </w:r>
    </w:p>
    <w:p>
      <w:pPr>
        <w:pStyle w:val="ListBullet"/>
        <w:pageBreakBefore w:val="0"/>
        <w:spacing w:after="40"/>
      </w:pPr>
      <w:r>
        <w:t xml:space="preserve">Preuves rationnelles : écrit, témoignage et aveu. L’écrit est plus rare, mais sa valeur ne disparaît pas.</w:t>
      </w:r>
    </w:p>
    <w:p>
      <w:pPr>
        <w:pStyle w:val="ListBullet"/>
        <w:pageBreakBefore w:val="0"/>
        <w:spacing w:after="40"/>
      </w:pPr>
      <w:r>
        <w:t xml:space="preserve">Serment purgatoire : la personne mise en cause jure pour se disculper. Honneur et statut contribuent à sa crédibilité.</w:t>
      </w:r>
    </w:p>
    <w:p>
      <w:pPr>
        <w:pStyle w:val="ListBullet"/>
        <w:pageBreakBefore w:val="0"/>
        <w:spacing w:after="40"/>
      </w:pPr>
      <w:r>
        <w:t xml:space="preserve">Co-jureurs : proches soutenant la moralité et la crédibilité du jureur. Ils ne témoignent pas nécessairement des faits.</w:t>
      </w:r>
    </w:p>
    <w:p>
      <w:pPr>
        <w:pStyle w:val="Definition"/>
        <w:pageBreakBefore w:val="0"/>
      </w:pPr>
      <w:r>
        <w:rPr>
          <w:b/>
        </w:rPr>
        <w:t xml:space="preserve">Ordalie : </w:t>
      </w:r>
      <w:r>
        <w:t xml:space="preserve">épreuve judiciaire dont le résultat est interprété comme un jugement divin ; elle est un moyen de preuve, non une sanction.</w:t>
      </w:r>
    </w:p>
    <w:p>
      <w:pPr>
        <w:pageBreakBefore w:val="0"/>
      </w:pPr>
      <w:r>
        <w:t xml:space="preserve">Eau froide : le fait de flotter est généralement défavorable ; s’enfoncer est interprété favorablement. Eau chaude ou fer rouge : une blessure est examinée après un délai et reçoit une interprétation rituelle. Pain et fromage : l’impossibilité de déglutir est défavorable. Les modalités varient selon les lieux et les périodes.</w:t>
      </w:r>
    </w:p>
    <w:p>
      <w:pPr>
        <w:pageBreakBefore w:val="0"/>
      </w:pPr>
      <w:r>
        <w:t xml:space="preserve">Les ordalies bilatérales opposent deux parties : épreuve de la croix, duel judiciaire, éventuellement par champions. Leur emploi n’est pas automatique dès qu’un écrit manque ; il dépend du droit, de l’affaire et des preuves disponibles.</w:t>
      </w:r>
    </w:p>
    <w:p>
      <w:pPr>
        <w:pageBreakBefore w:val="0"/>
      </w:pPr>
      <w:r>
        <w:t xml:space="preserve">L’Église n’a pas une position uniformément favorable. Agobard de Lyon critique ces procédés au IXe siècle. En 1215, le canon 18 du IVe concile du Latran interdit notamment aux clercs de bénir les épreuves de l’eau et du fer rouge : leur recul est favorisé, sans disparition immédiate partout.</w:t>
      </w:r>
    </w:p>
    <w:p>
      <w:pPr>
        <w:pStyle w:val="SmallNote"/>
        <w:pageBreakBefore w:val="0"/>
      </w:pPr>
      <w:r>
        <w:t xml:space="preserve">Le duel Carrouges–Le Gris de 1386 est un repère concernant le Parlement de Paris ; il ne démontre pas la fin de tout duel judiciaire dans le royaume.</w:t>
      </w:r>
    </w:p>
    <w:p>
      <w:pPr>
        <w:pStyle w:val="Heading3"/>
        <w:keepNext/>
        <w:pageBreakBefore w:val="0"/>
      </w:pPr>
      <w:r>
        <w:t xml:space="preserve">Les sanctions et leurs fonctions</w:t>
      </w:r>
    </w:p>
    <w:p>
      <w:pPr>
        <w:pageBreakBefore w:val="0"/>
      </w:pPr>
      <w:r>
        <w:t xml:space="preserve">Les sanctions privées tendent notamment à réparer et pacifier ; les sanctions publiques répriment une atteinte à l’ordre et à l’autorité. Ces fonctions peuvent se combiner. Les tarifs de compositions reflètent les inégalités de statut.</w:t>
      </w:r>
    </w:p>
    <w:p>
      <w:pPr>
        <w:pStyle w:val="Definition"/>
        <w:pageBreakBefore w:val="0"/>
      </w:pPr>
      <w:r>
        <w:rPr>
          <w:b/>
        </w:rPr>
        <w:t xml:space="preserve">Faida : </w:t>
      </w:r>
      <w:r>
        <w:t xml:space="preserve">vengeance privée du groupe ou de la famille, que la composition cherche à racheter et à interrompre.</w:t>
      </w:r>
    </w:p>
    <w:p>
      <w:pPr>
        <w:pStyle w:val="Definition"/>
        <w:pageBreakBefore w:val="0"/>
      </w:pPr>
      <w:r>
        <w:rPr>
          <w:b/>
        </w:rPr>
        <w:t xml:space="preserve">Fredus : </w:t>
      </w:r>
      <w:r>
        <w:t xml:space="preserve">part ou paiement lié à l’atteinte à la paix publique, revenant à l’autorité selon le système étudié.</w:t>
      </w:r>
    </w:p>
    <w:p>
      <w:pPr>
        <w:pageBreakBefore w:val="0"/>
      </w:pPr>
      <w:r>
        <w:t xml:space="preserve">Le renforcement carolingien accroît la répression publique des atteintes graves. Peines corporelles, mutilations et mort ne sont toutefois pas inventées à cette époque : c’est leur place dans l’exercice du pouvoir qui se renforce.</w:t>
      </w:r>
    </w:p>
    <w:p>
      <w:pPr>
        <w:pStyle w:val="KeyPoint"/>
        <w:pageBreakBefore w:val="0"/>
      </w:pPr>
      <w:r>
        <w:t xml:space="preserve">Synthèse : pluralité des lois personnelles → législation carolingienne et territorialisation progressive ; justice locale et royale → procédure ritualisée → preuve, réparation et pacification, puis renforcement de la sanction publique.</w:t>
      </w:r>
    </w:p>
    <w:p>
      <w:pPr>
        <w:pStyle w:val="Heading1"/>
        <w:keepNext/>
        <w:pageBreakBefore w:val="0"/>
      </w:pPr>
      <w:r>
        <w:t xml:space="preserve">Chapitre 3 Les sources du droit médiéval</w:t>
      </w:r>
    </w:p>
    <w:p>
      <w:pPr>
        <w:pStyle w:val="Heading2"/>
        <w:keepNext/>
        <w:pageBreakBefore w:val="0"/>
      </w:pPr>
      <w:r>
        <w:t xml:space="preserve">Le cadre politique</w:t>
      </w:r>
    </w:p>
    <w:p>
      <w:pPr>
        <w:pageBreakBefore w:val="0"/>
      </w:pPr>
      <w:r>
        <w:t xml:space="preserve">Dans la périodisation du cours, 987 ouvre la séquence médiévale étudiée, jusqu’au milieu du XVe siècle. Le morcellement politique favorise ducs, comtes, seigneurs et pouvoirs liés au château. Le roi reste présent mais ne dispose pas immédiatement d’une autorité effective uniforme.</w:t>
      </w:r>
    </w:p>
    <w:p>
      <w:pPr>
        <w:pStyle w:val="Definition"/>
        <w:pageBreakBefore w:val="0"/>
      </w:pPr>
      <w:r>
        <w:rPr>
          <w:b/>
        </w:rPr>
        <w:t xml:space="preserve">Suzeraineté : </w:t>
      </w:r>
      <w:r>
        <w:t xml:space="preserve">supériorité dans les rapports féodaux entre seigneurs et vassaux. Elle ne se confond pas avec une souveraineté exercée directement sur tous les sujets.</w:t>
      </w:r>
    </w:p>
    <w:p>
      <w:pPr>
        <w:pageBreakBefore w:val="0"/>
      </w:pPr>
      <w:r>
        <w:t xml:space="preserve">La monarchie affirme progressivement une autorité dépassant les seuls liens féodaux, notamment sous Philippe Auguste, Louis IX et Philippe le Bel. Le droit médiéval associe coutumes, droits savants et législation royale, en interaction plutôt qu’en compartiments isolés.</w:t>
      </w:r>
    </w:p>
    <w:p>
      <w:pPr>
        <w:pStyle w:val="Heading2"/>
        <w:keepNext/>
        <w:pageBreakBefore w:val="0"/>
      </w:pPr>
      <w:r>
        <w:t xml:space="preserve">Section 1 Les coutumes</w:t>
      </w:r>
    </w:p>
    <w:p>
      <w:pPr>
        <w:pageBreakBefore w:val="0"/>
      </w:pPr>
      <w:r>
        <w:t xml:space="preserve">La coutume est un usage tenu pour juridiquement obligatoire. Elle devient de plus en plus attachée à un territoire et joue un rôle majeur pour les biens, successions et rapports familiaux. Sa transmission orale pose la question de la preuve de son existence et de son contenu.</w:t>
      </w:r>
    </w:p>
    <w:p>
      <w:pPr>
        <w:pStyle w:val="Definition"/>
        <w:pageBreakBefore w:val="0"/>
      </w:pPr>
      <w:r>
        <w:rPr>
          <w:b/>
        </w:rPr>
        <w:t xml:space="preserve">Coutume notoire : </w:t>
      </w:r>
      <w:r>
        <w:t xml:space="preserve">coutume connue et reconnue pouvant être appliquée sans démonstration nouvelle dans le contexte étudié.</w:t>
      </w:r>
    </w:p>
    <w:p>
      <w:pPr>
        <w:pStyle w:val="Definition"/>
        <w:pageBreakBefore w:val="0"/>
      </w:pPr>
      <w:r>
        <w:rPr>
          <w:b/>
        </w:rPr>
        <w:t xml:space="preserve">Enquête par turbe : </w:t>
      </w:r>
      <w:r>
        <w:t xml:space="preserve">procédé collectif de constatation d’une coutume ; des personnes réputées connaître les usages délibèrent et donnent un avis commun.</w:t>
      </w:r>
    </w:p>
    <w:p>
      <w:pPr>
        <w:pageBreakBefore w:val="0"/>
      </w:pPr>
      <w:r>
        <w:t xml:space="preserve">Louis IX réglemente l’enquête par turbe en 1270. Elle se développe particulièrement au Nord ; dans le Midi, le témoignage individuel conserve une place. Mémoire et influences sur les personnes consultées limitent la fiabilité. La preuve de la coutume, qui porte sur la règle, doit être distinguée de la preuve des faits.</w:t>
      </w:r>
    </w:p>
    <w:p>
      <w:pPr>
        <w:pStyle w:val="SmallNote"/>
        <w:pageBreakBefore w:val="0"/>
      </w:pPr>
      <w:r>
        <w:t xml:space="preserve">Prolongement mentionné dans le cours : l’ordonnance civile de 1667 supprime l’enquête par turbe et la remplace par un autre mécanisme. Ce repère moderne n’étend pas la fiche à l’ensemble de l’ancien cours.</w:t>
      </w:r>
    </w:p>
    <w:p>
      <w:pPr>
        <w:pStyle w:val="Definition"/>
        <w:pageBreakBefore w:val="0"/>
      </w:pPr>
      <w:r>
        <w:rPr>
          <w:b/>
        </w:rPr>
        <w:t xml:space="preserve">Coutumier : </w:t>
      </w:r>
      <w:r>
        <w:t xml:space="preserve">recueil écrit des coutumes d’un territoire, souvent établi par un praticien. Une rédaction privée n’acquiert pas automatiquement valeur officielle.</w:t>
      </w:r>
    </w:p>
    <w:p>
      <w:pPr>
        <w:pageBreakBefore w:val="0"/>
      </w:pPr>
      <w:r>
        <w:t xml:space="preserve">Des recueils normands apparaissent avant 1220. Le droit normand est marqué par l’histoire du duché et de l’espace anglo-normand après 1066 ; aînesse, masculinité, patrimoines des époux et clameur de haro constituent des repères à replacer selon les biens et les périodes.</w:t>
      </w:r>
    </w:p>
    <w:p>
      <w:pPr>
        <w:pageBreakBefore w:val="0"/>
      </w:pPr>
      <w:r>
        <w:t xml:space="preserve">Les aires coutumières présentent un « esprit de famille », sans identité totale des règles. Bretagne, Flandre et aire orléano-parisienne illustrent cette diversité. L’activité des juridictions et agents royaux influence les usages.</w:t>
      </w:r>
    </w:p>
    <w:p>
      <w:pPr>
        <w:pageBreakBefore w:val="0"/>
      </w:pPr>
      <w:r>
        <w:t xml:space="preserve">Les coutumes de Toulouse sont rédigées et promulguées en 1286 à l’initiative municipale. Le commentaire de 1296 est parfois attribué à Arnaud Arpadelle, mais cette attribution demeure hypothétique.</w:t>
      </w:r>
    </w:p>
    <w:p>
      <w:pPr>
        <w:pageBreakBefore w:val="0"/>
      </w:pPr>
      <w:r>
        <w:t xml:space="preserve">Les Coutumes de Beauvaisis de Beaumanoir, rédigées en 1283, comptent soixante-dix chapitres en ancien français. Son expérience de bailli et les droits savants nourrissent la comparaison des règles et la recherche de solutions : l’ouvrage dépasse un simple inventaire.</w:t>
      </w:r>
    </w:p>
    <w:p>
      <w:pPr>
        <w:pStyle w:val="Heading2"/>
        <w:keepNext/>
        <w:pageBreakBefore w:val="0"/>
      </w:pPr>
      <w:r>
        <w:t xml:space="preserve">Section 2 Les droits savants</w:t>
      </w:r>
    </w:p>
    <w:p>
      <w:pPr>
        <w:pStyle w:val="Definition"/>
        <w:pageBreakBefore w:val="0"/>
      </w:pPr>
      <w:r>
        <w:rPr>
          <w:b/>
        </w:rPr>
        <w:t xml:space="preserve">Droits savants : </w:t>
      </w:r>
      <w:r>
        <w:t xml:space="preserve">droit romain et droit canonique, étudiés et commentés dans les écoles et les universités médiévales, avec un enseignement et des méthodes spécialisés.</w:t>
      </w:r>
    </w:p>
    <w:p>
      <w:pPr>
        <w:pStyle w:val="Heading3"/>
        <w:keepNext/>
        <w:pageBreakBefore w:val="0"/>
      </w:pPr>
      <w:r>
        <w:t xml:space="preserve">La renaissance du droit romain</w:t>
      </w:r>
    </w:p>
    <w:p>
      <w:pPr>
        <w:pageBreakBefore w:val="0"/>
      </w:pPr>
      <w:r>
        <w:t xml:space="preserve">À la fin du XIe et au début du XIIe siècle, la connaissance et l’étude méthodique des compilations de Justinien se développent, particulièrement à Bologne. Le droit romain n’avait pas totalement disparu : Code Théodosien, Bréviaire et fragments en avaient transmis certains éléments.</w:t>
      </w:r>
    </w:p>
    <w:p>
      <w:pPr>
        <w:pStyle w:val="ListBullet"/>
        <w:pageBreakBefore w:val="0"/>
        <w:spacing w:after="40"/>
      </w:pPr>
      <w:r>
        <w:t xml:space="preserve">Facteur politique : les rivalités entre empereur et papauté stimulent la recherche d’arguments juridiques sur l’autorité.</w:t>
      </w:r>
    </w:p>
    <w:p>
      <w:pPr>
        <w:pStyle w:val="ListBullet"/>
        <w:pageBreakBefore w:val="0"/>
        <w:spacing w:after="40"/>
      </w:pPr>
      <w:r>
        <w:t xml:space="preserve">Facteur universitaire : écoles, lecture des textes, grammaire et dialectique favorisent un travail spécialisé.</w:t>
      </w:r>
    </w:p>
    <w:p>
      <w:pPr>
        <w:pStyle w:val="ListBullet"/>
        <w:pageBreakBefore w:val="0"/>
        <w:spacing w:after="40"/>
      </w:pPr>
      <w:r>
        <w:t xml:space="preserve">Facteur économique : essor des villes, échanges, contrats et besoins de règlement des conflits.</w:t>
      </w:r>
    </w:p>
    <w:p>
      <w:pPr>
        <w:pageBreakBefore w:val="0"/>
      </w:pPr>
      <w:r>
        <w:t xml:space="preserve">Les arts libéraux préparent à la lecture et au raisonnement : trivium (grammaire, rhétorique, dialectique) ; quadrivium (arithmétique, géométrie, musique, astronomie). La formation et l’organisation universitaires se construisent progressivement.</w:t>
      </w:r>
    </w:p>
    <w:p>
      <w:pPr>
        <w:pStyle w:val="Definition"/>
        <w:pageBreakBefore w:val="0"/>
      </w:pPr>
      <w:r>
        <w:rPr>
          <w:b/>
        </w:rPr>
        <w:t xml:space="preserve">Glose : </w:t>
      </w:r>
      <w:r>
        <w:t xml:space="preserve">explication des mots et du sens juridique d’un texte, placée entre les lignes ou dans les marges.</w:t>
      </w:r>
    </w:p>
    <w:p>
      <w:pPr>
        <w:pageBreakBefore w:val="0"/>
      </w:pPr>
      <w:r>
        <w:t xml:space="preserve">Pépo et Irnerius figurent parmi les premiers maîtres ; leurs biographies restent mal connues. Les glossateurs de Bologne, dont les quatre docteurs Bulgarus, Martinus, Jacobus et Hugo, développent et diffusent la méthode. La Grande Glose d’Accurse, au XIIIe siècle, rassemble les commentaires antérieurs.</w:t>
      </w:r>
    </w:p>
    <w:p>
      <w:pPr>
        <w:pStyle w:val="Definition"/>
        <w:pageBreakBefore w:val="0"/>
      </w:pPr>
      <w:r>
        <w:rPr>
          <w:b/>
        </w:rPr>
        <w:t xml:space="preserve">Commentateurs ou postglossateurs : </w:t>
      </w:r>
      <w:r>
        <w:t xml:space="preserve">juristes interprétant les textes anciens en les adaptant davantage aux problèmes concrets de leur temps.</w:t>
      </w:r>
    </w:p>
    <w:p>
      <w:pPr>
        <w:pageBreakBefore w:val="0"/>
      </w:pPr>
      <w:r>
        <w:t xml:space="preserve">Jacques de Révigny et Pierre de Belleperche à Orléans, puis Bartole et Balde en Italie, illustrent cette évolution. Le bartolisme discute les arguments pour et contre une solution sans modifier matériellement les anciens codes.</w:t>
      </w:r>
    </w:p>
    <w:p>
      <w:pPr>
        <w:pStyle w:val="Heading3"/>
        <w:keepNext/>
        <w:pageBreakBefore w:val="0"/>
      </w:pPr>
      <w:r>
        <w:t xml:space="preserve">Orléans et Toulouse</w:t>
      </w:r>
    </w:p>
    <w:p>
      <w:pPr>
        <w:pageBreakBefore w:val="0"/>
      </w:pPr>
      <w:r>
        <w:t xml:space="preserve">La décrétale Super speculam d’Honorius III interdit en 1219 l’enseignement du droit civil romain à Paris et dans les environs. Le droit canonique reste enseigné ; l’interdiction ne concerne pas tous les droits. Le cours mentionne le rétablissement du droit romain par l’édit de 1679.</w:t>
      </w:r>
    </w:p>
    <w:p>
      <w:pPr>
        <w:pageBreakBefore w:val="0"/>
      </w:pPr>
      <w:r>
        <w:t xml:space="preserve">La fondation de l’université de Toulouse en 1229 est liée au traité de Meaux-Paris et à la lutte contre l’hérésie dans le contexte de la croisade contre les Albigeois. Théologie, droit canonique et arts libéraux sont soutenus ; le droit romain se développe ensuite. Le comté entre dans le domaine royal en 1271 après la mort sans enfant de Jeanne et Alphonse.</w:t>
      </w:r>
    </w:p>
    <w:p>
      <w:pPr>
        <w:pStyle w:val="Heading3"/>
        <w:keepNext/>
        <w:pageBreakBefore w:val="0"/>
      </w:pPr>
      <w:r>
        <w:t xml:space="preserve">Le droit canonique et ses collections</w:t>
      </w:r>
    </w:p>
    <w:p>
      <w:pPr>
        <w:pStyle w:val="Definition"/>
        <w:pageBreakBefore w:val="0"/>
      </w:pPr>
      <w:r>
        <w:rPr>
          <w:b/>
        </w:rPr>
        <w:t xml:space="preserve">Droit canonique : </w:t>
      </w:r>
      <w:r>
        <w:t xml:space="preserve">droit de l’Église, relatif à son organisation, aux clercs et à des questions touchant la société chrétienne, notamment mariage et procédure. Il se distingue de la théologie.</w:t>
      </w:r>
    </w:p>
    <w:p>
      <w:pPr>
        <w:pageBreakBefore w:val="0"/>
      </w:pPr>
      <w:r>
        <w:t xml:space="preserve">Sources : prescriptions bibliques, Pères de l’Église, canons des conciles, décrétales pontificales, textes disciplinaires et pénitentiels, ainsi que certaines législations politiques relatives à l’Église.</w:t>
      </w:r>
    </w:p>
    <w:p>
      <w:pPr>
        <w:pageBreakBefore w:val="0"/>
      </w:pPr>
      <w:r>
        <w:t xml:space="preserve">La réforme grégorienne du XIe siècle renforce l’autorité pontificale, notamment avec Grégoire VII, pape de 1073 à 1085. Des auteurs tels Yves de Chartres réunissent les sources en collections.</w:t>
      </w:r>
    </w:p>
    <w:p>
      <w:pPr>
        <w:pStyle w:val="Definition"/>
        <w:pageBreakBefore w:val="0"/>
      </w:pPr>
      <w:r>
        <w:rPr>
          <w:b/>
        </w:rPr>
        <w:t xml:space="preserve">Décret de Gratien : </w:t>
      </w:r>
      <w:r>
        <w:t xml:space="preserve">œuvre doctrinale privée, élaborée vers 1140 puis enrichie, qui confronte et concilie des canons apparemment contradictoires. Ce n’est pas une loi promulguée par le pape.</w:t>
      </w:r>
    </w:p>
    <w:p>
      <w:pPr>
        <w:pageBreakBefore w:val="0"/>
      </w:pPr>
      <w:r>
        <w:t xml:space="preserve">Son titre, Concordia discordantium canonum, renvoie à la concorde de canons discordants. La méthode distingue autorité, ancienneté, objet et circonstances pour préciser les conditions d’application. L’ouvrage devient une base de l’enseignement canonique.</w:t>
      </w:r>
    </w:p>
    <w:p>
      <w:pPr>
        <w:pStyle w:val="Definition"/>
        <w:pageBreakBefore w:val="0"/>
      </w:pPr>
      <w:r>
        <w:rPr>
          <w:b/>
        </w:rPr>
        <w:t xml:space="preserve">Décrétistes et décrétalistes : </w:t>
      </w:r>
      <w:r>
        <w:t xml:space="preserve">les premiers étudient le Décret de Gratien ; les seconds les recueils de décrétales pontificales.</w:t>
      </w:r>
    </w:p>
    <w:p>
      <w:pPr>
        <w:pStyle w:val="Definition"/>
        <w:pageBreakBefore w:val="0"/>
      </w:pPr>
      <w:r>
        <w:rPr>
          <w:b/>
        </w:rPr>
        <w:t xml:space="preserve">Décrétale : </w:t>
      </w:r>
      <w:r>
        <w:t xml:space="preserve">décision pontificale, souvent liée à une question ou un litige, susceptible de servir de référence normative.</w:t>
      </w:r>
    </w:p>
    <w:p>
      <w:pPr>
        <w:pStyle w:val="ListBullet"/>
        <w:pageBreakBefore w:val="0"/>
        <w:spacing w:after="40"/>
      </w:pPr>
      <w:r>
        <w:t xml:space="preserve">1234 : Décrétales de Grégoire IX ou Liber extra, préparées par Raymond de Peñafort ; recueil officiel en cinq livres.</w:t>
      </w:r>
    </w:p>
    <w:p>
      <w:pPr>
        <w:pStyle w:val="ListBullet"/>
        <w:pageBreakBefore w:val="0"/>
        <w:spacing w:after="40"/>
      </w:pPr>
      <w:r>
        <w:t xml:space="preserve">1298 : Sexte ou Liber sextus de Boniface VIII, prolongeant les collections précédentes.</w:t>
      </w:r>
    </w:p>
    <w:p>
      <w:pPr>
        <w:pStyle w:val="ListBullet"/>
        <w:pageBreakBefore w:val="0"/>
        <w:spacing w:after="40"/>
      </w:pPr>
      <w:r>
        <w:t xml:space="preserve">1314 puis 1317 : Clémentines ; la diffusion officielle sous Jean XXII est rattachée à 1317.</w:t>
      </w:r>
    </w:p>
    <w:p>
      <w:pPr>
        <w:pStyle w:val="ListBullet"/>
        <w:pageBreakBefore w:val="0"/>
        <w:spacing w:after="40"/>
      </w:pPr>
      <w:r>
        <w:t xml:space="preserve">Extravagantes : collections de décrétales restées en dehors des recueils antérieurs.</w:t>
      </w:r>
    </w:p>
    <w:p>
      <w:pPr>
        <w:pStyle w:val="Definition"/>
        <w:pageBreakBefore w:val="0"/>
      </w:pPr>
      <w:r>
        <w:rPr>
          <w:b/>
        </w:rPr>
        <w:t xml:space="preserve">Corpus iuris canonici : </w:t>
      </w:r>
      <w:r>
        <w:t xml:space="preserve">ensemble de référence progressivement formé autour du Décret et des collections de décrétales, distinct du Corpus iuris civilis romain.</w:t>
      </w:r>
    </w:p>
    <w:p>
      <w:pPr>
        <w:pStyle w:val="SmallNote"/>
        <w:pageBreakBefore w:val="0"/>
      </w:pPr>
      <w:r>
        <w:t xml:space="preserve">Prolongement mentionné : les Institutes de droit canonique de Lancelotti datent de 1563, après la période médiévale. Elles ne doivent pas être replacées artificiellement au XIIe siècle.</w:t>
      </w:r>
    </w:p>
    <w:p>
      <w:pPr>
        <w:pStyle w:val="Heading2"/>
        <w:keepNext/>
        <w:pageBreakBefore w:val="0"/>
      </w:pPr>
      <w:r>
        <w:t xml:space="preserve">Section 3 Le renouveau de la législation royale</w:t>
      </w:r>
    </w:p>
    <w:p>
      <w:pPr>
        <w:pageBreakBefore w:val="0"/>
      </w:pPr>
      <w:r>
        <w:t xml:space="preserve">La production des capitulaires s’affaiblit à la fin du IXe siècle. Jusqu’au milieu du XIIe siècle, la législation royale générale connaît une éclipse. Les rois continuent d’accorder diplômes, privilèges et confirmations : ce n’est pas une disparition de tous les actes royaux.</w:t>
      </w:r>
    </w:p>
    <w:p>
      <w:pPr>
        <w:pageBreakBefore w:val="0"/>
      </w:pPr>
      <w:r>
        <w:t xml:space="preserve">La dispersion féodale du pouvoir limite leur capacité à imposer des règles au-delà du domaine. L’agrandissement de celui-ci et l’affirmation du roi comme garant de la paix et de la justice accroissent ensuite ses moyens. Le droit romain fournit aussi des arguments sur le pouvoir normatif.</w:t>
      </w:r>
    </w:p>
    <w:p>
      <w:pPr>
        <w:pageBreakBefore w:val="0"/>
      </w:pPr>
      <w:r>
        <w:t xml:space="preserve">En 1155, Louis VII proclame à Soissons une paix de dix ans avec l’appui de prélats et grands seigneurs. Le texte dépasse le seul domaine royal, mais son application dépend encore de leur engagement. Il ne supprime pas définitivement toutes les guerres privées.</w:t>
      </w:r>
    </w:p>
    <w:p>
      <w:pPr>
        <w:pageBreakBefore w:val="0"/>
      </w:pPr>
      <w:r>
        <w:t xml:space="preserve">Sous Philippe Auguste, 1180–1223, l’activité législative se poursuit parallèlement à l’extension du domaine et au renforcement royal. Le roi reprend une place parmi les producteurs du droit, aux côtés des coutumes et des droits savants.</w:t>
      </w:r>
    </w:p>
    <w:p>
      <w:pPr>
        <w:pStyle w:val="KeyPoint"/>
        <w:pageBreakBefore w:val="0"/>
      </w:pPr>
      <w:r>
        <w:t xml:space="preserve">Limite du cours actuel : la fiche s’arrête à ce renouveau de la législation royale. Les développements ultérieurs de l’archive ne sont pas présentés comme des cours actuels déjà suivis.</w:t>
      </w:r>
    </w:p>
    <w:p>
      <w:pPr>
        <w:pStyle w:val="Heading1"/>
        <w:keepNext/>
        <w:pageBreakBefore w:val="0"/>
      </w:pPr>
      <w:r>
        <w:t xml:space="preserve">Synthèse Les distinctions à maîtriser</w:t>
      </w:r>
    </w:p>
    <w:p>
      <w:pPr>
        <w:pStyle w:val="ListBullet"/>
        <w:pageBreakBefore w:val="0"/>
        <w:spacing w:after="40"/>
      </w:pPr>
      <w:r>
        <w:t xml:space="preserve">Coutume et loi : formation progressive par les usages / décision d’une autorité. Une mise par écrit ne transforme pas automatiquement une coutume ou un recueil privé en loi officielle.</w:t>
      </w:r>
    </w:p>
    <w:p>
      <w:pPr>
        <w:pStyle w:val="ListBullet"/>
        <w:pageBreakBefore w:val="0"/>
        <w:spacing w:after="40"/>
      </w:pPr>
      <w:r>
        <w:t xml:space="preserve">Périodes politiques et périodes juridiques : royauté, République et Empire ne recouvrent pas exactement ancien droit, droit classique et droit tardif.</w:t>
      </w:r>
    </w:p>
    <w:p>
      <w:pPr>
        <w:pStyle w:val="ListBullet"/>
        <w:pageBreakBefore w:val="0"/>
        <w:spacing w:after="40"/>
      </w:pPr>
      <w:r>
        <w:t xml:space="preserve">Préteur et juge : organisation du procès et formule / examen des faits et jugement.</w:t>
      </w:r>
    </w:p>
    <w:p>
      <w:pPr>
        <w:pStyle w:val="ListBullet"/>
        <w:pageBreakBefore w:val="0"/>
        <w:spacing w:after="40"/>
      </w:pPr>
      <w:r>
        <w:t xml:space="preserve">Jurisprudence romaine et contemporaine : activité savante des jurisconsultes / solutions issues des décisions judiciaires.</w:t>
      </w:r>
    </w:p>
    <w:p>
      <w:pPr>
        <w:pStyle w:val="ListBullet"/>
        <w:pageBreakBefore w:val="0"/>
        <w:spacing w:after="40"/>
      </w:pPr>
      <w:r>
        <w:t xml:space="preserve">Code et Digeste : constitutions impériales / extraits de juristes. Institutes = enseignement ; Novelles = législation nouvelle.</w:t>
      </w:r>
    </w:p>
    <w:p>
      <w:pPr>
        <w:pStyle w:val="ListBullet"/>
        <w:pageBreakBefore w:val="0"/>
        <w:spacing w:after="40"/>
      </w:pPr>
      <w:r>
        <w:t xml:space="preserve">Personnalité et territorialité des lois : loi liée au groupe personnel / loi liée au territoire.</w:t>
      </w:r>
    </w:p>
    <w:p>
      <w:pPr>
        <w:pStyle w:val="ListBullet"/>
        <w:pageBreakBefore w:val="0"/>
        <w:spacing w:after="40"/>
      </w:pPr>
      <w:r>
        <w:t xml:space="preserve">Témoin et co-jureur : connaissance des faits / soutien à la crédibilité et à l’honneur du jureur.</w:t>
      </w:r>
    </w:p>
    <w:p>
      <w:pPr>
        <w:pStyle w:val="ListBullet"/>
        <w:pageBreakBefore w:val="0"/>
        <w:spacing w:after="40"/>
      </w:pPr>
      <w:r>
        <w:t xml:space="preserve">Preuve et sanction : l’ordalie vise à établir le bon droit ; la composition ou la peine intervient pour réparer, pacifier ou réprimer.</w:t>
      </w:r>
    </w:p>
    <w:p>
      <w:pPr>
        <w:pStyle w:val="ListBullet"/>
        <w:pageBreakBefore w:val="0"/>
        <w:spacing w:after="40"/>
      </w:pPr>
      <w:r>
        <w:t xml:space="preserve">Coutumier privé et compilation officielle : connaître la règle / disposer d’un texte produit ou promulgué sous l’autorité compétente.</w:t>
      </w:r>
    </w:p>
    <w:p>
      <w:pPr>
        <w:pStyle w:val="ListBullet"/>
        <w:pageBreakBefore w:val="0"/>
        <w:spacing w:after="40"/>
      </w:pPr>
      <w:r>
        <w:t xml:space="preserve">Glose et commentaire : explication du texte / raisonnement plus orienté vers les problèmes concrets et son adaptation.</w:t>
      </w:r>
    </w:p>
    <w:p>
      <w:pPr>
        <w:pStyle w:val="ListBullet"/>
        <w:pageBreakBefore w:val="0"/>
        <w:spacing w:after="40"/>
      </w:pPr>
      <w:r>
        <w:t xml:space="preserve">Décret de Gratien et décrétales : œuvre doctrinale privée / décisions pontificales et recueils officiels pour certaines collections.</w:t>
      </w:r>
    </w:p>
    <w:p>
      <w:pPr>
        <w:pStyle w:val="ListBullet"/>
        <w:pageBreakBefore w:val="0"/>
        <w:spacing w:after="40"/>
      </w:pPr>
      <w:r>
        <w:t xml:space="preserve">Suzeraineté et souveraineté : liens féodaux / affirmation progressive d’une autorité dépassant ces liens.</w:t>
      </w:r>
    </w:p>
    <w:p>
      <w:pPr>
        <w:pStyle w:val="Heading1"/>
        <w:keepNext/>
        <w:pageBreakBefore w:val="0"/>
      </w:pPr>
      <w:r>
        <w:t xml:space="preserve">Chronologie de révision</w:t>
      </w:r>
    </w:p>
    <w:p>
      <w:pPr>
        <w:pStyle w:val="ListBullet"/>
        <w:pageBreakBefore w:val="0"/>
        <w:spacing w:after="40"/>
      </w:pPr>
      <w:r>
        <w:t xml:space="preserve">753 av. J.-C. — Fondation légendaire de Rome dans la tradition.</w:t>
      </w:r>
    </w:p>
    <w:p>
      <w:pPr>
        <w:pStyle w:val="ListBullet"/>
        <w:pageBreakBefore w:val="0"/>
        <w:spacing w:after="40"/>
      </w:pPr>
      <w:r>
        <w:t xml:space="preserve">509 av. J.-C. — Fin traditionnelle de la royauté romaine.</w:t>
      </w:r>
    </w:p>
    <w:p>
      <w:pPr>
        <w:pStyle w:val="ListBullet"/>
        <w:pageBreakBefore w:val="0"/>
        <w:spacing w:after="40"/>
      </w:pPr>
      <w:r>
        <w:t xml:space="preserve">451–450 av. J.-C. — Datation traditionnelle des XII Tables.</w:t>
      </w:r>
    </w:p>
    <w:p>
      <w:pPr>
        <w:pStyle w:val="ListBullet"/>
        <w:pageBreakBefore w:val="0"/>
        <w:spacing w:after="40"/>
      </w:pPr>
      <w:r>
        <w:t xml:space="preserve">445 av. J.-C. — Loi Canuleia et mariage entre patriciens et plébéiens.</w:t>
      </w:r>
    </w:p>
    <w:p>
      <w:pPr>
        <w:pStyle w:val="ListBullet"/>
        <w:pageBreakBefore w:val="0"/>
        <w:spacing w:after="40"/>
      </w:pPr>
      <w:r>
        <w:t xml:space="preserve">339 av. J.-C. — Lex Publilia Philonis et auctoritas patrum avant le vote.</w:t>
      </w:r>
    </w:p>
    <w:p>
      <w:pPr>
        <w:pStyle w:val="ListBullet"/>
        <w:pageBreakBefore w:val="0"/>
        <w:spacing w:after="40"/>
      </w:pPr>
      <w:r>
        <w:t xml:space="preserve">242 av. J.-C. — Création du préteur pérégrin.</w:t>
      </w:r>
    </w:p>
    <w:p>
      <w:pPr>
        <w:pStyle w:val="ListBullet"/>
        <w:pageBreakBefore w:val="0"/>
        <w:spacing w:after="40"/>
      </w:pPr>
      <w:r>
        <w:t xml:space="preserve">44 av. J.-C. — Assassinat de César le 15 mars.</w:t>
      </w:r>
    </w:p>
    <w:p>
      <w:pPr>
        <w:pStyle w:val="ListBullet"/>
        <w:pageBreakBefore w:val="0"/>
        <w:spacing w:after="40"/>
      </w:pPr>
      <w:r>
        <w:t xml:space="preserve">31 av. J.-C. — Bataille d’Actium.</w:t>
      </w:r>
    </w:p>
    <w:p>
      <w:pPr>
        <w:pStyle w:val="ListBullet"/>
        <w:pageBreakBefore w:val="0"/>
        <w:spacing w:after="40"/>
      </w:pPr>
      <w:r>
        <w:t xml:space="preserve">27 av. J.-C. — Octave reçoit le titre d’Auguste ; début traditionnel du Principat.</w:t>
      </w:r>
    </w:p>
    <w:p>
      <w:pPr>
        <w:pStyle w:val="ListBullet"/>
        <w:pageBreakBefore w:val="0"/>
        <w:spacing w:after="40"/>
      </w:pPr>
      <w:r>
        <w:t xml:space="preserve">Vers 125–130 — Fixation de l’édit sous Hadrien par Julien.</w:t>
      </w:r>
    </w:p>
    <w:p>
      <w:pPr>
        <w:pStyle w:val="ListBullet"/>
        <w:pageBreakBefore w:val="0"/>
        <w:spacing w:after="40"/>
      </w:pPr>
      <w:r>
        <w:t xml:space="preserve">212 — Caracalla étend la citoyenneté à presque tous les habitants libres.</w:t>
      </w:r>
    </w:p>
    <w:p>
      <w:pPr>
        <w:pStyle w:val="ListBullet"/>
        <w:pageBreakBefore w:val="0"/>
        <w:spacing w:after="40"/>
      </w:pPr>
      <w:r>
        <w:t xml:space="preserve">284 et 293 — Dioclétien prend le pouvoir, puis met en place la Tétrarchie.</w:t>
      </w:r>
    </w:p>
    <w:p>
      <w:pPr>
        <w:pStyle w:val="ListBullet"/>
        <w:pageBreakBefore w:val="0"/>
        <w:spacing w:after="40"/>
      </w:pPr>
      <w:r>
        <w:t xml:space="preserve">313 — Mesures de liberté du culte chrétien associées à Constantin et Licinius.</w:t>
      </w:r>
    </w:p>
    <w:p>
      <w:pPr>
        <w:pStyle w:val="ListBullet"/>
        <w:pageBreakBefore w:val="0"/>
        <w:spacing w:after="40"/>
      </w:pPr>
      <w:r>
        <w:t xml:space="preserve">330 — Inauguration de Constantinople.</w:t>
      </w:r>
    </w:p>
    <w:p>
      <w:pPr>
        <w:pStyle w:val="ListBullet"/>
        <w:pageBreakBefore w:val="0"/>
        <w:spacing w:after="40"/>
      </w:pPr>
      <w:r>
        <w:t xml:space="preserve">380 — Édit de Thessalonique et place officielle du christianisme nicéen.</w:t>
      </w:r>
    </w:p>
    <w:p>
      <w:pPr>
        <w:pStyle w:val="ListBullet"/>
        <w:pageBreakBefore w:val="0"/>
        <w:spacing w:after="40"/>
      </w:pPr>
      <w:r>
        <w:t xml:space="preserve">395 — Après Théodose Ier, éloignement des trajectoires de l’Orient et de l’Occident.</w:t>
      </w:r>
    </w:p>
    <w:p>
      <w:pPr>
        <w:pStyle w:val="ListBullet"/>
        <w:pageBreakBefore w:val="0"/>
        <w:spacing w:after="40"/>
      </w:pPr>
      <w:r>
        <w:t xml:space="preserve">426 — Loi des citations.</w:t>
      </w:r>
    </w:p>
    <w:p>
      <w:pPr>
        <w:pStyle w:val="ListBullet"/>
        <w:pageBreakBefore w:val="0"/>
        <w:spacing w:after="40"/>
      </w:pPr>
      <w:r>
        <w:t xml:space="preserve">438–439 — Code Théodosien : promulgation en Orient, puis application en Occident.</w:t>
      </w:r>
    </w:p>
    <w:p>
      <w:pPr>
        <w:pStyle w:val="ListBullet"/>
        <w:pageBreakBefore w:val="0"/>
        <w:spacing w:after="40"/>
      </w:pPr>
      <w:r>
        <w:t xml:space="preserve">476 — Fin conventionnelle de l’Empire romain d’Occident.</w:t>
      </w:r>
    </w:p>
    <w:p>
      <w:pPr>
        <w:pStyle w:val="ListBullet"/>
        <w:pageBreakBefore w:val="0"/>
        <w:spacing w:after="40"/>
      </w:pPr>
      <w:r>
        <w:t xml:space="preserve">481 — Avènement de Clovis ; début de l’époque franque dans le cours.</w:t>
      </w:r>
    </w:p>
    <w:p>
      <w:pPr>
        <w:pStyle w:val="ListBullet"/>
        <w:pageBreakBefore w:val="0"/>
        <w:spacing w:after="40"/>
      </w:pPr>
      <w:r>
        <w:t xml:space="preserve">Vers 505 — Baptême de Clovis dans la chronologie du cours ; datation discutée.</w:t>
      </w:r>
    </w:p>
    <w:p>
      <w:pPr>
        <w:pStyle w:val="ListBullet"/>
        <w:pageBreakBefore w:val="0"/>
        <w:spacing w:after="40"/>
      </w:pPr>
      <w:r>
        <w:t xml:space="preserve">506 — Bréviaire d’Alaric.</w:t>
      </w:r>
    </w:p>
    <w:p>
      <w:pPr>
        <w:pStyle w:val="ListBullet"/>
        <w:pageBreakBefore w:val="0"/>
        <w:spacing w:after="40"/>
      </w:pPr>
      <w:r>
        <w:t xml:space="preserve">507 — Bataille de Vouillé et mort d’Alaric II.</w:t>
      </w:r>
    </w:p>
    <w:p>
      <w:pPr>
        <w:pStyle w:val="ListBullet"/>
        <w:pageBreakBefore w:val="0"/>
        <w:spacing w:after="40"/>
      </w:pPr>
      <w:r>
        <w:t xml:space="preserve">529 et 534 — Première version puis version définitive du Code de Justinien.</w:t>
      </w:r>
    </w:p>
    <w:p>
      <w:pPr>
        <w:pStyle w:val="ListBullet"/>
        <w:pageBreakBefore w:val="0"/>
        <w:spacing w:after="40"/>
      </w:pPr>
      <w:r>
        <w:t xml:space="preserve">533 — Digeste et Institutes de Justinien.</w:t>
      </w:r>
    </w:p>
    <w:p>
      <w:pPr>
        <w:pStyle w:val="ListBullet"/>
        <w:pageBreakBefore w:val="0"/>
        <w:spacing w:after="40"/>
      </w:pPr>
      <w:r>
        <w:t xml:space="preserve">543 — Novelle 118 sur la succession ab intestat.</w:t>
      </w:r>
    </w:p>
    <w:p>
      <w:pPr>
        <w:pStyle w:val="ListBullet"/>
        <w:pageBreakBefore w:val="0"/>
        <w:spacing w:after="40"/>
      </w:pPr>
      <w:r>
        <w:t xml:space="preserve">751 — Avènement carolingien de Pépin le Bref.</w:t>
      </w:r>
    </w:p>
    <w:p>
      <w:pPr>
        <w:pStyle w:val="ListBullet"/>
        <w:pageBreakBefore w:val="0"/>
        <w:spacing w:after="40"/>
      </w:pPr>
      <w:r>
        <w:t xml:space="preserve">789 — Admonitio generalis.</w:t>
      </w:r>
    </w:p>
    <w:p>
      <w:pPr>
        <w:pStyle w:val="ListBullet"/>
        <w:pageBreakBefore w:val="0"/>
        <w:spacing w:after="40"/>
      </w:pPr>
      <w:r>
        <w:t xml:space="preserve">800 — Couronnement impérial de Charlemagne le 25 décembre.</w:t>
      </w:r>
    </w:p>
    <w:p>
      <w:pPr>
        <w:pStyle w:val="ListBullet"/>
        <w:pageBreakBefore w:val="0"/>
        <w:spacing w:after="40"/>
      </w:pPr>
      <w:r>
        <w:t xml:space="preserve">842–843 — Serments de Strasbourg, puis traité de Verdun.</w:t>
      </w:r>
    </w:p>
    <w:p>
      <w:pPr>
        <w:pStyle w:val="ListBullet"/>
        <w:pageBreakBefore w:val="0"/>
        <w:spacing w:after="40"/>
      </w:pPr>
      <w:r>
        <w:t xml:space="preserve">864 — Édit de Pîtres et place du critère territorial.</w:t>
      </w:r>
    </w:p>
    <w:p>
      <w:pPr>
        <w:pStyle w:val="ListBullet"/>
        <w:pageBreakBefore w:val="0"/>
        <w:spacing w:after="40"/>
      </w:pPr>
      <w:r>
        <w:t xml:space="preserve">987 — Avènement d’Hugues Capet.</w:t>
      </w:r>
    </w:p>
    <w:p>
      <w:pPr>
        <w:pStyle w:val="ListBullet"/>
        <w:pageBreakBefore w:val="0"/>
        <w:spacing w:after="40"/>
      </w:pPr>
      <w:r>
        <w:t xml:space="preserve">Fin XIe–début XIIe siècle — Première renaissance de l’étude du droit romain.</w:t>
      </w:r>
    </w:p>
    <w:p>
      <w:pPr>
        <w:pStyle w:val="ListBullet"/>
        <w:pageBreakBefore w:val="0"/>
        <w:spacing w:after="40"/>
      </w:pPr>
      <w:r>
        <w:t xml:space="preserve">Vers 1140 — Décret de Gratien, ensuite enrichi.</w:t>
      </w:r>
    </w:p>
    <w:p>
      <w:pPr>
        <w:pStyle w:val="ListBullet"/>
        <w:pageBreakBefore w:val="0"/>
        <w:spacing w:after="40"/>
      </w:pPr>
      <w:r>
        <w:t xml:space="preserve">1155 — Paix ou ordonnance de Soissons sous Louis VII.</w:t>
      </w:r>
    </w:p>
    <w:p>
      <w:pPr>
        <w:pStyle w:val="ListBullet"/>
        <w:pageBreakBefore w:val="0"/>
        <w:spacing w:after="40"/>
      </w:pPr>
      <w:r>
        <w:t xml:space="preserve">1215 — IVe concile du Latran, canon 18 et recul des ordalies.</w:t>
      </w:r>
    </w:p>
    <w:p>
      <w:pPr>
        <w:pStyle w:val="ListBullet"/>
        <w:pageBreakBefore w:val="0"/>
        <w:spacing w:after="40"/>
      </w:pPr>
      <w:r>
        <w:t xml:space="preserve">1219 — Super speculam et interdiction du droit romain à Paris et dans les environs.</w:t>
      </w:r>
    </w:p>
    <w:p>
      <w:pPr>
        <w:pStyle w:val="ListBullet"/>
        <w:pageBreakBefore w:val="0"/>
        <w:spacing w:after="40"/>
      </w:pPr>
      <w:r>
        <w:t xml:space="preserve">1229 — Traité de Meaux-Paris et fondation de l’université de Toulouse.</w:t>
      </w:r>
    </w:p>
    <w:p>
      <w:pPr>
        <w:pStyle w:val="ListBullet"/>
        <w:pageBreakBefore w:val="0"/>
        <w:spacing w:after="40"/>
      </w:pPr>
      <w:r>
        <w:t xml:space="preserve">1234 — Liber extra de Grégoire IX.</w:t>
      </w:r>
    </w:p>
    <w:p>
      <w:pPr>
        <w:pStyle w:val="ListBullet"/>
        <w:pageBreakBefore w:val="0"/>
        <w:spacing w:after="40"/>
      </w:pPr>
      <w:r>
        <w:t xml:space="preserve">1270 — Réglementation de l’enquête par turbe sous Louis IX.</w:t>
      </w:r>
    </w:p>
    <w:p>
      <w:pPr>
        <w:pStyle w:val="ListBullet"/>
        <w:pageBreakBefore w:val="0"/>
        <w:spacing w:after="40"/>
      </w:pPr>
      <w:r>
        <w:t xml:space="preserve">1283 — Coutumes de Beauvaisis de Beaumanoir.</w:t>
      </w:r>
    </w:p>
    <w:p>
      <w:pPr>
        <w:pStyle w:val="ListBullet"/>
        <w:pageBreakBefore w:val="0"/>
        <w:spacing w:after="40"/>
      </w:pPr>
      <w:r>
        <w:t xml:space="preserve">1286 — Coutumes de Toulouse.</w:t>
      </w:r>
    </w:p>
    <w:p>
      <w:pPr>
        <w:pStyle w:val="ListBullet"/>
        <w:pageBreakBefore w:val="0"/>
        <w:spacing w:after="40"/>
      </w:pPr>
      <w:r>
        <w:t xml:space="preserve">1298 — Liber sextus de Boniface VIII.</w:t>
      </w:r>
    </w:p>
    <w:p>
      <w:pPr>
        <w:pStyle w:val="ListBullet"/>
        <w:pageBreakBefore w:val="0"/>
        <w:spacing w:after="40"/>
      </w:pPr>
      <w:r>
        <w:t xml:space="preserve">1317 — Diffusion officielle des Clémentines sous Jean XXII.</w:t>
      </w:r>
    </w:p>
    <w:p>
      <w:pPr>
        <w:pStyle w:val="Heading1"/>
        <w:keepNext/>
        <w:pageBreakBefore w:val="0"/>
      </w:pPr>
      <w:r>
        <w:t xml:space="preserve">Méthode de révision proposée</w:t>
      </w:r>
    </w:p>
    <w:p>
      <w:pPr>
        <w:pageBreakBefore w:val="0"/>
      </w:pPr>
      <w:r>
        <w:t xml:space="preserve">Pour chaque source, reconstruire cinq éléments : période, auteur ou milieu de formation, forme du texte ou de la pratique, force juridique, rôle dans l’évolution du droit. Cette grille évite d’apprendre une succession de noms sans comprendre leurs rapports.</w:t>
      </w:r>
    </w:p>
    <w:p>
      <w:pPr>
        <w:pageBreakBefore w:val="0"/>
      </w:pPr>
      <w:r>
        <w:t xml:space="preserve">Pour chaque procédure, identifier qui déclenche le procès, qui organise le cadre juridique, qui tranche, quels moyens de preuve sont utilisés et quelles sanctions peuvent suivre. Comparer une institution ancienne à une institution actuelle exige de commencer par leurs différences.</w:t>
      </w:r>
    </w:p>
    <w:p>
      <w:pPr>
        <w:pageBreakBefore w:val="0"/>
      </w:pPr>
      <w:r>
        <w:t xml:space="preserve">En restitution, définir la notion, la situer dans le temps, expliquer le mécanisme et donner un exemple du cours. Ce conseil de travail n’anticipe pas le format exact du partiel, qui dépend des consignes du professeur.</w:t>
      </w:r>
    </w:p>
    <w:p>
      <w:pPr>
        <w:pStyle w:val="Heading2"/>
        <w:keepNext/>
        <w:pageBreakBefore w:val="0"/>
      </w:pPr>
      <w:r>
        <w:t xml:space="preserve">Questions de restitution</w:t>
      </w:r>
    </w:p>
    <w:p>
      <w:pPr>
        <w:pStyle w:val="ListBullet"/>
        <w:pageBreakBefore w:val="0"/>
        <w:spacing w:after="40"/>
      </w:pPr>
      <w:r>
        <w:t xml:space="preserve">Pourquoi les XII Tables sont-elles une étape majeure sans clore l’évolution du droit romain ?</w:t>
      </w:r>
    </w:p>
    <w:p>
      <w:pPr>
        <w:pStyle w:val="ListBullet"/>
        <w:pageBreakBefore w:val="0"/>
        <w:spacing w:after="40"/>
      </w:pPr>
      <w:r>
        <w:t xml:space="preserve">Comment le droit prétorien adapte-t-il la protection juridique à des besoins nouveaux ?</w:t>
      </w:r>
    </w:p>
    <w:p>
      <w:pPr>
        <w:pStyle w:val="ListBullet"/>
        <w:pageBreakBefore w:val="0"/>
        <w:spacing w:after="40"/>
      </w:pPr>
      <w:r>
        <w:t xml:space="preserve">Comment l’empereur devient-il progressivement une source centrale du droit ?</w:t>
      </w:r>
    </w:p>
    <w:p>
      <w:pPr>
        <w:pStyle w:val="ListBullet"/>
        <w:pageBreakBefore w:val="0"/>
        <w:spacing w:after="40"/>
      </w:pPr>
      <w:r>
        <w:t xml:space="preserve">Pourquoi distinguer les quatre composantes des compilations de Justinien ?</w:t>
      </w:r>
    </w:p>
    <w:p>
      <w:pPr>
        <w:pStyle w:val="ListBullet"/>
        <w:pageBreakBefore w:val="0"/>
        <w:spacing w:after="40"/>
      </w:pPr>
      <w:r>
        <w:t xml:space="preserve">Comment des lois personnelles coexistent-elles sur un même territoire à l’époque franque ?</w:t>
      </w:r>
    </w:p>
    <w:p>
      <w:pPr>
        <w:pStyle w:val="ListBullet"/>
        <w:pageBreakBefore w:val="0"/>
        <w:spacing w:after="40"/>
      </w:pPr>
      <w:r>
        <w:t xml:space="preserve">Comment les capitulaires accompagnent-ils une territorialisation progressive ?</w:t>
      </w:r>
    </w:p>
    <w:p>
      <w:pPr>
        <w:pStyle w:val="ListBullet"/>
        <w:pageBreakBefore w:val="0"/>
        <w:spacing w:after="40"/>
      </w:pPr>
      <w:r>
        <w:t xml:space="preserve">Pourquoi un co-jureur n’est-il pas un témoin et une ordalie n’est-elle pas une peine ?</w:t>
      </w:r>
    </w:p>
    <w:p>
      <w:pPr>
        <w:pStyle w:val="ListBullet"/>
        <w:pageBreakBefore w:val="0"/>
        <w:spacing w:after="40"/>
      </w:pPr>
      <w:r>
        <w:t xml:space="preserve">Comment la mise par écrit et l’enquête par turbe répondent-elles à la preuve de la coutume ?</w:t>
      </w:r>
    </w:p>
    <w:p>
      <w:pPr>
        <w:pStyle w:val="ListBullet"/>
        <w:pageBreakBefore w:val="0"/>
        <w:spacing w:after="40"/>
      </w:pPr>
      <w:r>
        <w:t xml:space="preserve">Quel rôle jouent glossateurs, commentateurs et universités dans les droits savants ?</w:t>
      </w:r>
    </w:p>
    <w:p>
      <w:pPr>
        <w:pStyle w:val="ListBullet"/>
        <w:pageBreakBefore w:val="0"/>
        <w:spacing w:after="40"/>
      </w:pPr>
      <w:r>
        <w:t xml:space="preserve">Pourquoi l’ordonnance de Soissons illustre-t-elle une autorité royale en reconstruction ?</w:t>
      </w:r>
    </w:p>
    <w:p>
      <w:pPr>
        <w:pStyle w:val="Heading1"/>
        <w:keepNext/>
        <w:pageBreakBefore w:val="0"/>
      </w:pPr>
      <w:r>
        <w:t xml:space="preserve">Sources et repères de vérification</w:t>
      </w:r>
    </w:p>
    <w:p>
      <w:pPr>
        <w:pageBreakBefore w:val="0"/>
      </w:pPr>
      <w:r>
        <w:t xml:space="preserve">Source principale : Cours_Histoire_du_droit_CM5_VERSION_ALLEGEE.docx, partie du cours actuel située avant « Cours complet de l’année précédente — complément et archive ». La fiche ne synthétise pas cette archive.</w:t>
      </w:r>
    </w:p>
    <w:p>
      <w:pPr>
        <w:pageBreakBefore w:val="0"/>
      </w:pPr>
      <w:r>
        <w:t xml:space="preserve">Repères bibliographiques complémentaires : les notices de la Bibliothèque nationale de France identifient les Coutumes de Beauvaisis de Philippe de Beaumanoir ; un ouvrage universitaire de romanistique consulté confirme les dates 529 et 534 du Code, et 533 des Institutes et du Digeste. Ces références complètent des points précis, sans se substituer au cours.</w:t>
      </w:r>
    </w:p>
    <w:p>
      <w:pPr>
        <w:pageBreakBefore w:val="0"/>
      </w:pPr>
      <w:r>
        <w:t xml:space="preserve">BnF Catalogue général — Philippe de Beaumanoir Les coutumes du Beauvoisis : </w:t>
      </w:r>
      <w:hyperlink r:id="rId17">
        <w:r>
          <w:t xml:space="preserve">https://catalogue.bnf.fr/ark:/12148/cb35719794r</w:t>
        </w:r>
      </w:hyperlink>
    </w:p>
    <w:p>
      <w:pPr>
        <w:pageBreakBefore w:val="0"/>
      </w:pPr>
      <w:r>
        <w:t xml:space="preserve">BnF Catalogue collectif de France — notice du fonds de Beauvais et repère 1283 : </w:t>
      </w:r>
      <w:hyperlink r:id="rId18">
        <w:r>
          <w:t xml:space="preserve">https://ccfr.bnf.fr/portailccfr/ark:/16871/006FRFONDS-600575101-2674</w:t>
        </w:r>
      </w:hyperlink>
    </w:p>
    <w:p>
      <w:pPr>
        <w:pageBreakBefore w:val="0"/>
      </w:pPr>
      <w:r>
        <w:t xml:space="preserve">Ouvrage universitaire de romanistique Le Livre jubilaire, dates des compilations de Justinien : </w:t>
      </w:r>
      <w:hyperlink r:id="rId19">
        <w:r>
          <w:t xml:space="preserve">https://univ-droit.fr/docs/parutions/documents/9240/jubilaire-version-finale-17-05.pdf</w:t>
        </w:r>
      </w:hyperlink>
    </w:p>
    <w:p>
      <w:pPr>
        <w:pStyle w:val="SmallNote"/>
        <w:pageBreakBefore w:val="0"/>
      </w:pPr>
      <w:r>
        <w:t xml:space="preserve">Fiche préparée le 13 octobre 2026. Les bornes historiques et les datations discutées sont conservées avec leurs nuances ; la suite du semestre pourra être ajoutée à partir des nouveaux cours.</w:t>
      </w:r>
    </w:p>
    <w:sectPr w:rsidR="00FC693F" w:rsidRPr="0006063C" w:rsidSect="00034616">
      <w:headerReference w:type="default" r:id="rId9"/>
      <w:footerReference w:type="default" r:id="rId10"/>
      <w:pgSz w:w="12240" w:h="15840"/>
      <w:pgMar w:top="935" w:right="1020" w:bottom="879"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L1 Toulouse Capitole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beration Sans" w:hAnsi="Liberation Sans"/>
        <w:color w:val="6E6E6E"/>
        <w:sz w:val="16"/>
      </w:rPr>
      <w:t>Histoire du droit - Fiche de révision L1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00" w:line="254" w:lineRule="auto"/>
    </w:pPr>
    <w:rPr>
      <w:rFonts w:ascii="Liberation Sans" w:hAnsi="Liberation Sans"/>
      <w:sz w:val="21"/>
    </w:rPr>
  </w:style>
  <w:style w:type="paragraph" w:styleId="Header">
    <w:name w:val="header"/>
    <w:basedOn w:val="Normal"/>
    <w:link w:val="HeaderChar"/>
    <w:uiPriority w:val="99"/>
    <w:unhideWhenUsed/>
    <w:rsid w:val="00E618BF"/>
    <w:pPr>
      <w:widowControl/>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60" w:after="120"/>
      <w:outlineLvl w:val="0"/>
    </w:pPr>
    <w:rPr>
      <w:rFonts w:asciiTheme="majorHAnsi" w:eastAsiaTheme="majorEastAsia" w:hAnsiTheme="majorHAnsi" w:cstheme="majorBidi" w:ascii="Liberation Sans" w:hAnsi="Liberation Sans"/>
      <w:b/>
      <w:bCs/>
      <w:color w:val="17365D"/>
      <w:sz w:val="32"/>
      <w:szCs w:val="28"/>
    </w:rPr>
  </w:style>
  <w:style w:type="paragraph" w:styleId="Heading2">
    <w:name w:val="heading 2"/>
    <w:basedOn w:val="Normal"/>
    <w:next w:val="Normal"/>
    <w:link w:val="Heading2Char"/>
    <w:uiPriority w:val="9"/>
    <w:unhideWhenUsed/>
    <w:qFormat/>
    <w:rsid w:val="00FC693F"/>
    <w:pPr>
      <w:keepNext/>
      <w:keepLines/>
      <w:widowControl/>
      <w:spacing w:before="200" w:after="80"/>
      <w:outlineLvl w:val="1"/>
    </w:pPr>
    <w:rPr>
      <w:rFonts w:asciiTheme="majorHAnsi" w:eastAsiaTheme="majorEastAsia" w:hAnsiTheme="majorHAnsi" w:cstheme="majorBidi" w:ascii="Liberation Sans" w:hAnsi="Liberation Sans"/>
      <w:b/>
      <w:bCs/>
      <w:color w:val="234D7D"/>
      <w:sz w:val="26"/>
      <w:szCs w:val="26"/>
    </w:rPr>
  </w:style>
  <w:style w:type="paragraph" w:styleId="Heading3">
    <w:name w:val="heading 3"/>
    <w:basedOn w:val="Normal"/>
    <w:next w:val="Normal"/>
    <w:link w:val="Heading3Char"/>
    <w:uiPriority w:val="9"/>
    <w:unhideWhenUsed/>
    <w:qFormat/>
    <w:rsid w:val="00FC693F"/>
    <w:pPr>
      <w:keepNext/>
      <w:keepLines/>
      <w:widowControl/>
      <w:spacing w:before="140" w:after="60"/>
      <w:outlineLvl w:val="2"/>
    </w:pPr>
    <w:rPr>
      <w:rFonts w:asciiTheme="majorHAnsi" w:eastAsiaTheme="majorEastAsia" w:hAnsiTheme="majorHAnsi" w:cstheme="majorBidi" w:ascii="Liberation Sans" w:hAnsi="Liberation Sans"/>
      <w:b/>
      <w:bCs/>
      <w:color w:val="365F91"/>
      <w:sz w:val="22"/>
    </w:rPr>
  </w:style>
  <w:style w:type="paragraph" w:styleId="Heading4">
    <w:name w:val="heading 4"/>
    <w:basedOn w:val="Normal"/>
    <w:next w:val="Normal"/>
    <w:link w:val="Heading4Char"/>
    <w:uiPriority w:val="9"/>
    <w:semiHidden/>
    <w:unhideWhenUsed/>
    <w:qFormat/>
    <w:rsid w:val="00FC693F"/>
    <w:pPr>
      <w:keepNext/>
      <w:keepLines/>
      <w:widowControl/>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widowControl/>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widowControl/>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widowControl/>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widowControl/>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widowControl/>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widowControl/>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200" w:line="240" w:lineRule="auto" w:before="0"/>
      <w:contextualSpacing/>
    </w:pPr>
    <w:rPr>
      <w:rFonts w:asciiTheme="majorHAnsi" w:eastAsiaTheme="majorEastAsia" w:hAnsiTheme="majorHAnsi" w:cstheme="majorBidi" w:ascii="Liberation Sans" w:hAnsi="Liberation Sans"/>
      <w:b/>
      <w:color w:val="17365D"/>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widowControl/>
      <w:ind w:left="720"/>
      <w:contextualSpacing/>
    </w:pPr>
  </w:style>
  <w:style w:type="paragraph" w:styleId="BodyText">
    <w:name w:val="Body Text"/>
    <w:basedOn w:val="Normal"/>
    <w:link w:val="BodyTextChar"/>
    <w:uiPriority w:val="99"/>
    <w:unhideWhenUsed/>
    <w:rsid w:val="00AA1D8D"/>
    <w:pPr>
      <w:widowControl/>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widowControl/>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widowControl/>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widowControl/>
      <w:ind w:left="360" w:hanging="360"/>
      <w:contextualSpacing/>
    </w:pPr>
  </w:style>
  <w:style w:type="paragraph" w:styleId="List2">
    <w:name w:val="List 2"/>
    <w:basedOn w:val="Normal"/>
    <w:uiPriority w:val="99"/>
    <w:unhideWhenUsed/>
    <w:rsid w:val="00326F90"/>
    <w:pPr>
      <w:widowControl/>
      <w:ind w:left="720" w:hanging="360"/>
      <w:contextualSpacing/>
    </w:pPr>
  </w:style>
  <w:style w:type="paragraph" w:styleId="List3">
    <w:name w:val="List 3"/>
    <w:basedOn w:val="Normal"/>
    <w:uiPriority w:val="99"/>
    <w:unhideWhenUsed/>
    <w:rsid w:val="00326F90"/>
    <w:pPr>
      <w:widowControl/>
      <w:ind w:left="1080" w:hanging="360"/>
      <w:contextualSpacing/>
    </w:pPr>
  </w:style>
  <w:style w:type="paragraph" w:styleId="ListBullet">
    <w:name w:val="List Bullet"/>
    <w:basedOn w:val="Normal"/>
    <w:uiPriority w:val="99"/>
    <w:unhideWhenUsed/>
    <w:rsid w:val="00326F90"/>
    <w:pPr>
      <w:widowControl/>
      <w:numPr>
        <w:numId w:val="1"/>
      </w:numPr>
      <w:contextualSpacing/>
    </w:pPr>
  </w:style>
  <w:style w:type="paragraph" w:styleId="ListBullet2">
    <w:name w:val="List Bullet 2"/>
    <w:basedOn w:val="Normal"/>
    <w:uiPriority w:val="99"/>
    <w:unhideWhenUsed/>
    <w:rsid w:val="00326F90"/>
    <w:pPr>
      <w:widowControl/>
      <w:numPr>
        <w:numId w:val="2"/>
      </w:numPr>
      <w:contextualSpacing/>
    </w:pPr>
  </w:style>
  <w:style w:type="paragraph" w:styleId="ListBullet3">
    <w:name w:val="List Bullet 3"/>
    <w:basedOn w:val="Normal"/>
    <w:uiPriority w:val="99"/>
    <w:unhideWhenUsed/>
    <w:rsid w:val="00326F90"/>
    <w:pPr>
      <w:widowControl/>
      <w:numPr>
        <w:numId w:val="3"/>
      </w:numPr>
      <w:contextualSpacing/>
    </w:pPr>
  </w:style>
  <w:style w:type="paragraph" w:styleId="ListNumber">
    <w:name w:val="List Number"/>
    <w:basedOn w:val="Normal"/>
    <w:uiPriority w:val="99"/>
    <w:unhideWhenUsed/>
    <w:rsid w:val="00326F90"/>
    <w:pPr>
      <w:widowControl/>
      <w:numPr>
        <w:numId w:val="5"/>
      </w:numPr>
      <w:contextualSpacing/>
    </w:pPr>
  </w:style>
  <w:style w:type="paragraph" w:styleId="ListNumber2">
    <w:name w:val="List Number 2"/>
    <w:basedOn w:val="Normal"/>
    <w:uiPriority w:val="99"/>
    <w:unhideWhenUsed/>
    <w:rsid w:val="0029639D"/>
    <w:pPr>
      <w:widowControl/>
      <w:numPr>
        <w:numId w:val="6"/>
      </w:numPr>
      <w:contextualSpacing/>
    </w:pPr>
  </w:style>
  <w:style w:type="paragraph" w:styleId="ListNumber3">
    <w:name w:val="List Number 3"/>
    <w:basedOn w:val="Normal"/>
    <w:uiPriority w:val="99"/>
    <w:unhideWhenUsed/>
    <w:rsid w:val="0029639D"/>
    <w:pPr>
      <w:widowControl/>
      <w:numPr>
        <w:numId w:val="7"/>
      </w:numPr>
      <w:contextualSpacing/>
    </w:pPr>
  </w:style>
  <w:style w:type="paragraph" w:styleId="ListContinue">
    <w:name w:val="List Continue"/>
    <w:basedOn w:val="Normal"/>
    <w:uiPriority w:val="99"/>
    <w:unhideWhenUsed/>
    <w:rsid w:val="0029639D"/>
    <w:pPr>
      <w:widowControl/>
      <w:spacing w:after="120"/>
      <w:ind w:left="360"/>
      <w:contextualSpacing/>
    </w:pPr>
  </w:style>
  <w:style w:type="paragraph" w:styleId="ListContinue2">
    <w:name w:val="List Continue 2"/>
    <w:basedOn w:val="Normal"/>
    <w:uiPriority w:val="99"/>
    <w:unhideWhenUsed/>
    <w:rsid w:val="0029639D"/>
    <w:pPr>
      <w:widowControl/>
      <w:spacing w:after="120"/>
      <w:ind w:left="720"/>
      <w:contextualSpacing/>
    </w:pPr>
  </w:style>
  <w:style w:type="paragraph" w:styleId="ListContinue3">
    <w:name w:val="List Continue 3"/>
    <w:basedOn w:val="Normal"/>
    <w:uiPriority w:val="99"/>
    <w:unhideWhenUsed/>
    <w:rsid w:val="0029639D"/>
    <w:pPr>
      <w:widowControl/>
      <w:spacing w:after="120"/>
      <w:ind w:left="1080"/>
      <w:contextualSpacing/>
    </w:pPr>
  </w:style>
  <w:style w:type="paragraph" w:styleId="MacroText">
    <w:name w:val="macro"/>
    <w:link w:val="MacroTextChar"/>
    <w:uiPriority w:val="99"/>
    <w:unhideWhenUsed/>
    <w:rsid w:val="0029639D"/>
    <w:pPr>
      <w:widowControl/>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widowControl/>
    </w:pPr>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widowControl/>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widowControl/>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efinition">
    <w:name w:val="Definition"/>
    <w:pPr>
      <w:widowControl/>
      <w:spacing w:after="80"/>
      <w:ind w:left="198"/>
    </w:pPr>
    <w:rPr>
      <w:rFonts w:ascii="Liberation Sans" w:hAnsi="Liberation Sans"/>
      <w:b w:val="0"/>
      <w:sz w:val="20"/>
    </w:rPr>
  </w:style>
  <w:style w:type="paragraph" w:customStyle="1" w:styleId="KeyPoint">
    <w:name w:val="KeyPoint"/>
    <w:pPr>
      <w:widowControl/>
      <w:spacing w:after="100"/>
      <w:ind w:left="198"/>
    </w:pPr>
    <w:rPr>
      <w:rFonts w:ascii="Liberation Sans" w:hAnsi="Liberation Sans"/>
      <w:b/>
      <w:sz w:val="20"/>
    </w:rPr>
  </w:style>
  <w:style w:type="paragraph" w:customStyle="1" w:styleId="Correction">
    <w:name w:val="Correction"/>
    <w:pPr>
      <w:widowControl/>
      <w:spacing w:after="80"/>
      <w:ind w:left="170"/>
    </w:pPr>
    <w:rPr>
      <w:rFonts w:ascii="Liberation Sans" w:hAnsi="Liberation Sans"/>
      <w:color w:val="8F2222"/>
      <w:sz w:val="19"/>
    </w:rPr>
  </w:style>
  <w:style w:type="paragraph" w:customStyle="1" w:styleId="SmallNote">
    <w:name w:val="SmallNote"/>
    <w:pPr>
      <w:widowControl/>
      <w:spacing w:after="80"/>
    </w:pPr>
    <w:rPr>
      <w:rFonts w:ascii="Liberation Sans" w:hAnsi="Liberation Sans"/>
      <w:i/>
      <w:color w:val="5A5A5A"/>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unhcr.org/about-unhcr/overview/1951-refugee-convention" TargetMode="External"/><Relationship Id="rId12" Type="http://schemas.openxmlformats.org/officeDocument/2006/relationships/hyperlink" Target="https://legal.un.org/ilc/reports/2006/french/chp4.pdf" TargetMode="External"/><Relationship Id="rId13" Type="http://schemas.openxmlformats.org/officeDocument/2006/relationships/hyperlink" Target="https://www.icj-cij.org/fr/statut" TargetMode="External"/><Relationship Id="rId14" Type="http://schemas.openxmlformats.org/officeDocument/2006/relationships/hyperlink" Target="https://www.echr.coe.int/documents/d/echr/convention_fra" TargetMode="External"/><Relationship Id="rId15" Type="http://schemas.openxmlformats.org/officeDocument/2006/relationships/hyperlink" Target="https://www.diplomatie.gouv.fr/fr/IMG/pdf/Dossier_de_presse-2.pdf" TargetMode="External"/><Relationship Id="rId16" Type="http://schemas.openxmlformats.org/officeDocument/2006/relationships/hyperlink" Target="https://www.diplomatie.gouv.fr/IMG/pdf/mn_444qo_blocus_ministere_cle07151f.pdf" TargetMode="External"/><Relationship Id="rId17" Type="http://schemas.openxmlformats.org/officeDocument/2006/relationships/hyperlink" Target="https://catalogue.bnf.fr/ark:/12148/cb35719794r" TargetMode="External"/><Relationship Id="rId18" Type="http://schemas.openxmlformats.org/officeDocument/2006/relationships/hyperlink" Target="https://ccfr.bnf.fr/portailccfr/ark:/16871/006FRFONDS-600575101-2674" TargetMode="External"/><Relationship Id="rId19" Type="http://schemas.openxmlformats.org/officeDocument/2006/relationships/hyperlink" Target="https://univ-droit.fr/docs/parutions/documents/9240/jubilaire-version-finale-17-0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Histoire du droit Fiche de révision approfondie L1 S1 CM5</dc:title>
  <dc:subject>Cours actuel jusqu’au CM5 Archive de l’année précédente séparée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