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center"/>
      </w:pPr>
      <w:r>
        <w:rPr>
          <w:b/>
          <w:color w:val="000000"/>
          <w:sz w:val="48"/>
        </w:rPr>
        <w:t xml:space="preserve">Histoire du droit</w:t>
      </w:r>
    </w:p>
    <w:p>
      <w:pPr>
        <w:pageBreakBefore w:val="0"/>
        <w:jc w:val="center"/>
      </w:pPr>
      <w:r>
        <w:rPr>
          <w:b/>
          <w:color w:val="3C3C3C"/>
          <w:sz w:val="24"/>
        </w:rPr>
        <w:t xml:space="preserve">Fiche de révision approfondie L1 S1</w:t>
      </w:r>
    </w:p>
    <w:p>
      <w:pPr>
        <w:pStyle w:val="SmallNote"/>
        <w:pageBreakBefore w:val="0"/>
      </w:pPr>
      <w:r>
        <w:t xml:space="preserve">Cours actuel disponible jusqu’au CM5. Cette fiche couvre les sources du droit romain, le droit et la justice à l’époque franque, puis les sources du droit médiéval jusqu’au renouveau de la législation royale. Elle s’arrête à cette limite ; l’archive de l’année précédente est conservée séparément.</w:t>
      </w:r>
    </w:p>
    <w:p>
      <w:pPr>
        <w:pStyle w:val="KeyPoint"/>
        <w:pageBreakBefore w:val="0"/>
      </w:pPr>
      <w:r>
        <w:t xml:space="preserve">Fil directeur : les sources du droit changent avec les pouvoirs et les besoins de la société. À Rome, la pluralité des sources est progressivement encadrée par l’empereur. À l’époque franque, plusieurs lois personnelles coexistent avec une législation royale. Au Moyen Âge, coutumes, droits savants et législation royale se combinent.</w:t>
      </w:r>
    </w:p>
    <w:p>
      <w:pPr>
        <w:pStyle w:val="Heading2"/>
        <w:keepNext/>
        <w:pageBreakBefore w:val="0"/>
      </w:pPr>
      <w:r>
        <w:t xml:space="preserve">Plan de la fiche</w:t>
      </w:r>
    </w:p>
    <w:p>
      <w:pPr>
        <w:pStyle w:val="ListBullet"/>
        <w:pageBreakBefore w:val="0"/>
        <w:spacing w:after="40"/>
      </w:pPr>
      <w:r>
        <w:t xml:space="preserve">Chapitre 1 Les sources du droit romain : ancien droit, droit classique, droit tardif et compilations de Justinien.</w:t>
      </w:r>
    </w:p>
    <w:p>
      <w:pPr>
        <w:pStyle w:val="ListBullet"/>
        <w:pageBreakBefore w:val="0"/>
        <w:spacing w:after="40"/>
      </w:pPr>
      <w:r>
        <w:t xml:space="preserve">Chapitre 2 Droit et justice à l’époque franque : lois personnelles, capitulaires, juridictions, procédure, preuves et sanctions.</w:t>
      </w:r>
    </w:p>
    <w:p>
      <w:pPr>
        <w:pStyle w:val="ListBullet"/>
        <w:pageBreakBefore w:val="0"/>
        <w:spacing w:after="40"/>
      </w:pPr>
      <w:r>
        <w:t xml:space="preserve">Chapitre 3 Les sources du droit médiéval : coutumes, droits savants, universités et reconstruction du pouvoir législatif royal.</w:t>
      </w:r>
    </w:p>
    <w:p>
      <w:pPr>
        <w:pStyle w:val="ListBullet"/>
        <w:pageBreakBefore w:val="0"/>
        <w:spacing w:after="40"/>
      </w:pPr>
      <w:r>
        <w:t xml:space="preserve">Synthèse transversale, définitions, chronologie et méthode de révision.</w:t>
      </w:r>
    </w:p>
    <w:p>
      <w:pPr>
        <w:pStyle w:val="SmallNote"/>
        <w:pageBreakBefore w:val="0"/>
      </w:pPr>
      <w:r>
        <w:t xml:space="preserve">Les explications et conseils de révision sont des supports préparés à partir du cours. Ils ne constituent pas des consignes supplémentaires du professeur.</w:t>
      </w:r>
    </w:p>
    <w:p>
      <w:pPr>
        <w:pStyle w:val="Heading1"/>
        <w:keepNext/>
        <w:pageBreakBefore w:val="0"/>
      </w:pPr>
      <w:r>
        <w:t xml:space="preserve">Chapitre 1 Les sources du droit romain</w:t>
      </w:r>
    </w:p>
    <w:p>
      <w:pPr>
        <w:pStyle w:val="Heading2"/>
        <w:keepNext/>
        <w:pageBreakBefore w:val="0"/>
      </w:pPr>
      <w:r>
        <w:t xml:space="preserve">Repères de période et héritage juridique</w:t>
      </w:r>
    </w:p>
    <w:p>
      <w:pPr>
        <w:pageBreakBefore w:val="0"/>
      </w:pPr>
      <w:r>
        <w:t xml:space="preserve">Le droit romain a transmis un vocabulaire, des classifications et des méthodes de raisonnement au droit européen. Cet héritage a été repris et transformé : il faut éviter de projeter directement les institutions actuelles sur Rome.</w:t>
      </w:r>
    </w:p>
    <w:p>
      <w:pPr>
        <w:pageBreakBefore w:val="0"/>
      </w:pPr>
      <w:r>
        <w:t xml:space="preserve">La royauté constitue la première période politique dans la chronologie traditionnelle, de 753 à 509 av. J.-C. Ces dates servent à se repérer ; la fondation de Rome en 753 relève d’une tradition légendaire et ne constitue pas une date historiquement démontrée. Pour comprendre les sources du droit, l’essentiel est de retenir une société où les pratiques coutumières et les fonctions religieuses occupent une place importante. Il ne faut donc pas imaginer, dès cette période, un législateur produisant un code comparable aux codes actuels.</w:t>
      </w:r>
    </w:p>
    <w:p>
      <w:pPr>
        <w:pageBreakBefore w:val="0"/>
      </w:pPr>
      <w:r>
        <w:t xml:space="preserve">La République, traditionnellement située entre 509 et 27 av. J.-C., associe plusieurs centres de décision : les magistratures, le Sénat et les assemblées populaires. Cette répartition permet de comprendre pourquoi le droit ne vient pas d’une seule autorité. Les lois votées par les assemblées coexistent avec la coutume et avec l’influence du Sénat. La présence d’assemblées ne suffit pas à qualifier le régime de démocratie contemporaine : les droits de participation, les conditions sociales et les rapports de pouvoir sont différents.</w:t>
      </w:r>
    </w:p>
    <w:p>
      <w:pPr>
        <w:pageBreakBefore w:val="0"/>
      </w:pPr>
      <w:r>
        <w:t xml:space="preserve">Le Principat commence traditionnellement en 27 av. J.-C., lorsque Octave reçoit le titre d’Auguste. Les institutions républicaines ne sont pas toutes supprimées : elles subsistent, mais leur autonomie et leur rôle se transforment autour du princeps. Ce maintien des formes explique qu’il faille observer l’exercice réel du pouvoir pour comprendre l’évolution du droit. L’empereur renforce progressivement son influence sur les juristes, le Sénat et la production des règles, avant que les constitutions impériales occupent une place centrale.</w:t>
      </w:r>
    </w:p>
    <w:p>
      <w:pPr>
        <w:pageBreakBefore w:val="0"/>
      </w:pPr>
      <w:r>
        <w:t xml:space="preserve">Les périodes juridiques du cours ne recouvrent pas exactement les régimes politiques. Le droit classique est situé approximativement entre 130 av. J.-C. et 230 apr. J.-C. ; le droit tardif entre environ 230 et 530. Une transformation du droit peut donc traverser la fin de la République et le début de l’Empire. Pour réviser, il faut relier une source à sa période et à sa fonction, puis préciser le contexte politique. Apprendre seulement une succession de rois ou d’empereurs ne permet pas d’expliquer les changements juridiques.</w:t>
      </w:r>
    </w:p>
    <w:p>
      <w:pPr>
        <w:pageBreakBefore w:val="0"/>
      </w:pPr>
      <w:r>
        <w:t xml:space="preserve">La crise républicaine tient notamment à l’expansion territoriale, aux tensions sociales et agraires, aux transformations de l’armée et aux rivalités des chefs. César est assassiné le 15 mars 44 av. J.-C. ; Octave l’emporte à Actium en 31 et devient Auguste en 27. La construction du pouvoir impérial est donc progressive.</w:t>
      </w:r>
    </w:p>
    <w:p>
      <w:pPr>
        <w:pStyle w:val="Definition"/>
        <w:pageBreakBefore w:val="0"/>
      </w:pPr>
      <w:r>
        <w:rPr>
          <w:b/>
        </w:rPr>
        <w:t xml:space="preserve">Princeps : </w:t>
      </w:r>
      <w:r>
        <w:t xml:space="preserve">le « premier des citoyens », titre associé au régime du Principat et à la concentration du pouvoir autour d’Auguste.</w:t>
      </w:r>
    </w:p>
    <w:p>
      <w:pPr>
        <w:pStyle w:val="Definition"/>
        <w:pageBreakBefore w:val="0"/>
      </w:pPr>
      <w:r>
        <w:rPr>
          <w:b/>
        </w:rPr>
        <w:t xml:space="preserve">Cursus honorum : </w:t>
      </w:r>
      <w:r>
        <w:t xml:space="preserve">succession des magistratures dans une carrière politique romaine ; ses règles se structurent et évoluent au cours de la République.</w:t>
      </w:r>
    </w:p>
    <w:p>
      <w:pPr>
        <w:pStyle w:val="SmallNote"/>
        <w:pageBreakBefore w:val="0"/>
      </w:pPr>
      <w:r>
        <w:t xml:space="preserve">Éclairage contemporain repris du cours. Usus, fructus et abusus présentent pédagogiquement les prérogatives de la propriété ; cette trilogie n’est pas une définition générale formulée telle quelle par les juristes romains. La force majeure contractuelle actuelle relève de l’article 1218 du Code civil : elle ne doit pas être confondue avec une catégorie ancienne appliquée sans changement.</w:t>
      </w:r>
    </w:p>
    <w:p>
      <w:pPr>
        <w:pStyle w:val="Heading2"/>
        <w:keepNext/>
        <w:pageBreakBefore w:val="0"/>
      </w:pPr>
      <w:r>
        <w:t xml:space="preserve">Section 1 Les sources de l’ancien droit romain</w:t>
      </w:r>
    </w:p>
    <w:p>
      <w:pPr>
        <w:pStyle w:val="Heading3"/>
        <w:keepNext/>
        <w:pageBreakBefore w:val="0"/>
      </w:pPr>
      <w:r>
        <w:t xml:space="preserve">La coutume et ses caractères</w:t>
      </w:r>
    </w:p>
    <w:p>
      <w:pPr>
        <w:pStyle w:val="Definition"/>
        <w:pageBreakBefore w:val="0"/>
      </w:pPr>
      <w:r>
        <w:rPr>
          <w:b/>
        </w:rPr>
        <w:t xml:space="preserve">Coutume : </w:t>
      </w:r>
      <w:r>
        <w:t xml:space="preserve">usage répété reconnu comme juridiquement obligatoire. Une simple habitude ne suffit pas ; la coutume ne provient pas nécessairement d’une décision du roi.</w:t>
      </w:r>
    </w:p>
    <w:p>
      <w:pPr>
        <w:pageBreakBefore w:val="0"/>
      </w:pPr>
      <w:r>
        <w:t xml:space="preserve">L’ancien droit repose largement sur des pratiques transmises oralement. Le cours oppose, à titre pédagogique, un droit horizontal issu des pratiques sociales à un droit vertical produit par une autorité instituée. La connaissance précise des « lois royales » et de leurs origines reste discutée. Une règle peut ainsi être reconnue et suivie sans avoir été promulguée par une autorité unique. Pour distinguer coutume et loi, la question centrale est celle du mode de formation de la règle ; son caractère obligatoire ne dépend pas uniquement de sa mise par écrit.</w:t>
      </w:r>
    </w:p>
    <w:p>
      <w:pPr>
        <w:pageBreakBefore w:val="0"/>
      </w:pPr>
      <w:r>
        <w:t xml:space="preserve">Le caractère religieux de l’ancien droit tient à l’étroite relation entre droit, politique et religion. Les pontifes participent à la conservation et à l’interprétation des règles et des pratiques rituelles. Celui qui connaît les formes nécessaires à un acte ou à une procédure dispose ainsi d’un savoir décisif pour les autres membres de la société. L’intérêt de cette observation est de comprendre la portée ultérieure de la publicité du droit et de la laïcisation de l’activité juridique : les conditions d’accès au savoir se transforment.</w:t>
      </w:r>
    </w:p>
    <w:p>
      <w:pPr>
        <w:pageBreakBefore w:val="0"/>
      </w:pPr>
      <w:r>
        <w:t xml:space="preserve">Le formalisme signifie que la validité de certains actes dépend du respect de gestes ou de paroles solennelles. La forme n’est donc pas seulement une présentation extérieure : elle peut conditionner l’effet juridique recherché. Le rituel du bronze et de la balance, associé au nexum, illustre cette place des opérations symboliques. Les contrats réels et consensuels se développent ensuite et offrent d’autres modes de formation des rapports juridiques. Cette évolution assouplit le droit sans faire disparaître immédiatement toutes les exigences de forme.</w:t>
      </w:r>
    </w:p>
    <w:p>
      <w:pPr>
        <w:pageBreakBefore w:val="0"/>
      </w:pPr>
      <w:r>
        <w:t xml:space="preserve">Le caractère rural du droit correspond aux besoins d’une société où la terre et les activités agricoles sont essentielles. Les règles doivent organiser les rapports de voisinage, les dommages aux récoltes, les incendies ou les atteintes causées par des animaux. Ces objets montrent que les sources du droit répondent à des problèmes concrets. Pour expliquer ce caractère, il est plus utile de relier une règle à la protection des biens et de la vie rurale que de retenir seulement l’adjectif « rural ».</w:t>
      </w:r>
    </w:p>
    <w:p>
      <w:pPr>
        <w:pageBreakBefore w:val="0"/>
      </w:pPr>
      <w:r>
        <w:t xml:space="preserve">Le caractère familial renvoie à la place de la famille juridique et des puissances qui l’organisent. Les pouvoirs du paterfamilias structurent la situation des personnes placées sous son autorité. Cette famille ne se confond pas avec une simple liste de parents par le sang : une relation de puissance juridique constitue un critère essentiel. La distinction prépare celle de l’agnation et de la cognation, étudiée à propos des successions. Elle permet de comprendre pourquoi un changement de conception de la parenté peut modifier les personnes appelées à hériter.</w:t>
      </w:r>
    </w:p>
    <w:p>
      <w:pPr>
        <w:pStyle w:val="Definition"/>
        <w:pageBreakBefore w:val="0"/>
      </w:pPr>
      <w:r>
        <w:rPr>
          <w:b/>
        </w:rPr>
        <w:t xml:space="preserve">Nexum : </w:t>
      </w:r>
      <w:r>
        <w:t xml:space="preserve">acte archaïque lié à l’endettement, associé au rituel du bronze et de la balance, per aes et libram. Sa nature exacte reste discutée.</w:t>
      </w:r>
    </w:p>
    <w:p>
      <w:pPr>
        <w:pStyle w:val="Definition"/>
        <w:pageBreakBefore w:val="0"/>
      </w:pPr>
      <w:r>
        <w:rPr>
          <w:b/>
        </w:rPr>
        <w:t xml:space="preserve">Paterfamilias : </w:t>
      </w:r>
      <w:r>
        <w:t xml:space="preserve">chef de la famille juridique, indépendant d’une puissance paternelle supérieure ; il n’est pas nécessairement le plus âgé de toute la parenté.</w:t>
      </w:r>
    </w:p>
    <w:p>
      <w:pPr>
        <w:pStyle w:val="Definition"/>
        <w:pageBreakBefore w:val="0"/>
      </w:pPr>
      <w:r>
        <w:rPr>
          <w:b/>
        </w:rPr>
        <w:t xml:space="preserve">Patria potestas : </w:t>
      </w:r>
      <w:r>
        <w:t xml:space="preserve">puissance exercée par le paterfamilias sur les descendants placés sous son autorité.</w:t>
      </w:r>
    </w:p>
    <w:p>
      <w:pPr>
        <w:pStyle w:val="Definition"/>
        <w:pageBreakBefore w:val="0"/>
      </w:pPr>
      <w:r>
        <w:rPr>
          <w:b/>
        </w:rPr>
        <w:t xml:space="preserve">Abandon noxal ou noxae deditio : </w:t>
      </w:r>
      <w:r>
        <w:t xml:space="preserve">remise, dans les conditions du droit, de la personne soumise à une puissance qui a causé un dommage, en alternative au paiement de la condamnation.</w:t>
      </w:r>
    </w:p>
    <w:p>
      <w:pPr>
        <w:pageBreakBefore w:val="0"/>
      </w:pPr>
      <w:r>
        <w:t xml:space="preserve">L’affranchi est un ancien esclave devenu libre ; le client est une personne libre liée à un patron par une relation de protection et de dépendance. Patronat, clientèle et patria potestas ne sont pas des relations identiques.</w:t>
      </w:r>
    </w:p>
    <w:p>
      <w:pPr>
        <w:pStyle w:val="Heading3"/>
        <w:keepNext/>
        <w:pageBreakBefore w:val="0"/>
      </w:pPr>
      <w:r>
        <w:t xml:space="preserve">La Loi des XII Tables</w:t>
      </w:r>
    </w:p>
    <w:p>
      <w:pPr>
        <w:pStyle w:val="Definition"/>
        <w:pageBreakBefore w:val="0"/>
      </w:pPr>
      <w:r>
        <w:rPr>
          <w:b/>
        </w:rPr>
        <w:t xml:space="preserve">Loi des XII Tables : </w:t>
      </w:r>
      <w:r>
        <w:t xml:space="preserve">premier grand texte juridique romain connu, traditionnellement daté de 451–450 av. J.-C. Le texte originel n’a pas été conservé intégralement ; sa connaissance repose sur des citations et commentaires postérieurs.</w:t>
      </w:r>
    </w:p>
    <w:p>
      <w:pPr>
        <w:pageBreakBefore w:val="0"/>
      </w:pPr>
      <w:r>
        <w:t xml:space="preserve">La rédaction répond notamment aux tensions entre patriciens et plébéiens. Les patriciens détiennent initialement des positions privilégiées dans les magistratures et les fonctions religieuses ; les plébéiens réclament davantage de protection et d’accès aux responsabilités. La plèbe est socialement diverse et ne se réduit pas aux plus pauvres. La demande de publicité du droit est donc liée à un rapport de pouvoir. Rendre les règles connaissables peut limiter l’avantage de ceux qui en détiennent seuls la maîtrise ; cela ne suffit toutefois pas à modifier toutes les règles de fond ou à ouvrir immédiatement toutes les responsabilités politiques.</w:t>
      </w:r>
    </w:p>
    <w:p>
      <w:pPr>
        <w:pageBreakBefore w:val="0"/>
      </w:pPr>
      <w:r>
        <w:t xml:space="preserve">Tribuns, édiles plébéiens et concile de la plèbe participent à l’organisation des revendications. Les sécessions sont des moyens de pression collective. L’écriture et la publicité des règles rendent le droit plus connaissable et limitent l’arbitraire, mais elles n’effacent pas toutes les inégalités. La distinction entre connaître la règle et obtenir un changement de la règle est ici essentielle. La publication constitue une garantie contre certaines formes d’arbitraire, tandis que les revendications sociales et politiques se poursuivent au-delà de la rédaction des Tables.</w:t>
      </w:r>
    </w:p>
    <w:p>
      <w:pPr>
        <w:pStyle w:val="Definition"/>
        <w:pageBreakBefore w:val="0"/>
      </w:pPr>
      <w:r>
        <w:rPr>
          <w:b/>
        </w:rPr>
        <w:t xml:space="preserve">Provocatio ad populum : </w:t>
      </w:r>
      <w:r>
        <w:t xml:space="preserve">recours politique au peuple contre la coercition d’un magistrat dans certaines conditions ; ce n’est pas un appel juridictionnel moderne.</w:t>
      </w:r>
    </w:p>
    <w:p>
      <w:pPr>
        <w:pageBreakBefore w:val="0"/>
      </w:pPr>
      <w:r>
        <w:t xml:space="preserve">Les XII Tables concernent notamment la procédure, les dettes, la famille, les successions, les biens et les infractions. Certaines sanctions sont très rigoureuses : talion pour certaines atteintes corporelles, contrainte sur le débiteur ou dispositions archaïques relatives aux personnes. Le talion n’est pas une sanction générale ; une compensation peut parfois l’éviter.</w:t>
      </w:r>
    </w:p>
    <w:p>
      <w:pPr>
        <w:pageBreakBefore w:val="0"/>
      </w:pPr>
      <w:r>
        <w:t xml:space="preserve">La tradition évoque, pour certaines dettes non acquittées après la procédure prévue, la mise à mort ou la vente au-delà du Tibre. La portée du fragment relatif au partage du débiteur et son application effective restent discutées. Ces textes doivent être replacés dans leur contexte, sans en faire des pratiques identiques à toutes les époques romaines.</w:t>
      </w:r>
    </w:p>
    <w:p>
      <w:pPr>
        <w:pageBreakBefore w:val="0"/>
      </w:pPr>
      <w:r>
        <w:t xml:space="preserve">Les XII Tables maintiennent l’interdiction du mariage juridiquement reconnu entre patriciens et plébéiens. La loi Canuleia la lève en 445 av. J.-C. L’ouverture progressive des magistratures contribue ensuite à une nobilitas mêlant grandes familles patriciennes et plébéiennes, sans supprimer les inégalités sociales.</w:t>
      </w:r>
    </w:p>
    <w:p>
      <w:pPr>
        <w:pStyle w:val="Heading3"/>
        <w:keepNext/>
        <w:pageBreakBefore w:val="0"/>
      </w:pPr>
      <w:r>
        <w:t xml:space="preserve">Influences grecques et portée des XII Tables</w:t>
      </w:r>
    </w:p>
    <w:p>
      <w:pPr>
        <w:pageBreakBefore w:val="0"/>
      </w:pPr>
      <w:r>
        <w:t xml:space="preserve">Dracon est associé à une législation pénale sévère à Athènes à la fin du VIIe siècle av. J.-C. Solon engage des réformes en 594–593 av. J.-C. pour apaiser les conflits sociaux et organise les droits politiques selon des classes de richesse. Les contacts avec les cités grecques rendent possibles des influences, mais les XII Tables répondent aux besoins propres de Rome.</w:t>
      </w:r>
    </w:p>
    <w:p>
      <w:pPr>
        <w:pageBreakBefore w:val="0"/>
      </w:pPr>
      <w:r>
        <w:t xml:space="preserve">Athènes domine une partie de ses alliés de la ligue de Délos, créée en 478–477 av. J.-C., et non toutes les cités grecques. Le contexte grec ne prouve donc pas une copie intégrale des lois athéniennes par Rome.</w:t>
      </w:r>
    </w:p>
    <w:p>
      <w:pPr>
        <w:pageBreakBefore w:val="0"/>
      </w:pPr>
      <w:r>
        <w:t xml:space="preserve">Cicéron rapproche certaines dispositions funéraires des lois de Solon et témoigne de l’apprentissage des XII Tables durant son enfance. Tite-Live les présente comme une source fondatrice du droit public et privé. Leur importance comme référence n’empêche pas l’interprétation et le développement de nouvelles règles.</w:t>
      </w:r>
    </w:p>
    <w:p>
      <w:pPr>
        <w:pStyle w:val="KeyPoint"/>
        <w:pageBreakBefore w:val="0"/>
      </w:pPr>
      <w:r>
        <w:t xml:space="preserve">À retenir : les XII Tables rendent le droit visible et servent de référence durable. Elles ne constituent ni un code complet au sens contemporain, ni la fin de l’interprétation, ni la disparition de toutes les coutumes.</w:t>
      </w:r>
    </w:p>
    <w:p>
      <w:pPr>
        <w:pStyle w:val="Heading2"/>
        <w:keepNext/>
        <w:pageBreakBefore w:val="0"/>
      </w:pPr>
      <w:r>
        <w:t xml:space="preserve">Section 2 Les sources du droit romain classique</w:t>
      </w:r>
    </w:p>
    <w:p>
      <w:pPr>
        <w:pageBreakBefore w:val="0"/>
      </w:pPr>
      <w:r>
        <w:t xml:space="preserve">Le droit classique est caractérisé par le pluralisme : droit prétorien, activité des jurisconsultes, sénatus-consultes et constitutions impériales coexistent. Les institutions républicaines ne disparaissent pas instantanément avec le Principat ; leur rôle se transforme. Le pluralisme ne signifie pas que toutes les sources ont la même fonction. Certaines organisent l’accès au procès, d’autres proposent une analyse, d’autres encore expriment des décisions de l’autorité. Pour expliquer le droit classique, il faut identifier ces contributions et leur articulation.</w:t>
      </w:r>
    </w:p>
    <w:p>
      <w:pPr>
        <w:pStyle w:val="Heading3"/>
        <w:keepNext/>
        <w:pageBreakBefore w:val="0"/>
      </w:pPr>
      <w:r>
        <w:t xml:space="preserve">Le droit prétorien et les magistratures</w:t>
      </w:r>
    </w:p>
    <w:p>
      <w:pPr>
        <w:pageBreakBefore w:val="0"/>
      </w:pPr>
      <w:r>
        <w:t xml:space="preserve">Les magistratures sont en principe temporaires, souvent annuelles, et collégiales, avec des exceptions. Les questeurs s’occupent des finances ; les édiles surveillent notamment la ville et les marchés ; les préteurs organisent notamment la justice ; les consuls exercent les principales responsabilités politiques et militaires. Préteurs et consuls disposent de l’imperium.</w:t>
      </w:r>
    </w:p>
    <w:p>
      <w:pPr>
        <w:pStyle w:val="Definition"/>
        <w:pageBreakBefore w:val="0"/>
      </w:pPr>
      <w:r>
        <w:rPr>
          <w:b/>
        </w:rPr>
        <w:t xml:space="preserve">Imperium : </w:t>
      </w:r>
      <w:r>
        <w:t xml:space="preserve">pouvoir supérieur de commandement civil et militaire, dont l’exercice est encadré par les institutions romaines.</w:t>
      </w:r>
    </w:p>
    <w:p>
      <w:pPr>
        <w:pageBreakBefore w:val="0"/>
      </w:pPr>
      <w:r>
        <w:t xml:space="preserve">Le préteur n’est pas un juge professionnel contemporain. Le préteur urbain intervient en principe entre citoyens romains. Le préteur pérégrin, créé en 242 av. J.-C., connaît de litiges impliquant des personnes libres non citoyennes : entre pérégrins, ou entre un citoyen et un pérégrin.</w:t>
      </w:r>
    </w:p>
    <w:p>
      <w:pPr>
        <w:pStyle w:val="Definition"/>
        <w:pageBreakBefore w:val="0"/>
      </w:pPr>
      <w:r>
        <w:rPr>
          <w:b/>
        </w:rPr>
        <w:t xml:space="preserve">Pérégrin : </w:t>
      </w:r>
      <w:r>
        <w:t xml:space="preserve">personne libre ne possédant pas la citoyenneté romaine. Il ne faut confondre ni citoyenneté romaine et nationalité moderne, ni pérégrin et esclave.</w:t>
      </w:r>
    </w:p>
    <w:p>
      <w:pPr>
        <w:pStyle w:val="Definition"/>
        <w:pageBreakBefore w:val="0"/>
      </w:pPr>
      <w:r>
        <w:rPr>
          <w:b/>
        </w:rPr>
        <w:t xml:space="preserve">Édit du préteur : </w:t>
      </w:r>
      <w:r>
        <w:t xml:space="preserve">programme juridictionnel publié à l’entrée en fonction, annonçant notamment les situations dans lesquelles une action en justice sera accordée.</w:t>
      </w:r>
    </w:p>
    <w:p>
      <w:pPr>
        <w:pageBreakBefore w:val="0"/>
      </w:pPr>
      <w:r>
        <w:t xml:space="preserve">L’octroi d’actions protège des situations concrètes et adapte le droit à de nouveaux besoins. Les préteurs reprennent des dispositions utiles de leurs prédécesseurs et peuvent en ajouter : cette activité forme le droit prétorien. L’action rend une protection concrètement accessible. On comprend ainsi pourquoi l’évolution du droit peut passer par la manière d’organiser le procès, même sans nouvelle loi générale. Le travail du préteur accompagne l’adaptation des protections aux rapports sociaux et économiques.</w:t>
      </w:r>
    </w:p>
    <w:p>
      <w:pPr>
        <w:pStyle w:val="Heading3"/>
        <w:keepNext/>
        <w:pageBreakBefore w:val="0"/>
      </w:pPr>
      <w:r>
        <w:t xml:space="preserve">Les deux phases du procès formulaire</w:t>
      </w:r>
    </w:p>
    <w:p>
      <w:pPr>
        <w:pageBreakBefore w:val="0"/>
      </w:pPr>
      <w:r>
        <w:t xml:space="preserve">In iure : le préteur examine la demande et détermine si une protection juridictionnelle peut être accordée. Il organise le cadre du procès, désigne le juge selon les règles applicables et établit la formule. Son intervention est donc décisive pour traduire une prétention en question juridique susceptible d’être jugée. Il ne faut pas en déduire qu’il a déjà décidé que le demandeur a raison : la vérification des faits et la décision dans le cadre fixé appartiennent à l’autre phase.</w:t>
      </w:r>
    </w:p>
    <w:p>
      <w:pPr>
        <w:pageBreakBefore w:val="0"/>
      </w:pPr>
      <w:r>
        <w:t xml:space="preserve">Apud iudicem : le juge privé examine les faits et les preuves dans le cadre de la formule, puis condamne ou absout selon les conditions prévues. Exemple pédagogique : lorsqu’une dette est contestée, identifier la protection accordée et les conditions à vérifier ne signifie pas encore démontrer que la dette existe. L’articulation entre les deux phases explique la complémentarité des rôles : le préteur organise le cadre juridique et le juge tranche le litige. Ces fonctions ne correspondent pas exactement à deux degrés de juridiction contemporains.</w:t>
      </w:r>
    </w:p>
    <w:p>
      <w:pPr>
        <w:pStyle w:val="Definition"/>
        <w:pageBreakBefore w:val="0"/>
      </w:pPr>
      <w:r>
        <w:rPr>
          <w:b/>
        </w:rPr>
        <w:t xml:space="preserve">Formule : </w:t>
      </w:r>
      <w:r>
        <w:t xml:space="preserve">écrit fixant la question juridique à résoudre et les conditions dans lesquelles le juge doit condamner ou absoudre. Elle ne contient pas un jugement arrêté à l’avance.</w:t>
      </w:r>
    </w:p>
    <w:p>
      <w:pPr>
        <w:pStyle w:val="KeyPoint"/>
        <w:pageBreakBefore w:val="0"/>
      </w:pPr>
      <w:r>
        <w:t xml:space="preserve">Schéma à reconstruire : prétention d’une partie → examen par le préteur et octroi d’une action → formule → appréciation des faits par le juge → jugement.</w:t>
      </w:r>
    </w:p>
    <w:p>
      <w:pPr>
        <w:pageBreakBefore w:val="0"/>
      </w:pPr>
      <w:r>
        <w:t xml:space="preserve">Le droit prétorien est concret, souple et honoraire. Honoraire renvoie à l’honor, la charge publique, et non à une rémunération ou à l’étymologie d’imperium. Sous Hadrien, vers 125–130 apr. J.-C., le jurisconsulte Julien fixe l’édit : l’innovation des préteurs est fortement limitée et l’évolution du droit dépend davantage du pouvoir impérial.</w:t>
      </w:r>
    </w:p>
    <w:p>
      <w:pPr>
        <w:pStyle w:val="SmallNote"/>
        <w:pageBreakBefore w:val="0"/>
      </w:pPr>
      <w:r>
        <w:t xml:space="preserve">« Édit perpétuel » peut désigner, selon le contexte, un édit valable durant l’année de charge ou l’édit fixé sous Hadrien. Toujours préciser la période étudiée.</w:t>
      </w:r>
    </w:p>
    <w:p>
      <w:pPr>
        <w:pStyle w:val="Heading3"/>
        <w:keepNext/>
        <w:pageBreakBefore w:val="0"/>
      </w:pPr>
      <w:r>
        <w:t xml:space="preserve">La jurisprudence des jurisconsultes</w:t>
      </w:r>
    </w:p>
    <w:p>
      <w:pPr>
        <w:pStyle w:val="Definition"/>
        <w:pageBreakBefore w:val="0"/>
      </w:pPr>
      <w:r>
        <w:rPr>
          <w:b/>
        </w:rPr>
        <w:t xml:space="preserve">Jurisprudence romaine : </w:t>
      </w:r>
      <w:r>
        <w:t xml:space="preserve">activité et savoir des spécialistes du droit, les jurisconsultes ou prudentes. Elle ne désigne pas principalement l’ensemble des décisions judiciaires, contrairement à l’usage contemporain.</w:t>
      </w:r>
    </w:p>
    <w:p>
      <w:pPr>
        <w:pageBreakBefore w:val="0"/>
      </w:pPr>
      <w:r>
        <w:t xml:space="preserve">L’activité juridique se laïcise progressivement par rapport à la connaissance initialement liée aux pontifes. Les jurisconsultes consultent, conseillent la rédaction d’actes et enseignent. Leur prestige social et leur auctoritas soutiennent leurs avis ; leurs solutions peuvent diverger. La force de leur contribution tient au raisonnement et à l’autorité reconnue à leur savoir. Elle doit être distinguée d’un ordre donné par un magistrat : l’avis éclaire la solution juridique, alors que le commandement impose une conduite dans le champ d’un pouvoir.</w:t>
      </w:r>
    </w:p>
    <w:p>
      <w:pPr>
        <w:pStyle w:val="Definition"/>
        <w:pageBreakBefore w:val="0"/>
      </w:pPr>
      <w:r>
        <w:rPr>
          <w:b/>
        </w:rPr>
        <w:t xml:space="preserve">Auctoritas : </w:t>
      </w:r>
      <w:r>
        <w:t xml:space="preserve">autorité intellectuelle, sociale ou politique reconnue à une personne ou à une institution. Elle ne se confond pas simplement avec un pouvoir de commandement.</w:t>
      </w:r>
    </w:p>
    <w:p>
      <w:pPr>
        <w:pageBreakBefore w:val="0"/>
      </w:pPr>
      <w:r>
        <w:t xml:space="preserve">Les écoles sabinienne et proculienne structurent des débats juridiques. Parmi les juristes majeurs : Gaius et ses Institutes ; Papinien, exécuté en 212 ; Ulpien, juriste et préfet du prétoire, mort en 223 ; Paul ; puis Modestin, élève d’Ulpien et préfet des vigiles. Plusieurs participent à l’administration impériale.</w:t>
      </w:r>
    </w:p>
    <w:p>
      <w:pPr>
        <w:pStyle w:val="Definition"/>
        <w:pageBreakBefore w:val="0"/>
      </w:pPr>
      <w:r>
        <w:rPr>
          <w:b/>
        </w:rPr>
        <w:t xml:space="preserve">Ius respondendi ex auctoritate principis : </w:t>
      </w:r>
      <w:r>
        <w:t xml:space="preserve">autorité renforcée accordée à certaines consultations sous l’autorité du prince, traditionnellement rattachée à Auguste. Sa date précise, sa portée et son fonctionnement restent discutés.</w:t>
      </w:r>
    </w:p>
    <w:p>
      <w:pPr>
        <w:pStyle w:val="KeyPoint"/>
        <w:pageBreakBefore w:val="0"/>
      </w:pPr>
      <w:r>
        <w:t xml:space="preserve">À ne pas confondre : le préteur organise une protection juridictionnelle ; le jurisconsulte produit une analyse et un avis ; le juge tranche le litige. Le pouvoir impérial encadre progressivement ces activités.</w:t>
      </w:r>
    </w:p>
    <w:p>
      <w:pPr>
        <w:pStyle w:val="Heading3"/>
        <w:keepNext/>
        <w:pageBreakBefore w:val="0"/>
      </w:pPr>
      <w:r>
        <w:t xml:space="preserve">Le Sénat et les sénatus-consultes</w:t>
      </w:r>
    </w:p>
    <w:p>
      <w:pPr>
        <w:pageBreakBefore w:val="0"/>
      </w:pPr>
      <w:r>
        <w:t xml:space="preserve">Sous la République, les leges publiques sont votées par les assemblées populaires compétentes sur proposition d’un magistrat. Le Sénat influence fortement la vie publique par son auctoritas ; ses sénatus-consultes sont formellement des avis adressés aux magistrats, plutôt que des lois votées comme aujourd’hui.</w:t>
      </w:r>
    </w:p>
    <w:p>
      <w:pPr>
        <w:pStyle w:val="Definition"/>
        <w:pageBreakBefore w:val="0"/>
      </w:pPr>
      <w:r>
        <w:rPr>
          <w:b/>
        </w:rPr>
        <w:t xml:space="preserve">Sénatus-consulte : </w:t>
      </w:r>
      <w:r>
        <w:t xml:space="preserve">avis ou décision du Sénat dont la portée normative évolue entre République et Empire.</w:t>
      </w:r>
    </w:p>
    <w:p>
      <w:pPr>
        <w:pageBreakBefore w:val="0"/>
      </w:pPr>
      <w:r>
        <w:t xml:space="preserve">L’auctoritas patrum est une approbation des patres de certaines décisions populaires. La lex Publilia Philonis de 339 av. J.-C. la place avant le vote des comices centuriates : elle réduit la possibilité de remettre en cause après coup la décision du peuple.</w:t>
      </w:r>
    </w:p>
    <w:p>
      <w:pPr>
        <w:pageBreakBefore w:val="0"/>
      </w:pPr>
      <w:r>
        <w:t xml:space="preserve">Au début de l’Empire, les sénatus-consultes acquièrent une portée normative accrue. L’oratio principis, discours ou communication du prince au Sénat, contribue ensuite à réduire l’autonomie sénatoriale au profit de la volonté impériale.</w:t>
      </w:r>
    </w:p>
    <w:p>
      <w:pPr>
        <w:pStyle w:val="SmallNote"/>
        <w:pageBreakBefore w:val="0"/>
      </w:pPr>
      <w:r>
        <w:t xml:space="preserve">Ne pas reconstruire une procédure républicaine immuable de « trois votes ». La combinaison de proposition, vote populaire et influence sénatoriale varie historiquement.</w:t>
      </w:r>
    </w:p>
    <w:p>
      <w:pPr>
        <w:pStyle w:val="Heading3"/>
        <w:keepNext/>
        <w:pageBreakBefore w:val="0"/>
      </w:pPr>
      <w:r>
        <w:t xml:space="preserve">La législation impériale</w:t>
      </w:r>
    </w:p>
    <w:p>
      <w:pPr>
        <w:pStyle w:val="Definition"/>
        <w:pageBreakBefore w:val="0"/>
      </w:pPr>
      <w:r>
        <w:rPr>
          <w:b/>
        </w:rPr>
        <w:t xml:space="preserve">Constitution impériale : </w:t>
      </w:r>
      <w:r>
        <w:t xml:space="preserve">décision juridique émanant de l’empereur romain. Ici, constitution ne signifie pas texte organisant les pouvoirs publics au sens contemporain.</w:t>
      </w:r>
    </w:p>
    <w:p>
      <w:pPr>
        <w:pageBreakBefore w:val="0"/>
      </w:pPr>
      <w:r>
        <w:t xml:space="preserve">Édit impérial : il s’agit d’une décision de portée générale émanant de l’empereur. L’extension de la citoyenneté par Caracalla en 212 et l’édit du Maximum de Dioclétien en 301 constituent les exemples du cours. Le critère à retenir est la portée générale du texte, qui dépasse la réponse à un seul litige. Il faut également identifier son auteur : l’édit impérial ne remplit pas la même fonction que l’édit par lequel le préteur annonce les protections juridictionnelles qu’il accordera.</w:t>
      </w:r>
    </w:p>
    <w:p>
      <w:pPr>
        <w:pageBreakBefore w:val="0"/>
      </w:pPr>
      <w:r>
        <w:t xml:space="preserve">Décret impérial : c’est une décision rendue par l’empereur dans une affaire judiciaire. Le point de départ est donc le règlement d’un litige, et non l’annonce d’un programme juridictionnel par un magistrat. Pour distinguer les constitutions impériales, il faut demander dans quelle activité l’empereur intervient : ici, il juge. Cette origine contentieuse permet de différencier le décret du rescrit, qui répond à une question ou à une requête juridique.</w:t>
      </w:r>
    </w:p>
    <w:p>
      <w:pPr>
        <w:pageBreakBefore w:val="0"/>
      </w:pPr>
      <w:r>
        <w:t xml:space="preserve">Rescrit : il consiste dans une réponse écrite de l’empereur à une question ou à une requête juridique. Le demandeur cherche une solution ou une indication sur le droit applicable ; la réponse impériale acquiert une place dans la production du droit. Sa forme permet de comprendre comment le pouvoir central intervient dans des difficultés concrètes. Il faut distinguer cette consultation de la décision rendue directement dans une affaire judiciaire et de l’édiction d’une règle générale.</w:t>
      </w:r>
    </w:p>
    <w:p>
      <w:pPr>
        <w:pageBreakBefore w:val="0"/>
      </w:pPr>
      <w:r>
        <w:t xml:space="preserve">Mandat : il s’agit d’une instruction adressée à un agent de l’administration, notamment à un gouverneur provincial. Le destinataire et la fonction de l’acte sont ici essentiels : l’empereur dirige l’action de ses agents. Les quatre catégories de constitutions impériales montrent ainsi que la production du droit passe par plusieurs activités, législative, judiciaire, consultative ou administrative. Le terme commun de constitution impériale désigne leur origine dans le pouvoir impérial ; il ne les rend pas identiques dans leur forme.</w:t>
      </w:r>
    </w:p>
    <w:p>
      <w:pPr>
        <w:pageBreakBefore w:val="0"/>
      </w:pPr>
      <w:r>
        <w:t xml:space="preserve">Le pouvoir normatif impérial s’affirme progressivement par le contrôle de l’édit, l’encadrement des juristes et l’influence sur le Sénat. Ulpien rattache la force de loi de la décision du prince au pouvoir qui lui aurait été conféré par le peuple : ce n’est pas une simple équivalence entre toute préférence personnelle et une loi.</w:t>
      </w:r>
    </w:p>
    <w:p>
      <w:pPr>
        <w:pStyle w:val="KeyPoint"/>
        <w:pageBreakBefore w:val="0"/>
      </w:pPr>
      <w:r>
        <w:t xml:space="preserve">Comparaison essentielle : édit du préteur = programme de protection juridictionnelle ; édit impérial = décision normative générale de l’empereur. Les deux actes ne proviennent pas de la même autorité et n’exercent pas la même fonction.</w:t>
      </w:r>
    </w:p>
    <w:p>
      <w:pPr>
        <w:pStyle w:val="Heading2"/>
        <w:keepNext/>
        <w:pageBreakBefore w:val="0"/>
      </w:pPr>
      <w:r>
        <w:t xml:space="preserve">Section 3 Droit tardif et mouvement de codification</w:t>
      </w:r>
    </w:p>
    <w:p>
      <w:pPr>
        <w:pStyle w:val="Heading3"/>
        <w:keepNext/>
        <w:pageBreakBefore w:val="0"/>
      </w:pPr>
      <w:r>
        <w:t xml:space="preserve">Transformations politiques et juridiques</w:t>
      </w:r>
    </w:p>
    <w:p>
      <w:pPr>
        <w:pageBreakBefore w:val="0"/>
      </w:pPr>
      <w:r>
        <w:t xml:space="preserve">L’instabilité de 235–284/285 précède les réformes de Dioclétien : accession en 284, Tétrarchie en 293, deux Augustes et deux Césars. Constantin gouverne seul de 324 à 337 et inaugure Constantinople en 330. Après Théodose Ier en 395, les trajectoires de l’Orient et de l’Occident s’éloignent ; l’Empire d’Occident prend fin en 476, celui d’Orient en 1453.</w:t>
      </w:r>
    </w:p>
    <w:p>
      <w:pPr>
        <w:pageBreakBefore w:val="0"/>
      </w:pPr>
      <w:r>
        <w:t xml:space="preserve">La grande science juridique classique perd de son dynamisme, mais les œuvres anciennes restent utilisées, copiées, résumées et adaptées. « Déclin » ne signifie donc pas disparition de tout droit ou de toute activité juridique. La question devient notamment celle de l’accès aux œuvres et de la manière de les utiliser lorsqu’elles divergent. Cette difficulté prépare l’étude de la loi des citations et des recueils : les autorités cherchent à rendre un patrimoine juridique ancien plus maniable.</w:t>
      </w:r>
    </w:p>
    <w:p>
      <w:pPr>
        <w:pageBreakBefore w:val="0"/>
      </w:pPr>
      <w:r>
        <w:t xml:space="preserve">Les persécutions des chrétiens sont variables, notamment sous Dèce puis Dioclétien. Une décision de tolérance intervient sous Galère en 311 ; les mesures de 313 liées à Constantin et Licinius accordent la liberté du culte chrétien ; en 380, l’édit de Thessalonique affirme la place officielle du christianisme nicéen.</w:t>
      </w:r>
    </w:p>
    <w:p>
      <w:pPr>
        <w:pageBreakBefore w:val="0"/>
      </w:pPr>
      <w:r>
        <w:t xml:space="preserve">La romanisation des provinces est inégale. La citoyenneté étendue par Caracalla en 212 ne supprime pas immédiatement les traditions locales. Les solutions romaines se simplifient et s’adaptent dans la pratique.</w:t>
      </w:r>
    </w:p>
    <w:p>
      <w:pPr>
        <w:pStyle w:val="Definition"/>
        <w:pageBreakBefore w:val="0"/>
      </w:pPr>
      <w:r>
        <w:rPr>
          <w:b/>
        </w:rPr>
        <w:t xml:space="preserve">Droit romain vulgaire : </w:t>
      </w:r>
      <w:r>
        <w:t xml:space="preserve">expression désignant des formes pratiques et adaptées du droit tardif ; il ne s’agit ni d’un code particulier ni d’un droit uniforme officiellement promulgué.</w:t>
      </w:r>
    </w:p>
    <w:p>
      <w:pPr>
        <w:pStyle w:val="Heading3"/>
        <w:keepNext/>
        <w:pageBreakBefore w:val="0"/>
      </w:pPr>
      <w:r>
        <w:t xml:space="preserve">La loi des citations de 426</w:t>
      </w:r>
    </w:p>
    <w:p>
      <w:pPr>
        <w:pageBreakBefore w:val="0"/>
      </w:pPr>
      <w:r>
        <w:t xml:space="preserve">Elle reconnaît une autorité particulière à cinq juristes : Gaius, Papinien, Ulpien, Paul et Modestin. En cas de contradiction, la majorité est suivie ; en cas de partage égal, l’avis de Papinien prévaut. Si celui-ci ne s’est pas prononcé, le juge dispose d’une marge de choix. Ce mécanisme cherche à orienter le juge dans un ensemble d’opinions concurrentes. Le nombre et l’autorité des auteurs deviennent des critères de choix. Exemple pédagogique : lorsque les opinions citées ne vont pas dans le même sens, la seule ancienneté d’un texte ne suffit pas ; il faut appliquer le mécanisme de résolution du désaccord prévu.</w:t>
      </w:r>
    </w:p>
    <w:p>
      <w:pPr>
        <w:pStyle w:val="KeyPoint"/>
        <w:pageBreakBefore w:val="0"/>
      </w:pPr>
      <w:r>
        <w:t xml:space="preserve">Mémo des cinq juristes : Gaius — Papinien — Ulpien — Paul — Modestin. Le mécanisme vise à ordonner l’usage d’avis anciens concurrents.</w:t>
      </w:r>
    </w:p>
    <w:p>
      <w:pPr>
        <w:pStyle w:val="Heading3"/>
        <w:keepNext/>
        <w:pageBreakBefore w:val="0"/>
      </w:pPr>
      <w:r>
        <w:t xml:space="preserve">Les premiers recueils et le Code Théodosien</w:t>
      </w:r>
    </w:p>
    <w:p>
      <w:pPr>
        <w:pStyle w:val="Definition"/>
        <w:pageBreakBefore w:val="0"/>
      </w:pPr>
      <w:r>
        <w:rPr>
          <w:b/>
        </w:rPr>
        <w:t xml:space="preserve">Codification : </w:t>
      </w:r>
      <w:r>
        <w:t xml:space="preserve">opération de rassemblement et d’organisation de textes juridiques pour fournir une référence plus utilisable. Ses méthodes et sa portée varient selon les époques.</w:t>
      </w:r>
    </w:p>
    <w:p>
      <w:pPr>
        <w:pageBreakBefore w:val="0"/>
      </w:pPr>
      <w:r>
        <w:t xml:space="preserve">Le codex est d’abord une forme matérielle de livre à feuilles reliées, distincte du volumen. Il facilite la consultation ; il ne faut pas confondre cette forme avec tout recueil juridique appelé « code ».</w:t>
      </w:r>
    </w:p>
    <w:p>
      <w:pPr>
        <w:pageBreakBefore w:val="0"/>
      </w:pPr>
      <w:r>
        <w:t xml:space="preserve">Les Codes Grégorien et Hermogénien sont des collections privées de constitutions impériales de la fin du IIIe siècle. Leur contenu est connu notamment par des compilations ultérieures ; l’identité et la carrière exactes de leurs compilateurs ne sont pas entièrement assurées.</w:t>
      </w:r>
    </w:p>
    <w:p>
      <w:pPr>
        <w:pageBreakBefore w:val="0"/>
      </w:pPr>
      <w:r>
        <w:t xml:space="preserve">Le Code Théodosien est un recueil officiel préparé sous Théodose II. Promulgué en Orient en 438, applicable en Occident à partir de 439, il comprend seize livres et rassemble principalement des constitutions depuis Constantin, classées par matières.</w:t>
      </w:r>
    </w:p>
    <w:p>
      <w:pPr>
        <w:pageBreakBefore w:val="0"/>
      </w:pPr>
      <w:r>
        <w:t xml:space="preserve">Il conserve une influence en Occident après 476, notamment par le Bréviaire d’Alaric de 506. Une compilation peut sélectionner et abréger ses textes ; une réception politique dans plusieurs territoires ne rend pas toutes les pratiques locales identiques.</w:t>
      </w:r>
    </w:p>
    <w:p>
      <w:pPr>
        <w:pStyle w:val="Heading3"/>
        <w:keepNext/>
        <w:pageBreakBefore w:val="0"/>
      </w:pPr>
      <w:r>
        <w:t xml:space="preserve">Les compilations de Justinien</w:t>
      </w:r>
    </w:p>
    <w:p>
      <w:pPr>
        <w:pageBreakBefore w:val="0"/>
      </w:pPr>
      <w:r>
        <w:t xml:space="preserve">Justinien règne en Orient de 527 à 565. Son projet associe unité juridique, utilité pratique et pédagogique, affirmation politique et unité religieuse. Tribonien coordonne des commissions. La compilation ne doit pas être confondue avec les campagnes de reconquête, auxquelles participent plusieurs généraux, notamment Bélisaire.</w:t>
      </w:r>
    </w:p>
    <w:p>
      <w:pPr>
        <w:pageBreakBefore w:val="0"/>
      </w:pPr>
      <w:r>
        <w:t xml:space="preserve">Code : constitutions impériales ; première version en 529, version définitive en 534, en douze livres. Son intérêt est de rassembler et d’ordonner des décisions des empereurs afin de les rendre utilisables comme référence. Le Code répond donc à la question de l’accès aux textes de législation impériale. Le retenir comme un simple titre dans une liste ferait perdre sa différence principale avec le Digeste : les matériaux réunis ne viennent pas du même type de source.</w:t>
      </w:r>
    </w:p>
    <w:p>
      <w:pPr>
        <w:pageBreakBefore w:val="0"/>
      </w:pPr>
      <w:r>
        <w:t xml:space="preserve">Digeste ou Pandectes : ce recueil de 533, en cinquante livres, rassemble des extraits d’œuvres des juristes classiques. Il donne accès à des raisonnements et à des solutions issus de la science juridique. Le travail de compilation suppose de sélectionner et d’organiser ces fragments ; certaines modifications destinées à les adapter constituent des interpolations. Le Digeste contribue donc à conserver le droit classique tout en le faisant servir au projet de Justinien.</w:t>
      </w:r>
    </w:p>
    <w:p>
      <w:pPr>
        <w:pageBreakBefore w:val="0"/>
      </w:pPr>
      <w:r>
        <w:t xml:space="preserve">Institutes : ce manuel officiel d’enseignement de 533, organisé en quatre livres et inspiré notamment de Gaius, présente le droit pour son apprentissage. Son objectif pédagogique le distingue de l’ample collection d’extraits savants du Digeste. Il possède également une autorité juridique : il ne faut donc pas l’assimiler à un simple livre scolaire privé. Pour mémoriser l’ensemble, on peut relier chaque recueil à son usage : apprendre les bases, retrouver les constitutions ou consulter les analyses des juristes.</w:t>
      </w:r>
    </w:p>
    <w:p>
      <w:pPr>
        <w:pageBreakBefore w:val="0"/>
      </w:pPr>
      <w:r>
        <w:t xml:space="preserve">Novelles : ce sont les constitutions impériales nouvelles postérieures à la version définitive du Code de 534. Elles montrent que la compilation ne met pas fin à l’activité normative de l’empereur : de nouvelles règles continuent d’être adoptées. Elles sont notamment transmises par des collections privées et souvent rédigées en grec. Leur place permet de comprendre le caractère évolutif de l’ensemble justinien : réunir les textes existants et produire des textes nouveaux constituent deux opérations distinctes.</w:t>
      </w:r>
    </w:p>
    <w:p>
      <w:pPr>
        <w:pStyle w:val="Definition"/>
        <w:pageBreakBefore w:val="0"/>
      </w:pPr>
      <w:r>
        <w:rPr>
          <w:b/>
        </w:rPr>
        <w:t xml:space="preserve">Interpolation : </w:t>
      </w:r>
      <w:r>
        <w:t xml:space="preserve">modification d’un texte ancien par les compilateurs pour l’adapter à leur contexte. Le Digeste conserve néanmoins de nombreux éléments du droit classique.</w:t>
      </w:r>
    </w:p>
    <w:p>
      <w:pPr>
        <w:pageBreakBefore w:val="0"/>
      </w:pPr>
      <w:r>
        <w:t xml:space="preserve">La Novelle 118 de 543 réorganise la succession sans testament : la parenté par le sang, ou cognation, prend le pas sur d’anciennes distinctions agnatiques. Les descendants viennent en premier ; la représentation permet à certains descendants d’un enfant prédécédé de recueillir sa part. À défaut, ascendants, frères et sœurs, puis autres collatéraux sont appelés selon les règles prévues. Le conjoint survivant relève de règles particulières. Cet exemple montre qu’une constitution nouvelle peut modifier une organisation familiale et successorale héritée. Pour comprendre la règle, il faut identifier le critère de parenté utilisé, puis l’ordre des personnes appelées ; apprendre uniquement le numéro de la Novelle ne suffit pas.</w:t>
      </w:r>
    </w:p>
    <w:p>
      <w:pPr>
        <w:pStyle w:val="Definition"/>
        <w:pageBreakBefore w:val="0"/>
      </w:pPr>
      <w:r>
        <w:rPr>
          <w:b/>
        </w:rPr>
        <w:t xml:space="preserve">Succession ab intestat : </w:t>
      </w:r>
      <w:r>
        <w:t xml:space="preserve">succession ouverte en l’absence de testament.</w:t>
      </w:r>
    </w:p>
    <w:p>
      <w:pPr>
        <w:pStyle w:val="Definition"/>
        <w:pageBreakBefore w:val="0"/>
      </w:pPr>
      <w:r>
        <w:rPr>
          <w:b/>
        </w:rPr>
        <w:t xml:space="preserve">Agnation et cognation : </w:t>
      </w:r>
      <w:r>
        <w:t xml:space="preserve">l’agnation renvoie à une parenté organisée juridiquement par les puissances familiales ; la cognation met l’accent sur la parenté par le sang.</w:t>
      </w:r>
    </w:p>
    <w:p>
      <w:pPr>
        <w:pageBreakBefore w:val="0"/>
      </w:pPr>
      <w:r>
        <w:t xml:space="preserve">Les compilations s’appliquent en Orient et dans certains territoires reconquis. Elles demeurent peu connues dans une grande partie de l’Occident. Leur étude systématique renaît surtout à la fin du XIe siècle, puis dans les universités.</w:t>
      </w:r>
    </w:p>
    <w:p>
      <w:pPr>
        <w:pStyle w:val="KeyPoint"/>
        <w:pageBreakBefore w:val="0"/>
      </w:pPr>
      <w:r>
        <w:t xml:space="preserve">Synthèse du chapitre : coutume et XII Tables → pluralité des sources classiques → emprise croissante de l’empereur → mise en ordre des textes → conservation et transmission par les compilations.</w:t>
      </w:r>
    </w:p>
    <w:p>
      <w:pPr>
        <w:pStyle w:val="Heading1"/>
        <w:keepNext/>
        <w:pageBreakBefore w:val="0"/>
      </w:pPr>
      <w:r>
        <w:t xml:space="preserve">Chapitre 2 Droit et justice à l’époque franque</w:t>
      </w:r>
    </w:p>
    <w:p>
      <w:pPr>
        <w:pStyle w:val="Heading2"/>
        <w:keepNext/>
        <w:pageBreakBefore w:val="0"/>
      </w:pPr>
      <w:r>
        <w:t xml:space="preserve">Repères et continuités avec Rome</w:t>
      </w:r>
    </w:p>
    <w:p>
      <w:pPr>
        <w:pageBreakBefore w:val="0"/>
      </w:pPr>
      <w:r>
        <w:t xml:space="preserve">L’époque franque est située dans le cours de 481, avènement de Clovis, à 987, avènement d’Hugues Capet. Les Mérovingiens précèdent les Carolingiens. Pépin le Bref fonde la nouvelle dynastie en 751 ; Charlemagne règne de 768 à 814 et est couronné empereur le 25 décembre 800.</w:t>
      </w:r>
    </w:p>
    <w:p>
      <w:pPr>
        <w:pageBreakBefore w:val="0"/>
      </w:pPr>
      <w:r>
        <w:t xml:space="preserve">Après Louis le Pieux, mort en 840, les serments de Strasbourg de 842 précèdent Verdun en 843. Les conflits et partages contribuent à la fragmentation de l’unité impériale. La période franque appartient au Haut Moyen Âge : « obscure » ne veut pas dire sans institutions ni droit.</w:t>
      </w:r>
    </w:p>
    <w:p>
      <w:pPr>
        <w:pageBreakBefore w:val="0"/>
      </w:pPr>
      <w:r>
        <w:t xml:space="preserve">Les liens avec Rome mêlent conflits, alliances et intégration. Childéric, père de Clovis, illustre l’insertion d’un chef franc dans les structures de la Gaule tardive. La conversion catholique de Clovis favorise les liens avec les élites gallo-romaines ; sa date est discutée, le cours retenant vers 505. Il serait anachronique d’en déduire la naissance d’un État français contemporain.</w:t>
      </w:r>
    </w:p>
    <w:p>
      <w:pPr>
        <w:pStyle w:val="Heading2"/>
        <w:keepNext/>
        <w:pageBreakBefore w:val="0"/>
      </w:pPr>
      <w:r>
        <w:t xml:space="preserve">Section 1 Les sources mérovingiennes</w:t>
      </w:r>
    </w:p>
    <w:p>
      <w:pPr>
        <w:pStyle w:val="Heading3"/>
        <w:keepNext/>
        <w:pageBreakBefore w:val="0"/>
      </w:pPr>
      <w:r>
        <w:t xml:space="preserve">Les lois des peuples germaniques</w:t>
      </w:r>
    </w:p>
    <w:p>
      <w:pPr>
        <w:pStyle w:val="Definition"/>
        <w:pageBreakBefore w:val="0"/>
      </w:pPr>
      <w:r>
        <w:rPr>
          <w:b/>
        </w:rPr>
        <w:t xml:space="preserve">Leges barbarorum : </w:t>
      </w:r>
      <w:r>
        <w:t xml:space="preserve">lois mises par écrit pour les peuples germaniques installés dans l’ancien Empire romain d’Occident.</w:t>
      </w:r>
    </w:p>
    <w:p>
      <w:pPr>
        <w:pageBreakBefore w:val="0"/>
      </w:pPr>
      <w:r>
        <w:t xml:space="preserve">Exemples : Code d’Euric pour les Wisigoths, loi Gombette pour les Burgondes, loi salique pour les Francs saliens ; d’autres textes existent, comme la loi ripuaire et la loi des Alamans. Leur rédaction en latin et certains instruments monétaires et juridiques manifestent des influences romaines.</w:t>
      </w:r>
    </w:p>
    <w:p>
      <w:pPr>
        <w:pStyle w:val="Definition"/>
        <w:pageBreakBefore w:val="0"/>
      </w:pPr>
      <w:r>
        <w:rPr>
          <w:b/>
        </w:rPr>
        <w:t xml:space="preserve">Composition pécuniaire : </w:t>
      </w:r>
      <w:r>
        <w:t xml:space="preserve">somme fixée pour réparer une atteinte et contribuer au rétablissement de la paix, notamment en rachetant la vengeance privée.</w:t>
      </w:r>
    </w:p>
    <w:p>
      <w:pPr>
        <w:pStyle w:val="Definition"/>
        <w:pageBreakBefore w:val="0"/>
      </w:pPr>
      <w:r>
        <w:rPr>
          <w:b/>
        </w:rPr>
        <w:t xml:space="preserve">Wergeld : </w:t>
      </w:r>
      <w:r>
        <w:t xml:space="preserve">« prix de l’homme », composition liée à un homicide et variable selon le statut de la victime.</w:t>
      </w:r>
    </w:p>
    <w:p>
      <w:pPr>
        <w:pageBreakBefore w:val="0"/>
      </w:pPr>
      <w:r>
        <w:t xml:space="preserve">La loi salique est transmise par plusieurs versions et remaniements. Une rédaction officielle est généralement située vers 507–511 ; l’hypothèse d’un noyau beaucoup plus ancien reste discutée. Son prologue insiste sur la concorde et l’arrêt de l’enchaînement des violences.</w:t>
      </w:r>
    </w:p>
    <w:p>
      <w:pPr>
        <w:pageBreakBefore w:val="0"/>
      </w:pPr>
      <w:r>
        <w:t xml:space="preserve">Elle est surtout un tarif de compositions, mais traite aussi famille, biens et procédure. Elle n’exclut pas les femmes de toute succession : une disposition concerne la terra Salica, dont le sens exact reste discuté. Son utilisation, à partir du XIVe siècle, dans la succession à la Couronne est un phénomène ultérieur. Cet exemple montre qu’une règle ancienne peut recevoir un usage politique nouveau longtemps après sa rédaction. Pour éviter l’anachronisme, il faut distinguer le problème initial des biens et successions et la question beaucoup plus tardive de la transmission du pouvoir royal.</w:t>
      </w:r>
    </w:p>
    <w:p>
      <w:pPr>
        <w:pStyle w:val="Heading3"/>
        <w:keepNext/>
        <w:pageBreakBefore w:val="0"/>
      </w:pPr>
      <w:r>
        <w:t xml:space="preserve">Le maintien du droit romain</w:t>
      </w:r>
    </w:p>
    <w:p>
      <w:pPr>
        <w:pageBreakBefore w:val="0"/>
      </w:pPr>
      <w:r>
        <w:t xml:space="preserve">Les populations gallo-romaines conservent le droit romain comme référence. Les rois germaniques produisent des recueils appelés leges Romanae barbarorum. Le principal est le Bréviaire d’Alaric, promulgué en 506 par Alaric II pour ses sujets romains ; il sélectionne des textes du Code Théodosien et d’autres sources, accompagnés d’interprétations.</w:t>
      </w:r>
    </w:p>
    <w:p>
      <w:pPr>
        <w:pageBreakBefore w:val="0"/>
      </w:pPr>
      <w:r>
        <w:t xml:space="preserve">Après Vouillé en 507 et la mort d’Alaric II, Clovis maintient l’usage du Bréviaire pour les populations passées sous son autorité. La Loi romaine des Burgondes est appelée Papien en raison d’une ancienne attribution erronée à Papinien.</w:t>
      </w:r>
    </w:p>
    <w:p>
      <w:pPr>
        <w:pStyle w:val="Definition"/>
        <w:pageBreakBefore w:val="0"/>
      </w:pPr>
      <w:r>
        <w:rPr>
          <w:b/>
        </w:rPr>
        <w:t xml:space="preserve">Formulaire : </w:t>
      </w:r>
      <w:r>
        <w:t xml:space="preserve">recueil de modèles d’actes destinés aux praticiens. Le formulaire de Marculf, au VIIe siècle, témoigne de la persistance de techniques juridiques romaines.</w:t>
      </w:r>
    </w:p>
    <w:p>
      <w:pPr>
        <w:pStyle w:val="Heading3"/>
        <w:keepNext/>
        <w:pageBreakBefore w:val="0"/>
      </w:pPr>
      <w:r>
        <w:t xml:space="preserve">Personnalité et territorialisation des lois</w:t>
      </w:r>
    </w:p>
    <w:p>
      <w:pPr>
        <w:pStyle w:val="Definition"/>
        <w:pageBreakBefore w:val="0"/>
      </w:pPr>
      <w:r>
        <w:rPr>
          <w:b/>
        </w:rPr>
        <w:t xml:space="preserve">Personnalité des lois : </w:t>
      </w:r>
      <w:r>
        <w:t xml:space="preserve">application, en principe, de la loi du peuple auquel appartient une personne. Plusieurs droits peuvent donc coexister sur un même territoire.</w:t>
      </w:r>
    </w:p>
    <w:p>
      <w:pPr>
        <w:pStyle w:val="Definition"/>
        <w:pageBreakBefore w:val="0"/>
      </w:pPr>
      <w:r>
        <w:rPr>
          <w:b/>
        </w:rPr>
        <w:t xml:space="preserve">Professio legis : </w:t>
      </w:r>
      <w:r>
        <w:t xml:space="preserve">déclaration de la loi sous laquelle une personne vit, utile pour identifier le droit applicable au procès.</w:t>
      </w:r>
    </w:p>
    <w:p>
      <w:pPr>
        <w:pageBreakBefore w:val="0"/>
      </w:pPr>
      <w:r>
        <w:t xml:space="preserve">La loi personnelle dépend principalement de la naissance, avec des règles particulières pour l’enfant, l’affranchi, la femme mariée et les clercs. En cas de lois différentes entre parties, les règles de choix évoluent : le cours distingue notamment la loi du défendeur puis, progressivement, celle de la victime. La première question du procès est ainsi d’identifier la loi sous laquelle vivent les personnes. Ce travail ne se confond pas avec la recherche de la solution au fond : avant de discuter qui a raison, il faut déterminer les règles auxquelles se référer.</w:t>
      </w:r>
    </w:p>
    <w:p>
      <w:pPr>
        <w:pageBreakBefore w:val="0"/>
      </w:pPr>
      <w:r>
        <w:t xml:space="preserve">Les déplacements, mariages et mélanges des populations compliquent ce système. Le lieu de vie ou de jugement devient progressivement plus important : c’est la territorialisation. Ce mouvement ne signifie pas l’abolition soudaine de toutes les lois personnelles. Exemple pédagogique : lorsque des personnes de groupes différents vivent durablement dans un même lieu, le rattachement personnel peut devenir difficile à manier. La place croissante du territoire répond à cette difficulté pratique ; elle n’implique pas que tous les droits antérieurs aient été supprimés en même temps.</w:t>
      </w:r>
    </w:p>
    <w:p>
      <w:pPr>
        <w:pStyle w:val="KeyPoint"/>
        <w:pageBreakBefore w:val="0"/>
      </w:pPr>
      <w:r>
        <w:t xml:space="preserve">Comparaison : personnalité = critère lié à la personne et à son groupe ; territorialité = critère lié au lieu. Les capitulaires accompagnent la transition sans supprimer instantanément le pluralisme.</w:t>
      </w:r>
    </w:p>
    <w:p>
      <w:pPr>
        <w:pStyle w:val="Heading2"/>
        <w:keepNext/>
        <w:pageBreakBefore w:val="0"/>
      </w:pPr>
      <w:r>
        <w:t xml:space="preserve">Section 2 Les sources carolingiennes</w:t>
      </w:r>
    </w:p>
    <w:p>
      <w:pPr>
        <w:pageBreakBefore w:val="0"/>
      </w:pPr>
      <w:r>
        <w:t xml:space="preserve">Le renforcement royal puis impérial redonne une place à la législation générale. La renaissance carolingienne favorise écoles, copie des manuscrits et recours aux conseillers. Charlemagne emploie des règles écrites pour gouverner un territoire étendu. Une autorité gouvernant des populations diverses a besoin de transmettre des instructions et de coordonner des comportements. Les capitulaires participent à cet effort. Leur développement doit être relié à l’exercice du gouvernement, sans supposer qu’un texte suffit à assurer partout une application identique.</w:t>
      </w:r>
    </w:p>
    <w:p>
      <w:pPr>
        <w:pageBreakBefore w:val="0"/>
      </w:pPr>
      <w:r>
        <w:t xml:space="preserve">L’Admonitio generalis de 789 concerne notamment discipline religieuse, administration et instruction. Louis le Pieux poursuit l’activité législative ; les conflits et Verdun affaiblissent ensuite l’unité politique.</w:t>
      </w:r>
    </w:p>
    <w:p>
      <w:pPr>
        <w:pStyle w:val="Definition"/>
        <w:pageBreakBefore w:val="0"/>
      </w:pPr>
      <w:r>
        <w:rPr>
          <w:b/>
        </w:rPr>
        <w:t xml:space="preserve">Capitulaire : </w:t>
      </w:r>
      <w:r>
        <w:t xml:space="preserve">texte normatif du roi ou de l’empereur carolingien, divisé en capitula et portant sur des matières diverses.</w:t>
      </w:r>
    </w:p>
    <w:p>
      <w:pPr>
        <w:pageBreakBefore w:val="0"/>
      </w:pPr>
      <w:r>
        <w:t xml:space="preserve">Capitulaires ajoutés aux lois des peuples : ces textes complètent ou modifient une loi personnelle déjà applicable à un groupe. Le pouvoir royal intervient donc dans un cadre juridique existant, sans nécessairement le remplacer. Cette catégorie illustre la coexistence entre l’autorité normative du souverain et la diversité des lois des populations. Elle empêche d’assimiler toute législation carolingienne à la création immédiate d’un droit unique pour l’ensemble du territoire.</w:t>
      </w:r>
    </w:p>
    <w:p>
      <w:pPr>
        <w:pageBreakBefore w:val="0"/>
      </w:pPr>
      <w:r>
        <w:t xml:space="preserve">Capitulaires autonomes : ils édictent des règles indépendantes des anciennes lois personnelles, souvent dans une perspective plus territoriale. Leur intérêt est de permettre au souverain d’organiser des questions qui dépassent une seule loi de peuple. Il faut distinguer cette fonction de celle des capitulaires qui complètent une loi particulière. La coexistence des deux techniques explique la transition progressive vers des règles davantage attachées au territoire, plutôt qu’un changement général accompli en une seule décision.</w:t>
      </w:r>
    </w:p>
    <w:p>
      <w:pPr>
        <w:pageBreakBefore w:val="0"/>
      </w:pPr>
      <w:r>
        <w:t xml:space="preserve">Capitulaires ecclésiastiques : ils concernent l’Église, sa discipline et ses relations avec le pouvoir. Leur objet révèle l’imbrication des questions religieuses et du gouvernement dans le monde carolingien. Les catégories de capitulaires peuvent être décrites selon leur rapport aux anciennes lois ou selon la matière qu’elles traitent ; elles ne constituent donc pas toujours des catégories exclusives fondées sur un seul critère. Pour analyser un texte, il faut préciser son auteur, son objet et les personnes ou situations auxquelles il s’adresse.</w:t>
      </w:r>
    </w:p>
    <w:p>
      <w:pPr>
        <w:pageBreakBefore w:val="0"/>
      </w:pPr>
      <w:r>
        <w:t xml:space="preserve">Ces catégories ne rendent pas immédiatement tout le droit uniforme. L’édit de Pîtres de 864 illustre déjà la place du lieu où la justice est rendue dans la détermination des règles applicables. Il faut donc présenter le mouvement de territorialisation comme une évolution des critères de rattachement. La législation peut compléter les lois de groupes tout en faisant émerger des règles plus générales. Ces deux mouvements expliquent la persistance du pluralisme pendant la transformation du système.</w:t>
      </w:r>
    </w:p>
    <w:p>
      <w:pPr>
        <w:pStyle w:val="Heading2"/>
        <w:keepNext/>
        <w:pageBreakBefore w:val="0"/>
      </w:pPr>
      <w:r>
        <w:t xml:space="preserve">Section 3 La justice franque</w:t>
      </w:r>
    </w:p>
    <w:p>
      <w:pPr>
        <w:pStyle w:val="Heading3"/>
        <w:keepNext/>
        <w:pageBreakBefore w:val="0"/>
      </w:pPr>
      <w:r>
        <w:t xml:space="preserve">Juridictions et acteurs</w:t>
      </w:r>
    </w:p>
    <w:p>
      <w:pPr>
        <w:pageBreakBefore w:val="0"/>
      </w:pPr>
      <w:r>
        <w:t xml:space="preserve">Il n’existe pas une hiérarchie de juridictions semblable à celle d’aujourd’hui. Le tribunal du roi, ou tribunal palatin, traite surtout des affaires graves ou intéressant le souverain et des personnes de rang élevé ; ce n’est pas une cour d’appel moderne.</w:t>
      </w:r>
    </w:p>
    <w:p>
      <w:pPr>
        <w:pStyle w:val="Definition"/>
        <w:pageBreakBefore w:val="0"/>
      </w:pPr>
      <w:r>
        <w:rPr>
          <w:b/>
        </w:rPr>
        <w:t xml:space="preserve">Mallus : </w:t>
      </w:r>
      <w:r>
        <w:t xml:space="preserve">tribunal local des hommes libres du comté, présidé par le comte ou son vicaire.</w:t>
      </w:r>
    </w:p>
    <w:p>
      <w:pPr>
        <w:pStyle w:val="Definition"/>
        <w:pageBreakBefore w:val="0"/>
      </w:pPr>
      <w:r>
        <w:rPr>
          <w:b/>
        </w:rPr>
        <w:t xml:space="preserve">Rachimbourgs : </w:t>
      </w:r>
      <w:r>
        <w:t xml:space="preserve">hommes libres qui participent à dire le droit dans la justice mérovingienne, en s’appuyant notamment sur les usages du groupe.</w:t>
      </w:r>
    </w:p>
    <w:p>
      <w:pPr>
        <w:pStyle w:val="Definition"/>
        <w:pageBreakBefore w:val="0"/>
      </w:pPr>
      <w:r>
        <w:rPr>
          <w:b/>
        </w:rPr>
        <w:t xml:space="preserve">Scabins ou échevins : </w:t>
      </w:r>
      <w:r>
        <w:t xml:space="preserve">participants à l’activité judiciaire choisis plus durablement sous les Carolingiens.</w:t>
      </w:r>
    </w:p>
    <w:p>
      <w:pPr>
        <w:pStyle w:val="Definition"/>
        <w:pageBreakBefore w:val="0"/>
      </w:pPr>
      <w:r>
        <w:rPr>
          <w:b/>
        </w:rPr>
        <w:t xml:space="preserve">Missi dominici : </w:t>
      </w:r>
      <w:r>
        <w:t xml:space="preserve">envoyés du souverain chargés de contrôler les autorités locales, de recevoir des plaintes et de participer à l’exercice de son autorité, souvent par paire laïque et ecclésiastique.</w:t>
      </w:r>
    </w:p>
    <w:p>
      <w:pPr>
        <w:pageBreakBefore w:val="0"/>
      </w:pPr>
      <w:r>
        <w:t xml:space="preserve">Les causes majeures sont notamment liées aux crimes graves, à l’état des personnes et à la propriété ; des causes mineures peuvent être jugées sous le vicaire. Les immunités limitent l’intervention des agents ordinaires sur certains domaines, souvent ecclésiastiques, et favorisent des pouvoirs locaux ; elles ne suffisent pas, à elles seules, à expliquer la féodalité.</w:t>
      </w:r>
    </w:p>
    <w:p>
      <w:pPr>
        <w:pStyle w:val="Heading3"/>
        <w:keepNext/>
        <w:pageBreakBefore w:val="0"/>
      </w:pPr>
      <w:r>
        <w:t xml:space="preserve">Les caractères de la procédure</w:t>
      </w:r>
    </w:p>
    <w:p>
      <w:pPr>
        <w:pStyle w:val="Definition"/>
        <w:pageBreakBefore w:val="0"/>
      </w:pPr>
      <w:r>
        <w:rPr>
          <w:b/>
        </w:rPr>
        <w:t xml:space="preserve">Procédure accusatoire : </w:t>
      </w:r>
      <w:r>
        <w:t xml:space="preserve">le procès dépend principalement de l’initiative des parties ; le juge agit surtout comme arbitre.</w:t>
      </w:r>
    </w:p>
    <w:p>
      <w:pPr>
        <w:pStyle w:val="Definition"/>
        <w:pageBreakBefore w:val="0"/>
      </w:pPr>
      <w:r>
        <w:rPr>
          <w:b/>
        </w:rPr>
        <w:t xml:space="preserve">Procédure inquisitoire : </w:t>
      </w:r>
      <w:r>
        <w:t xml:space="preserve">l’autorité judiciaire prend une part plus active au déclenchement et à la recherche des preuves. La distinction décrit des tendances et n’exclut pas des pratiques mixtes.</w:t>
      </w:r>
    </w:p>
    <w:p>
      <w:pPr>
        <w:pageBreakBefore w:val="0"/>
      </w:pPr>
      <w:r>
        <w:t xml:space="preserve">La procédure franque est principalement accusatoire, orale et formaliste, avec une forte coloration pénale. Les paroles, formules et gestes doivent intervenir au moment et dans les formes attendues. Un prolocutor peut aider une partie à prononcer correctement sa demande. Le caractère oral et formaliste explique l’importance de celui qui maîtrise les paroles attendues. Une difficulté de procédure ne tient pas seulement à la preuve matérielle des faits ; elle peut aussi résulter de la manière de formuler correctement sa prétention.</w:t>
      </w:r>
    </w:p>
    <w:p>
      <w:pPr>
        <w:pageBreakBefore w:val="0"/>
      </w:pPr>
      <w:r>
        <w:t xml:space="preserve">Les catégories actuelles de droit civil et pénal ne sont pas nettement séparées. La réparation d’une atteinte peut aussi racheter la vengeance du groupe et rétablir la paix. Il faut donc éviter une projection directe des procédures contemporaines.</w:t>
      </w:r>
    </w:p>
    <w:p>
      <w:pPr>
        <w:pStyle w:val="Heading3"/>
        <w:keepNext/>
        <w:pageBreakBefore w:val="0"/>
      </w:pPr>
      <w:r>
        <w:t xml:space="preserve">Les moyens de preuve</w:t>
      </w:r>
    </w:p>
    <w:p>
      <w:pPr>
        <w:pageBreakBefore w:val="0"/>
      </w:pPr>
      <w:r>
        <w:t xml:space="preserve">Preuves rationnelles : l’écrit, le témoignage et l’aveu cherchent à renseigner la juridiction sur les faits. Leur présence montre que la procédure ne repose pas exclusivement sur des épreuves religieuses. Même si les écrits sont plus rares, leur valeur ne disparaît pas. Il faut examiner le moyen utilisé dans son contexte, sans supposer que toutes les affaires sont jugées par ordalie ou que la rareté d’un document conduit automatiquement à une épreuve.</w:t>
      </w:r>
    </w:p>
    <w:p>
      <w:pPr>
        <w:pageBreakBefore w:val="0"/>
      </w:pPr>
      <w:r>
        <w:t xml:space="preserve">Serment purgatoire : la personne mise en cause jure afin de se disculper. Le mécanisme repose sur la valeur accordée à sa parole, à son honneur et à son statut. Le serment n’est donc pas un témoignage extérieur décrivant directement les faits du litige. Cette différence explique la place des co-jureurs : ils peuvent soutenir la crédibilité de celui qui jure sans avoir nécessairement assisté à l’événement contesté.</w:t>
      </w:r>
    </w:p>
    <w:p>
      <w:pPr>
        <w:pageBreakBefore w:val="0"/>
      </w:pPr>
      <w:r>
        <w:t xml:space="preserve">Co-jureurs : ce sont des proches qui soutiennent la moralité et la crédibilité du jureur. Ils ne témoignent pas nécessairement des faits. Exemple pédagogique : confirmer qu’une personne est digne de foi n’équivaut pas à affirmer avoir vu l’acte qu’on lui reproche. Cette distinction est essentielle pour éviter de transformer les co-jureurs en témoins ordinaires. Le procédé révèle une manière d’établir le bon droit qui accorde une place importante à la réputation et aux relations sociales.</w:t>
      </w:r>
    </w:p>
    <w:p>
      <w:pPr>
        <w:pStyle w:val="Definition"/>
        <w:pageBreakBefore w:val="0"/>
      </w:pPr>
      <w:r>
        <w:rPr>
          <w:b/>
        </w:rPr>
        <w:t xml:space="preserve">Ordalie : </w:t>
      </w:r>
      <w:r>
        <w:t xml:space="preserve">épreuve judiciaire dont le résultat est interprété comme un jugement divin ; elle est un moyen de preuve, non une sanction.</w:t>
      </w:r>
    </w:p>
    <w:p>
      <w:pPr>
        <w:pageBreakBefore w:val="0"/>
      </w:pPr>
      <w:r>
        <w:t xml:space="preserve">Eau froide : le fait de flotter est généralement défavorable ; s’enfoncer est interprété favorablement. Eau chaude ou fer rouge : une blessure est examinée après un délai et reçoit une interprétation rituelle. Pain et fromage : l’impossibilité de déglutir est défavorable. Les modalités varient selon les lieux et les périodes.</w:t>
      </w:r>
    </w:p>
    <w:p>
      <w:pPr>
        <w:pageBreakBefore w:val="0"/>
      </w:pPr>
      <w:r>
        <w:t xml:space="preserve">Les ordalies bilatérales opposent deux parties : épreuve de la croix, duel judiciaire, éventuellement par champions. Leur emploi n’est pas automatique dès qu’un écrit manque ; il dépend du droit, de l’affaire et des preuves disponibles.</w:t>
      </w:r>
    </w:p>
    <w:p>
      <w:pPr>
        <w:pageBreakBefore w:val="0"/>
      </w:pPr>
      <w:r>
        <w:t xml:space="preserve">L’Église n’a pas une position uniformément favorable. Agobard de Lyon critique ces procédés au IXe siècle. En 1215, le canon 18 du IVe concile du Latran interdit notamment aux clercs de bénir les épreuves de l’eau et du fer rouge : leur recul est favorisé, sans disparition immédiate partout.</w:t>
      </w:r>
    </w:p>
    <w:p>
      <w:pPr>
        <w:pStyle w:val="SmallNote"/>
        <w:pageBreakBefore w:val="0"/>
      </w:pPr>
      <w:r>
        <w:t xml:space="preserve">Le duel Carrouges–Le Gris de 1386 est un repère concernant le Parlement de Paris ; il ne démontre pas la fin de tout duel judiciaire dans le royaume.</w:t>
      </w:r>
    </w:p>
    <w:p>
      <w:pPr>
        <w:pStyle w:val="Heading3"/>
        <w:keepNext/>
        <w:pageBreakBefore w:val="0"/>
      </w:pPr>
      <w:r>
        <w:t xml:space="preserve">Les sanctions et leurs fonctions</w:t>
      </w:r>
    </w:p>
    <w:p>
      <w:pPr>
        <w:pageBreakBefore w:val="0"/>
      </w:pPr>
      <w:r>
        <w:t xml:space="preserve">Les sanctions privées tendent notamment à réparer et pacifier ; les sanctions publiques répriment une atteinte à l’ordre et à l’autorité. Ces fonctions peuvent se combiner. Les tarifs de compositions reflètent les inégalités de statut. La composition cherche à interrompre l’enchaînement des violences, tandis que la part liée à la paix publique exprime l’intérêt de l’autorité. Leur coexistence permet de comprendre comment un même litige peut concerner à la fois la victime, son groupe et le pouvoir politique.</w:t>
      </w:r>
    </w:p>
    <w:p>
      <w:pPr>
        <w:pStyle w:val="Definition"/>
        <w:pageBreakBefore w:val="0"/>
      </w:pPr>
      <w:r>
        <w:rPr>
          <w:b/>
        </w:rPr>
        <w:t xml:space="preserve">Faida : </w:t>
      </w:r>
      <w:r>
        <w:t xml:space="preserve">vengeance privée du groupe ou de la famille, que la composition cherche à racheter et à interrompre.</w:t>
      </w:r>
    </w:p>
    <w:p>
      <w:pPr>
        <w:pStyle w:val="Definition"/>
        <w:pageBreakBefore w:val="0"/>
      </w:pPr>
      <w:r>
        <w:rPr>
          <w:b/>
        </w:rPr>
        <w:t xml:space="preserve">Fredus : </w:t>
      </w:r>
      <w:r>
        <w:t xml:space="preserve">part ou paiement lié à l’atteinte à la paix publique, revenant à l’autorité selon le système étudié.</w:t>
      </w:r>
    </w:p>
    <w:p>
      <w:pPr>
        <w:pageBreakBefore w:val="0"/>
      </w:pPr>
      <w:r>
        <w:t xml:space="preserve">Le renforcement carolingien accroît la répression publique des atteintes graves. Peines corporelles, mutilations et mort ne sont toutefois pas inventées à cette époque : c’est leur place dans l’exercice du pouvoir qui se renforce.</w:t>
      </w:r>
    </w:p>
    <w:p>
      <w:pPr>
        <w:pStyle w:val="KeyPoint"/>
        <w:pageBreakBefore w:val="0"/>
      </w:pPr>
      <w:r>
        <w:t xml:space="preserve">Synthèse : pluralité des lois personnelles → législation carolingienne et territorialisation progressive ; justice locale et royale → procédure ritualisée → preuve, réparation et pacification, puis renforcement de la sanction publique.</w:t>
      </w:r>
    </w:p>
    <w:p>
      <w:pPr>
        <w:pStyle w:val="Heading1"/>
        <w:keepNext/>
        <w:pageBreakBefore w:val="0"/>
      </w:pPr>
      <w:r>
        <w:t xml:space="preserve">Chapitre 3 Les sources du droit médiéval</w:t>
      </w:r>
    </w:p>
    <w:p>
      <w:pPr>
        <w:pStyle w:val="Heading2"/>
        <w:keepNext/>
        <w:pageBreakBefore w:val="0"/>
      </w:pPr>
      <w:r>
        <w:t xml:space="preserve">Le cadre politique</w:t>
      </w:r>
    </w:p>
    <w:p>
      <w:pPr>
        <w:pageBreakBefore w:val="0"/>
      </w:pPr>
      <w:r>
        <w:t xml:space="preserve">Dans la périodisation du cours, 987 ouvre la séquence médiévale étudiée, jusqu’au milieu du XVe siècle. Le morcellement politique favorise ducs, comtes, seigneurs et pouvoirs liés au château. Le roi reste présent mais ne dispose pas immédiatement d’une autorité effective uniforme.</w:t>
      </w:r>
    </w:p>
    <w:p>
      <w:pPr>
        <w:pStyle w:val="Definition"/>
        <w:pageBreakBefore w:val="0"/>
      </w:pPr>
      <w:r>
        <w:rPr>
          <w:b/>
        </w:rPr>
        <w:t xml:space="preserve">Suzeraineté : </w:t>
      </w:r>
      <w:r>
        <w:t xml:space="preserve">supériorité dans les rapports féodaux entre seigneurs et vassaux. Elle ne se confond pas avec une souveraineté exercée directement sur tous les sujets.</w:t>
      </w:r>
    </w:p>
    <w:p>
      <w:pPr>
        <w:pageBreakBefore w:val="0"/>
      </w:pPr>
      <w:r>
        <w:t xml:space="preserve">La monarchie affirme progressivement une autorité dépassant les seuls liens féodaux, notamment sous Philippe Auguste, Louis IX et Philippe le Bel. Le droit médiéval associe coutumes, droits savants et législation royale, en interaction plutôt qu’en compartiments isolés.</w:t>
      </w:r>
    </w:p>
    <w:p>
      <w:pPr>
        <w:pStyle w:val="Heading2"/>
        <w:keepNext/>
        <w:pageBreakBefore w:val="0"/>
      </w:pPr>
      <w:r>
        <w:t xml:space="preserve">Section 1 Les coutumes</w:t>
      </w:r>
    </w:p>
    <w:p>
      <w:pPr>
        <w:pageBreakBefore w:val="0"/>
      </w:pPr>
      <w:r>
        <w:t xml:space="preserve">La coutume est un usage tenu pour juridiquement obligatoire. Elle devient de plus en plus attachée à un territoire et joue un rôle majeur pour les biens, successions et rapports familiaux. Sa transmission orale pose la question de la preuve de son existence et de son contenu. Exemple pédagogique : les parties peuvent s’opposer sur le contenu d’un usage successoral avant même de discuter l’attribution d’un bien. Il faut alors établir la règle invoquée. La difficulté n’est pas seulement de prouver les faits du litige ; elle porte sur l’existence et le sens d’une norme coutumière.</w:t>
      </w:r>
    </w:p>
    <w:p>
      <w:pPr>
        <w:pStyle w:val="Definition"/>
        <w:pageBreakBefore w:val="0"/>
      </w:pPr>
      <w:r>
        <w:rPr>
          <w:b/>
        </w:rPr>
        <w:t xml:space="preserve">Coutume notoire : </w:t>
      </w:r>
      <w:r>
        <w:t xml:space="preserve">coutume connue et reconnue pouvant être appliquée sans démonstration nouvelle dans le contexte étudié.</w:t>
      </w:r>
    </w:p>
    <w:p>
      <w:pPr>
        <w:pStyle w:val="Definition"/>
        <w:pageBreakBefore w:val="0"/>
      </w:pPr>
      <w:r>
        <w:rPr>
          <w:b/>
        </w:rPr>
        <w:t xml:space="preserve">Enquête par turbe : </w:t>
      </w:r>
      <w:r>
        <w:t xml:space="preserve">procédé collectif de constatation d’une coutume ; des personnes réputées connaître les usages délibèrent et donnent un avis commun.</w:t>
      </w:r>
    </w:p>
    <w:p>
      <w:pPr>
        <w:pageBreakBefore w:val="0"/>
      </w:pPr>
      <w:r>
        <w:t xml:space="preserve">Louis IX réglemente l’enquête par turbe en 1270. Elle se développe particulièrement au Nord ; dans le Midi, le témoignage individuel conserve une place. Mémoire et influences sur les personnes consultées limitent la fiabilité. La preuve de la coutume, qui porte sur la règle, doit être distinguée de la preuve des faits. L’enquête cherche donc à faire connaître une règle par ceux qui sont réputés la maîtriser. Elle ne crée pas automatiquement une coutume nouvelle et ne tranche pas à elle seule tous les faits de l’affaire. Comprendre sa fonction permet de la distinguer d’un vote législatif ou d’une simple audition de témoins sur un événement.</w:t>
      </w:r>
    </w:p>
    <w:p>
      <w:pPr>
        <w:pStyle w:val="SmallNote"/>
        <w:pageBreakBefore w:val="0"/>
      </w:pPr>
      <w:r>
        <w:t xml:space="preserve">Prolongement mentionné dans le cours : l’ordonnance civile de 1667 supprime l’enquête par turbe et la remplace par un autre mécanisme. Ce repère moderne n’étend pas la fiche à l’ensemble de l’ancien cours.</w:t>
      </w:r>
    </w:p>
    <w:p>
      <w:pPr>
        <w:pStyle w:val="Definition"/>
        <w:pageBreakBefore w:val="0"/>
      </w:pPr>
      <w:r>
        <w:rPr>
          <w:b/>
        </w:rPr>
        <w:t xml:space="preserve">Coutumier : </w:t>
      </w:r>
      <w:r>
        <w:t xml:space="preserve">recueil écrit des coutumes d’un territoire, souvent établi par un praticien. Une rédaction privée n’acquiert pas automatiquement valeur officielle.</w:t>
      </w:r>
    </w:p>
    <w:p>
      <w:pPr>
        <w:pageBreakBefore w:val="0"/>
      </w:pPr>
      <w:r>
        <w:t xml:space="preserve">Des recueils normands apparaissent avant 1220. Le droit normand est marqué par l’histoire du duché et de l’espace anglo-normand après 1066 ; aînesse, masculinité, patrimoines des époux et clameur de haro constituent des repères à replacer selon les biens et les périodes.</w:t>
      </w:r>
    </w:p>
    <w:p>
      <w:pPr>
        <w:pageBreakBefore w:val="0"/>
      </w:pPr>
      <w:r>
        <w:t xml:space="preserve">Les aires coutumières présentent un « esprit de famille », sans identité totale des règles. Bretagne, Flandre et aire orléano-parisienne illustrent cette diversité. L’activité des juridictions et agents royaux influence les usages.</w:t>
      </w:r>
    </w:p>
    <w:p>
      <w:pPr>
        <w:pageBreakBefore w:val="0"/>
      </w:pPr>
      <w:r>
        <w:t xml:space="preserve">Les coutumes de Toulouse sont rédigées et promulguées en 1286 à l’initiative municipale. Le commentaire de 1296 est parfois attribué à Arnaud Arpadelle, mais cette attribution demeure hypothétique.</w:t>
      </w:r>
    </w:p>
    <w:p>
      <w:pPr>
        <w:pageBreakBefore w:val="0"/>
      </w:pPr>
      <w:r>
        <w:t xml:space="preserve">Les Coutumes de Beauvaisis de Beaumanoir, rédigées en 1283, comptent soixante-dix chapitres en ancien français. Son expérience de bailli et les droits savants nourrissent la comparaison des règles et la recherche de solutions : l’ouvrage dépasse un simple inventaire. Son intérêt ne se limite donc pas à conserver des usages. Il cherche également à comprendre les règles et à résoudre des difficultés en mobilisant l’expérience judiciaire et la comparaison. Cette démarche rapproche l’activité du praticien et les méthodes savantes sans rendre automatiquement tout coutumier officiel.</w:t>
      </w:r>
    </w:p>
    <w:p>
      <w:pPr>
        <w:pStyle w:val="Heading2"/>
        <w:keepNext/>
        <w:pageBreakBefore w:val="0"/>
      </w:pPr>
      <w:r>
        <w:t xml:space="preserve">Section 2 Les droits savants</w:t>
      </w:r>
    </w:p>
    <w:p>
      <w:pPr>
        <w:pStyle w:val="Definition"/>
        <w:pageBreakBefore w:val="0"/>
      </w:pPr>
      <w:r>
        <w:rPr>
          <w:b/>
        </w:rPr>
        <w:t xml:space="preserve">Droits savants : </w:t>
      </w:r>
      <w:r>
        <w:t xml:space="preserve">droit romain et droit canonique, étudiés et commentés dans les écoles et les universités médiévales, avec un enseignement et des méthodes spécialisés.</w:t>
      </w:r>
    </w:p>
    <w:p>
      <w:pPr>
        <w:pStyle w:val="Heading3"/>
        <w:keepNext/>
        <w:pageBreakBefore w:val="0"/>
      </w:pPr>
      <w:r>
        <w:t xml:space="preserve">La renaissance du droit romain</w:t>
      </w:r>
    </w:p>
    <w:p>
      <w:pPr>
        <w:pageBreakBefore w:val="0"/>
      </w:pPr>
      <w:r>
        <w:t xml:space="preserve">À la fin du XIe et au début du XIIe siècle, la connaissance et l’étude méthodique des compilations de Justinien se développent, particulièrement à Bologne. Le droit romain n’avait pas totalement disparu : Code Théodosien, Bréviaire et fragments en avaient transmis certains éléments.</w:t>
      </w:r>
    </w:p>
    <w:p>
      <w:pPr>
        <w:pageBreakBefore w:val="0"/>
      </w:pPr>
      <w:r>
        <w:t xml:space="preserve">Le facteur politique tient notamment aux rivalités entre empereur et papauté. Les autorités et leurs conseillers recherchent dans les textes des arguments sur l’origine, la portée et les limites du pouvoir. Les compilations romaines représentent ainsi un matériau utile pour discuter des prétentions d’autorité. Ce contexte explique l’intérêt porté à leur étude, mais ne suffit pas, à lui seul, à expliquer la formation d’un enseignement juridique spécialisé.</w:t>
      </w:r>
    </w:p>
    <w:p>
      <w:pPr>
        <w:pageBreakBefore w:val="0"/>
      </w:pPr>
      <w:r>
        <w:t xml:space="preserve">Le facteur universitaire correspond au développement des écoles et du travail méthodique sur les textes. La lecture, la grammaire et la dialectique donnent des outils pour comprendre les mots, rapprocher des passages et discuter des contradictions apparentes. Le droit devient un objet d’étude organisé autour de maîtres et de méthodes. Il faut donc distinguer la conservation matérielle d’un texte et sa transformation en support d’un enseignement savant.</w:t>
      </w:r>
    </w:p>
    <w:p>
      <w:pPr>
        <w:pageBreakBefore w:val="0"/>
      </w:pPr>
      <w:r>
        <w:t xml:space="preserve">Le facteur économique est lié à l’essor des villes et des échanges. Les contrats, la circulation des biens et les conflits entre acteurs créent des besoins de raisonnement et de règlement. Les textes romains fournissent des catégories et des solutions que les juristes peuvent étudier et mobiliser. Ces besoins n’expliquent pas une copie automatique du droit antique : ils contribuent à comprendre pourquoi des praticiens s’intéressent à des analyses susceptibles d’éclairer les problèmes de leur temps.</w:t>
      </w:r>
    </w:p>
    <w:p>
      <w:pPr>
        <w:pageBreakBefore w:val="0"/>
      </w:pPr>
      <w:r>
        <w:t xml:space="preserve">Les arts libéraux préparent à la lecture et au raisonnement : trivium (grammaire, rhétorique, dialectique) ; quadrivium (arithmétique, géométrie, musique, astronomie). La formation et l’organisation universitaires se construisent progressivement.</w:t>
      </w:r>
    </w:p>
    <w:p>
      <w:pPr>
        <w:pStyle w:val="Definition"/>
        <w:pageBreakBefore w:val="0"/>
      </w:pPr>
      <w:r>
        <w:rPr>
          <w:b/>
        </w:rPr>
        <w:t xml:space="preserve">Glose : </w:t>
      </w:r>
      <w:r>
        <w:t xml:space="preserve">explication des mots et du sens juridique d’un texte, placée entre les lignes ou dans les marges.</w:t>
      </w:r>
    </w:p>
    <w:p>
      <w:pPr>
        <w:pageBreakBefore w:val="0"/>
      </w:pPr>
      <w:r>
        <w:t xml:space="preserve">Pépo et Irnerius figurent parmi les premiers maîtres ; leurs biographies restent mal connues. Les glossateurs de Bologne, dont les quatre docteurs Bulgarus, Martinus, Jacobus et Hugo, développent et diffusent la méthode. La Grande Glose d’Accurse, au XIIIe siècle, rassemble les commentaires antérieurs. Leur méthode commence par l’explication du texte et de son vocabulaire. La mise en commun des gloses permet d’accumuler et d’ordonner les interprétations. La Grande Glose illustre ainsi une construction savante progressive, et non la promulgation d’un code nouveau par l’autorité politique.</w:t>
      </w:r>
    </w:p>
    <w:p>
      <w:pPr>
        <w:pStyle w:val="Definition"/>
        <w:pageBreakBefore w:val="0"/>
      </w:pPr>
      <w:r>
        <w:rPr>
          <w:b/>
        </w:rPr>
        <w:t xml:space="preserve">Commentateurs ou postglossateurs : </w:t>
      </w:r>
      <w:r>
        <w:t xml:space="preserve">juristes interprétant les textes anciens en les adaptant davantage aux problèmes concrets de leur temps.</w:t>
      </w:r>
    </w:p>
    <w:p>
      <w:pPr>
        <w:pageBreakBefore w:val="0"/>
      </w:pPr>
      <w:r>
        <w:t xml:space="preserve">Jacques de Révigny et Pierre de Belleperche à Orléans, puis Bartole et Balde en Italie, illustrent cette évolution. Le bartolisme discute les arguments pour et contre une solution sans modifier matériellement les anciens codes. Le changement de méthode tient notamment à la place donnée aux difficultés pratiques. Les juristes travaillent à partir de textes anciens, mais cherchent à les rendre utiles pour des situations de leur temps. Cette activité d’interprétation doit être distinguée d’une modification matérielle des textes de Justinien.</w:t>
      </w:r>
    </w:p>
    <w:p>
      <w:pPr>
        <w:pStyle w:val="Heading3"/>
        <w:keepNext/>
        <w:pageBreakBefore w:val="0"/>
      </w:pPr>
      <w:r>
        <w:t xml:space="preserve">Orléans et Toulouse</w:t>
      </w:r>
    </w:p>
    <w:p>
      <w:pPr>
        <w:pageBreakBefore w:val="0"/>
      </w:pPr>
      <w:r>
        <w:t xml:space="preserve">La décrétale Super speculam d’Honorius III interdit en 1219 l’enseignement du droit civil romain à Paris et dans les environs. Le droit canonique reste enseigné ; l’interdiction ne concerne pas tous les droits. Le cours mentionne le rétablissement du droit romain par l’édit de 1679.</w:t>
      </w:r>
    </w:p>
    <w:p>
      <w:pPr>
        <w:pageBreakBefore w:val="0"/>
      </w:pPr>
      <w:r>
        <w:t xml:space="preserve">La fondation de l’université de Toulouse en 1229 est liée au traité de Meaux-Paris et à la lutte contre l’hérésie dans le contexte de la croisade contre les Albigeois. Théologie, droit canonique et arts libéraux sont soutenus ; le droit romain se développe ensuite. Le comté entre dans le domaine royal en 1271 après la mort sans enfant de Jeanne et Alphonse.</w:t>
      </w:r>
    </w:p>
    <w:p>
      <w:pPr>
        <w:pStyle w:val="Heading3"/>
        <w:keepNext/>
        <w:pageBreakBefore w:val="0"/>
      </w:pPr>
      <w:r>
        <w:t xml:space="preserve">Le droit canonique et ses collections</w:t>
      </w:r>
    </w:p>
    <w:p>
      <w:pPr>
        <w:pStyle w:val="Definition"/>
        <w:pageBreakBefore w:val="0"/>
      </w:pPr>
      <w:r>
        <w:rPr>
          <w:b/>
        </w:rPr>
        <w:t xml:space="preserve">Droit canonique : </w:t>
      </w:r>
      <w:r>
        <w:t xml:space="preserve">droit de l’Église, relatif à son organisation, aux clercs et à des questions touchant la société chrétienne, notamment mariage et procédure. Il se distingue de la théologie.</w:t>
      </w:r>
    </w:p>
    <w:p>
      <w:pPr>
        <w:pageBreakBefore w:val="0"/>
      </w:pPr>
      <w:r>
        <w:t xml:space="preserve">Sources : prescriptions bibliques, Pères de l’Église, canons des conciles, décrétales pontificales, textes disciplinaires et pénitentiels, ainsi que certaines législations politiques relatives à l’Église.</w:t>
      </w:r>
    </w:p>
    <w:p>
      <w:pPr>
        <w:pageBreakBefore w:val="0"/>
      </w:pPr>
      <w:r>
        <w:t xml:space="preserve">La réforme grégorienne du XIe siècle renforce l’autorité pontificale, notamment avec Grégoire VII, pape de 1073 à 1085. Des auteurs tels Yves de Chartres réunissent les sources en collections.</w:t>
      </w:r>
    </w:p>
    <w:p>
      <w:pPr>
        <w:pStyle w:val="Definition"/>
        <w:pageBreakBefore w:val="0"/>
      </w:pPr>
      <w:r>
        <w:rPr>
          <w:b/>
        </w:rPr>
        <w:t xml:space="preserve">Décret de Gratien : </w:t>
      </w:r>
      <w:r>
        <w:t xml:space="preserve">œuvre doctrinale privée, élaborée vers 1140 puis enrichie, qui confronte et concilie des canons apparemment contradictoires. Ce n’est pas une loi promulguée par le pape.</w:t>
      </w:r>
    </w:p>
    <w:p>
      <w:pPr>
        <w:pageBreakBefore w:val="0"/>
      </w:pPr>
      <w:r>
        <w:t xml:space="preserve">Son titre, Concordia discordantium canonum, renvoie à la concorde de canons discordants. La méthode distingue autorité, ancienneté, objet et circonstances pour préciser les conditions d’application. L’ouvrage devient une base de l’enseignement canonique. Exemple pédagogique : deux prescriptions formulées différemment peuvent viser des personnes ou des circonstances distinctes. Le juriste doit d’abord identifier leurs conditions d’application avant de conclure à une contradiction. Cette manière de travailler éclaire le rôle de la doctrine dans l’organisation d’un droit composé de nombreuses sources.</w:t>
      </w:r>
    </w:p>
    <w:p>
      <w:pPr>
        <w:pStyle w:val="Definition"/>
        <w:pageBreakBefore w:val="0"/>
      </w:pPr>
      <w:r>
        <w:rPr>
          <w:b/>
        </w:rPr>
        <w:t xml:space="preserve">Décrétistes et décrétalistes : </w:t>
      </w:r>
      <w:r>
        <w:t xml:space="preserve">les premiers étudient le Décret de Gratien ; les seconds les recueils de décrétales pontificales.</w:t>
      </w:r>
    </w:p>
    <w:p>
      <w:pPr>
        <w:pStyle w:val="Definition"/>
        <w:pageBreakBefore w:val="0"/>
      </w:pPr>
      <w:r>
        <w:rPr>
          <w:b/>
        </w:rPr>
        <w:t xml:space="preserve">Décrétale : </w:t>
      </w:r>
      <w:r>
        <w:t xml:space="preserve">décision pontificale, souvent liée à une question ou un litige, susceptible de servir de référence normative.</w:t>
      </w:r>
    </w:p>
    <w:p>
      <w:pPr>
        <w:pageBreakBefore w:val="0"/>
      </w:pPr>
      <w:r>
        <w:t xml:space="preserve">En 1234, les Décrétales de Grégoire IX, ou Liber extra, sont préparées par Raymond de Peñafort et réunies officiellement en cinq livres. À la différence du Décret de Gratien, l’intervention de l’autorité pontificale donne à ce recueil un statut officiel. Cette différence ne porte pas sur l’utilité pratique de l’œuvre, mais sur son mode de production et son autorité. Elle est essentielle pour distinguer une construction doctrinale et une compilation officiellement promulguée.</w:t>
      </w:r>
    </w:p>
    <w:p>
      <w:pPr>
        <w:pageBreakBefore w:val="0"/>
      </w:pPr>
      <w:r>
        <w:t xml:space="preserve">En 1298, le Sexte, ou Liber sextus, de Boniface VIII prolonge les collections précédentes. Le qualificatif de sixième livre permet de le situer par rapport aux cinq livres du Liber extra. Il ne signifie pas que le Décret de Gratien serait devenu une sixième loi pontificale. Ce prolongement montre que le droit canonique continue de produire et d’ordonner des textes après les grandes collections du XIIIe siècle.</w:t>
      </w:r>
    </w:p>
    <w:p>
      <w:pPr>
        <w:pageBreakBefore w:val="0"/>
      </w:pPr>
      <w:r>
        <w:t xml:space="preserve">Les Clémentines sont rattachées à 1314 puis à leur diffusion officielle sous Jean XXII en 1317. Pour réviser, il faut distinguer l’histoire de la préparation d’un recueil et celle de sa publication ou de sa diffusion officielle. Une suite de dates devient ainsi une explication de la formation des sources. Il faut les replacer après le Liber extra et le Sexte, sans confondre les différents recueils ni leurs autorités.</w:t>
      </w:r>
    </w:p>
    <w:p>
      <w:pPr>
        <w:pageBreakBefore w:val="0"/>
      </w:pPr>
      <w:r>
        <w:t xml:space="preserve">Les Extravagantes réunissent des décrétales restées en dehors des recueils antérieurs. Le mot désigne leur place à l’extérieur de ces collections, et non une absence de contenu juridique. Elles montrent que l’existence de grands recueils ne fait pas disparaître toute production nouvelle. L’ensemble canonique se constitue progressivement à partir de textes de natures et d’autorités différentes : il faut donc préciser la collection étudiée avant d’en présenter la portée.</w:t>
      </w:r>
    </w:p>
    <w:p>
      <w:pPr>
        <w:pStyle w:val="Definition"/>
        <w:pageBreakBefore w:val="0"/>
      </w:pPr>
      <w:r>
        <w:rPr>
          <w:b/>
        </w:rPr>
        <w:t xml:space="preserve">Corpus iuris canonici : </w:t>
      </w:r>
      <w:r>
        <w:t xml:space="preserve">ensemble de référence progressivement formé autour du Décret et des collections de décrétales, distinct du Corpus iuris civilis romain.</w:t>
      </w:r>
    </w:p>
    <w:p>
      <w:pPr>
        <w:pStyle w:val="SmallNote"/>
        <w:pageBreakBefore w:val="0"/>
      </w:pPr>
      <w:r>
        <w:t xml:space="preserve">Prolongement mentionné : les Institutes de droit canonique de Lancelotti datent de 1563, après la période médiévale. Elles ne doivent pas être replacées artificiellement au XIIe siècle.</w:t>
      </w:r>
    </w:p>
    <w:p>
      <w:pPr>
        <w:pStyle w:val="Heading2"/>
        <w:keepNext/>
        <w:pageBreakBefore w:val="0"/>
      </w:pPr>
      <w:r>
        <w:t xml:space="preserve">Section 3 Le renouveau de la législation royale</w:t>
      </w:r>
    </w:p>
    <w:p>
      <w:pPr>
        <w:pageBreakBefore w:val="0"/>
      </w:pPr>
      <w:r>
        <w:t xml:space="preserve">La production des capitulaires s’affaiblit à la fin du IXe siècle. Jusqu’au milieu du XIIe siècle, la législation royale générale connaît une éclipse. Les rois continuent d’accorder diplômes, privilèges et confirmations : ce n’est pas une disparition de tous les actes royaux. Il faut distinguer la production d’une règle générale et l’octroi d’un acte particulier à un bénéficiaire. Cette différence explique comment la monarchie peut continuer d’agir juridiquement alors que sa capacité à légiférer pour l’ensemble du royaume reste limitée.</w:t>
      </w:r>
    </w:p>
    <w:p>
      <w:pPr>
        <w:pageBreakBefore w:val="0"/>
      </w:pPr>
      <w:r>
        <w:t xml:space="preserve">La dispersion féodale du pouvoir limite leur capacité à imposer des règles au-delà du domaine. L’agrandissement de celui-ci et l’affirmation du roi comme garant de la paix et de la justice accroissent ensuite ses moyens. Le droit romain fournit aussi des arguments sur le pouvoir normatif.</w:t>
      </w:r>
    </w:p>
    <w:p>
      <w:pPr>
        <w:pageBreakBefore w:val="0"/>
      </w:pPr>
      <w:r>
        <w:t xml:space="preserve">En 1155, Louis VII proclame à Soissons une paix de dix ans avec l’appui de prélats et grands seigneurs. Le texte dépasse le seul domaine royal, mais son application dépend encore de leur engagement. Il ne supprime pas définitivement toutes les guerres privées. Le recours à l’appui des grands montre les limites et les possibilités de l’autorité royale. Le roi porte une mesure d’intérêt général, mais sa réalisation repose encore sur une coopération politique. L’exemple permet ainsi d’expliquer une reconstruction progressive du pouvoir législatif.</w:t>
      </w:r>
    </w:p>
    <w:p>
      <w:pPr>
        <w:pageBreakBefore w:val="0"/>
      </w:pPr>
      <w:r>
        <w:t xml:space="preserve">Sous Philippe Auguste, 1180–1223, l’activité législative se poursuit parallèlement à l’extension du domaine et au renforcement royal. Le roi reprend une place parmi les producteurs du droit, aux côtés des coutumes et des droits savants.</w:t>
      </w:r>
    </w:p>
    <w:p>
      <w:pPr>
        <w:pStyle w:val="KeyPoint"/>
        <w:pageBreakBefore w:val="0"/>
      </w:pPr>
      <w:r>
        <w:t xml:space="preserve">Limite du cours actuel : la fiche s’arrête à ce renouveau de la législation royale. Les développements ultérieurs de l’archive ne sont pas présentés comme des cours actuels déjà suivis.</w:t>
      </w:r>
    </w:p>
    <w:p>
      <w:pPr>
        <w:pStyle w:val="Heading1"/>
        <w:keepNext/>
        <w:pageBreakBefore w:val="0"/>
      </w:pPr>
      <w:r>
        <w:t xml:space="preserve">Synthèse Les distinctions à maîtriser</w:t>
      </w:r>
    </w:p>
    <w:p>
      <w:pPr>
        <w:pStyle w:val="ListBullet"/>
        <w:pageBreakBefore w:val="0"/>
        <w:spacing w:after="40"/>
      </w:pPr>
      <w:r>
        <w:t xml:space="preserve">Coutume et loi : formation progressive par les usages / décision d’une autorité. Une mise par écrit ne transforme pas automatiquement une coutume ou un recueil privé en loi officielle.</w:t>
      </w:r>
    </w:p>
    <w:p>
      <w:pPr>
        <w:pStyle w:val="ListBullet"/>
        <w:pageBreakBefore w:val="0"/>
        <w:spacing w:after="40"/>
      </w:pPr>
      <w:r>
        <w:t xml:space="preserve">Périodes politiques et périodes juridiques : royauté, République et Empire ne recouvrent pas exactement ancien droit, droit classique et droit tardif.</w:t>
      </w:r>
    </w:p>
    <w:p>
      <w:pPr>
        <w:pStyle w:val="ListBullet"/>
        <w:pageBreakBefore w:val="0"/>
        <w:spacing w:after="40"/>
      </w:pPr>
      <w:r>
        <w:t xml:space="preserve">Préteur et juge : organisation du procès et formule / examen des faits et jugement.</w:t>
      </w:r>
    </w:p>
    <w:p>
      <w:pPr>
        <w:pStyle w:val="ListBullet"/>
        <w:pageBreakBefore w:val="0"/>
        <w:spacing w:after="40"/>
      </w:pPr>
      <w:r>
        <w:t xml:space="preserve">Jurisprudence romaine et contemporaine : activité savante des jurisconsultes / solutions issues des décisions judiciaires.</w:t>
      </w:r>
    </w:p>
    <w:p>
      <w:pPr>
        <w:pStyle w:val="ListBullet"/>
        <w:pageBreakBefore w:val="0"/>
        <w:spacing w:after="40"/>
      </w:pPr>
      <w:r>
        <w:t xml:space="preserve">Code et Digeste : constitutions impériales / extraits de juristes. Institutes = enseignement ; Novelles = législation nouvelle.</w:t>
      </w:r>
    </w:p>
    <w:p>
      <w:pPr>
        <w:pStyle w:val="ListBullet"/>
        <w:pageBreakBefore w:val="0"/>
        <w:spacing w:after="40"/>
      </w:pPr>
      <w:r>
        <w:t xml:space="preserve">Personnalité et territorialité des lois : loi liée au groupe personnel / loi liée au territoire.</w:t>
      </w:r>
    </w:p>
    <w:p>
      <w:pPr>
        <w:pStyle w:val="ListBullet"/>
        <w:pageBreakBefore w:val="0"/>
        <w:spacing w:after="40"/>
      </w:pPr>
      <w:r>
        <w:t xml:space="preserve">Témoin et co-jureur : connaissance des faits / soutien à la crédibilité et à l’honneur du jureur.</w:t>
      </w:r>
    </w:p>
    <w:p>
      <w:pPr>
        <w:pStyle w:val="ListBullet"/>
        <w:pageBreakBefore w:val="0"/>
        <w:spacing w:after="40"/>
      </w:pPr>
      <w:r>
        <w:t xml:space="preserve">Preuve et sanction : l’ordalie vise à établir le bon droit ; la composition ou la peine intervient pour réparer, pacifier ou réprimer.</w:t>
      </w:r>
    </w:p>
    <w:p>
      <w:pPr>
        <w:pStyle w:val="ListBullet"/>
        <w:pageBreakBefore w:val="0"/>
        <w:spacing w:after="40"/>
      </w:pPr>
      <w:r>
        <w:t xml:space="preserve">Coutumier privé et compilation officielle : connaître la règle / disposer d’un texte produit ou promulgué sous l’autorité compétente.</w:t>
      </w:r>
    </w:p>
    <w:p>
      <w:pPr>
        <w:pStyle w:val="ListBullet"/>
        <w:pageBreakBefore w:val="0"/>
        <w:spacing w:after="40"/>
      </w:pPr>
      <w:r>
        <w:t xml:space="preserve">Glose et commentaire : explication du texte / raisonnement plus orienté vers les problèmes concrets et son adaptation.</w:t>
      </w:r>
    </w:p>
    <w:p>
      <w:pPr>
        <w:pStyle w:val="ListBullet"/>
        <w:pageBreakBefore w:val="0"/>
        <w:spacing w:after="40"/>
      </w:pPr>
      <w:r>
        <w:t xml:space="preserve">Décret de Gratien et décrétales : œuvre doctrinale privée / décisions pontificales et recueils officiels pour certaines collections.</w:t>
      </w:r>
    </w:p>
    <w:p>
      <w:pPr>
        <w:pStyle w:val="ListBullet"/>
        <w:pageBreakBefore w:val="0"/>
        <w:spacing w:after="40"/>
      </w:pPr>
      <w:r>
        <w:t xml:space="preserve">Suzeraineté et souveraineté : liens féodaux / affirmation progressive d’une autorité dépassant ces liens.</w:t>
      </w:r>
    </w:p>
    <w:p>
      <w:pPr>
        <w:pStyle w:val="Heading1"/>
        <w:keepNext/>
        <w:pageBreakBefore w:val="0"/>
      </w:pPr>
      <w:r>
        <w:t xml:space="preserve">Chronologie de révision</w:t>
      </w:r>
    </w:p>
    <w:p>
      <w:pPr>
        <w:pStyle w:val="ListBullet"/>
        <w:pageBreakBefore w:val="0"/>
        <w:spacing w:after="40"/>
      </w:pPr>
      <w:r>
        <w:t xml:space="preserve">753 av. J.-C. — Fondation légendaire de Rome dans la tradition.</w:t>
      </w:r>
    </w:p>
    <w:p>
      <w:pPr>
        <w:pStyle w:val="ListBullet"/>
        <w:pageBreakBefore w:val="0"/>
        <w:spacing w:after="40"/>
      </w:pPr>
      <w:r>
        <w:t xml:space="preserve">509 av. J.-C. — Fin traditionnelle de la royauté romaine.</w:t>
      </w:r>
    </w:p>
    <w:p>
      <w:pPr>
        <w:pStyle w:val="ListBullet"/>
        <w:pageBreakBefore w:val="0"/>
        <w:spacing w:after="40"/>
      </w:pPr>
      <w:r>
        <w:t xml:space="preserve">451–450 av. J.-C. — Datation traditionnelle des XII Tables.</w:t>
      </w:r>
    </w:p>
    <w:p>
      <w:pPr>
        <w:pStyle w:val="ListBullet"/>
        <w:pageBreakBefore w:val="0"/>
        <w:spacing w:after="40"/>
      </w:pPr>
      <w:r>
        <w:t xml:space="preserve">445 av. J.-C. — Loi Canuleia et mariage entre patriciens et plébéiens.</w:t>
      </w:r>
    </w:p>
    <w:p>
      <w:pPr>
        <w:pStyle w:val="ListBullet"/>
        <w:pageBreakBefore w:val="0"/>
        <w:spacing w:after="40"/>
      </w:pPr>
      <w:r>
        <w:t xml:space="preserve">339 av. J.-C. — Lex Publilia Philonis et auctoritas patrum avant le vote.</w:t>
      </w:r>
    </w:p>
    <w:p>
      <w:pPr>
        <w:pStyle w:val="ListBullet"/>
        <w:pageBreakBefore w:val="0"/>
        <w:spacing w:after="40"/>
      </w:pPr>
      <w:r>
        <w:t xml:space="preserve">242 av. J.-C. — Création du préteur pérégrin.</w:t>
      </w:r>
    </w:p>
    <w:p>
      <w:pPr>
        <w:pStyle w:val="ListBullet"/>
        <w:pageBreakBefore w:val="0"/>
        <w:spacing w:after="40"/>
      </w:pPr>
      <w:r>
        <w:t xml:space="preserve">44 av. J.-C. — Assassinat de César le 15 mars.</w:t>
      </w:r>
    </w:p>
    <w:p>
      <w:pPr>
        <w:pStyle w:val="ListBullet"/>
        <w:pageBreakBefore w:val="0"/>
        <w:spacing w:after="40"/>
      </w:pPr>
      <w:r>
        <w:t xml:space="preserve">31 av. J.-C. — Bataille d’Actium.</w:t>
      </w:r>
    </w:p>
    <w:p>
      <w:pPr>
        <w:pStyle w:val="ListBullet"/>
        <w:pageBreakBefore w:val="0"/>
        <w:spacing w:after="40"/>
      </w:pPr>
      <w:r>
        <w:t xml:space="preserve">27 av. J.-C. — Octave reçoit le titre d’Auguste ; début traditionnel du Principat.</w:t>
      </w:r>
    </w:p>
    <w:p>
      <w:pPr>
        <w:pStyle w:val="ListBullet"/>
        <w:pageBreakBefore w:val="0"/>
        <w:spacing w:after="40"/>
      </w:pPr>
      <w:r>
        <w:t xml:space="preserve">Vers 125–130 — Fixation de l’édit sous Hadrien par Julien.</w:t>
      </w:r>
    </w:p>
    <w:p>
      <w:pPr>
        <w:pStyle w:val="ListBullet"/>
        <w:pageBreakBefore w:val="0"/>
        <w:spacing w:after="40"/>
      </w:pPr>
      <w:r>
        <w:t xml:space="preserve">212 — Caracalla étend la citoyenneté à presque tous les habitants libres.</w:t>
      </w:r>
    </w:p>
    <w:p>
      <w:pPr>
        <w:pStyle w:val="ListBullet"/>
        <w:pageBreakBefore w:val="0"/>
        <w:spacing w:after="40"/>
      </w:pPr>
      <w:r>
        <w:t xml:space="preserve">284 et 293 — Dioclétien prend le pouvoir, puis met en place la Tétrarchie.</w:t>
      </w:r>
    </w:p>
    <w:p>
      <w:pPr>
        <w:pStyle w:val="ListBullet"/>
        <w:pageBreakBefore w:val="0"/>
        <w:spacing w:after="40"/>
      </w:pPr>
      <w:r>
        <w:t xml:space="preserve">313 — Mesures de liberté du culte chrétien associées à Constantin et Licinius.</w:t>
      </w:r>
    </w:p>
    <w:p>
      <w:pPr>
        <w:pStyle w:val="ListBullet"/>
        <w:pageBreakBefore w:val="0"/>
        <w:spacing w:after="40"/>
      </w:pPr>
      <w:r>
        <w:t xml:space="preserve">330 — Inauguration de Constantinople.</w:t>
      </w:r>
    </w:p>
    <w:p>
      <w:pPr>
        <w:pStyle w:val="ListBullet"/>
        <w:pageBreakBefore w:val="0"/>
        <w:spacing w:after="40"/>
      </w:pPr>
      <w:r>
        <w:t xml:space="preserve">380 — Édit de Thessalonique et place officielle du christianisme nicéen.</w:t>
      </w:r>
    </w:p>
    <w:p>
      <w:pPr>
        <w:pStyle w:val="ListBullet"/>
        <w:pageBreakBefore w:val="0"/>
        <w:spacing w:after="40"/>
      </w:pPr>
      <w:r>
        <w:t xml:space="preserve">395 — Après Théodose Ier, éloignement des trajectoires de l’Orient et de l’Occident.</w:t>
      </w:r>
    </w:p>
    <w:p>
      <w:pPr>
        <w:pStyle w:val="ListBullet"/>
        <w:pageBreakBefore w:val="0"/>
        <w:spacing w:after="40"/>
      </w:pPr>
      <w:r>
        <w:t xml:space="preserve">426 — Loi des citations.</w:t>
      </w:r>
    </w:p>
    <w:p>
      <w:pPr>
        <w:pStyle w:val="ListBullet"/>
        <w:pageBreakBefore w:val="0"/>
        <w:spacing w:after="40"/>
      </w:pPr>
      <w:r>
        <w:t xml:space="preserve">438–439 — Code Théodosien : promulgation en Orient, puis application en Occident.</w:t>
      </w:r>
    </w:p>
    <w:p>
      <w:pPr>
        <w:pStyle w:val="ListBullet"/>
        <w:pageBreakBefore w:val="0"/>
        <w:spacing w:after="40"/>
      </w:pPr>
      <w:r>
        <w:t xml:space="preserve">476 — Fin conventionnelle de l’Empire romain d’Occident.</w:t>
      </w:r>
    </w:p>
    <w:p>
      <w:pPr>
        <w:pStyle w:val="ListBullet"/>
        <w:pageBreakBefore w:val="0"/>
        <w:spacing w:after="40"/>
      </w:pPr>
      <w:r>
        <w:t xml:space="preserve">481 — Avènement de Clovis ; début de l’époque franque dans le cours.</w:t>
      </w:r>
    </w:p>
    <w:p>
      <w:pPr>
        <w:pStyle w:val="ListBullet"/>
        <w:pageBreakBefore w:val="0"/>
        <w:spacing w:after="40"/>
      </w:pPr>
      <w:r>
        <w:t xml:space="preserve">Vers 505 — Baptême de Clovis dans la chronologie du cours ; datation discutée.</w:t>
      </w:r>
    </w:p>
    <w:p>
      <w:pPr>
        <w:pStyle w:val="ListBullet"/>
        <w:pageBreakBefore w:val="0"/>
        <w:spacing w:after="40"/>
      </w:pPr>
      <w:r>
        <w:t xml:space="preserve">506 — Bréviaire d’Alaric.</w:t>
      </w:r>
    </w:p>
    <w:p>
      <w:pPr>
        <w:pStyle w:val="ListBullet"/>
        <w:pageBreakBefore w:val="0"/>
        <w:spacing w:after="40"/>
      </w:pPr>
      <w:r>
        <w:t xml:space="preserve">507 — Bataille de Vouillé et mort d’Alaric II.</w:t>
      </w:r>
    </w:p>
    <w:p>
      <w:pPr>
        <w:pStyle w:val="ListBullet"/>
        <w:pageBreakBefore w:val="0"/>
        <w:spacing w:after="40"/>
      </w:pPr>
      <w:r>
        <w:t xml:space="preserve">529 et 534 — Première version puis version définitive du Code de Justinien.</w:t>
      </w:r>
    </w:p>
    <w:p>
      <w:pPr>
        <w:pStyle w:val="ListBullet"/>
        <w:pageBreakBefore w:val="0"/>
        <w:spacing w:after="40"/>
      </w:pPr>
      <w:r>
        <w:t xml:space="preserve">533 — Digeste et Institutes de Justinien.</w:t>
      </w:r>
    </w:p>
    <w:p>
      <w:pPr>
        <w:pStyle w:val="ListBullet"/>
        <w:pageBreakBefore w:val="0"/>
        <w:spacing w:after="40"/>
      </w:pPr>
      <w:r>
        <w:t xml:space="preserve">543 — Novelle 118 sur la succession ab intestat.</w:t>
      </w:r>
    </w:p>
    <w:p>
      <w:pPr>
        <w:pStyle w:val="ListBullet"/>
        <w:pageBreakBefore w:val="0"/>
        <w:spacing w:after="40"/>
      </w:pPr>
      <w:r>
        <w:t xml:space="preserve">751 — Avènement carolingien de Pépin le Bref.</w:t>
      </w:r>
    </w:p>
    <w:p>
      <w:pPr>
        <w:pStyle w:val="ListBullet"/>
        <w:pageBreakBefore w:val="0"/>
        <w:spacing w:after="40"/>
      </w:pPr>
      <w:r>
        <w:t xml:space="preserve">789 — Admonitio generalis.</w:t>
      </w:r>
    </w:p>
    <w:p>
      <w:pPr>
        <w:pStyle w:val="ListBullet"/>
        <w:pageBreakBefore w:val="0"/>
        <w:spacing w:after="40"/>
      </w:pPr>
      <w:r>
        <w:t xml:space="preserve">800 — Couronnement impérial de Charlemagne le 25 décembre.</w:t>
      </w:r>
    </w:p>
    <w:p>
      <w:pPr>
        <w:pStyle w:val="ListBullet"/>
        <w:pageBreakBefore w:val="0"/>
        <w:spacing w:after="40"/>
      </w:pPr>
      <w:r>
        <w:t xml:space="preserve">842–843 — Serments de Strasbourg, puis traité de Verdun.</w:t>
      </w:r>
    </w:p>
    <w:p>
      <w:pPr>
        <w:pStyle w:val="ListBullet"/>
        <w:pageBreakBefore w:val="0"/>
        <w:spacing w:after="40"/>
      </w:pPr>
      <w:r>
        <w:t xml:space="preserve">864 — Édit de Pîtres et place du critère territorial.</w:t>
      </w:r>
    </w:p>
    <w:p>
      <w:pPr>
        <w:pStyle w:val="ListBullet"/>
        <w:pageBreakBefore w:val="0"/>
        <w:spacing w:after="40"/>
      </w:pPr>
      <w:r>
        <w:t xml:space="preserve">987 — Avènement d’Hugues Capet.</w:t>
      </w:r>
    </w:p>
    <w:p>
      <w:pPr>
        <w:pStyle w:val="ListBullet"/>
        <w:pageBreakBefore w:val="0"/>
        <w:spacing w:after="40"/>
      </w:pPr>
      <w:r>
        <w:t xml:space="preserve">Fin XIe–début XIIe siècle — Première renaissance de l’étude du droit romain.</w:t>
      </w:r>
    </w:p>
    <w:p>
      <w:pPr>
        <w:pStyle w:val="ListBullet"/>
        <w:pageBreakBefore w:val="0"/>
        <w:spacing w:after="40"/>
      </w:pPr>
      <w:r>
        <w:t xml:space="preserve">Vers 1140 — Décret de Gratien, ensuite enrichi.</w:t>
      </w:r>
    </w:p>
    <w:p>
      <w:pPr>
        <w:pStyle w:val="ListBullet"/>
        <w:pageBreakBefore w:val="0"/>
        <w:spacing w:after="40"/>
      </w:pPr>
      <w:r>
        <w:t xml:space="preserve">1155 — Paix ou ordonnance de Soissons sous Louis VII.</w:t>
      </w:r>
    </w:p>
    <w:p>
      <w:pPr>
        <w:pStyle w:val="ListBullet"/>
        <w:pageBreakBefore w:val="0"/>
        <w:spacing w:after="40"/>
      </w:pPr>
      <w:r>
        <w:t xml:space="preserve">1215 — IVe concile du Latran, canon 18 et recul des ordalies.</w:t>
      </w:r>
    </w:p>
    <w:p>
      <w:pPr>
        <w:pStyle w:val="ListBullet"/>
        <w:pageBreakBefore w:val="0"/>
        <w:spacing w:after="40"/>
      </w:pPr>
      <w:r>
        <w:t xml:space="preserve">1219 — Super speculam et interdiction du droit romain à Paris et dans les environs.</w:t>
      </w:r>
    </w:p>
    <w:p>
      <w:pPr>
        <w:pStyle w:val="ListBullet"/>
        <w:pageBreakBefore w:val="0"/>
        <w:spacing w:after="40"/>
      </w:pPr>
      <w:r>
        <w:t xml:space="preserve">1229 — Traité de Meaux-Paris et fondation de l’université de Toulouse.</w:t>
      </w:r>
    </w:p>
    <w:p>
      <w:pPr>
        <w:pStyle w:val="ListBullet"/>
        <w:pageBreakBefore w:val="0"/>
        <w:spacing w:after="40"/>
      </w:pPr>
      <w:r>
        <w:t xml:space="preserve">1234 — Liber extra de Grégoire IX.</w:t>
      </w:r>
    </w:p>
    <w:p>
      <w:pPr>
        <w:pStyle w:val="ListBullet"/>
        <w:pageBreakBefore w:val="0"/>
        <w:spacing w:after="40"/>
      </w:pPr>
      <w:r>
        <w:t xml:space="preserve">1270 — Réglementation de l’enquête par turbe sous Louis IX.</w:t>
      </w:r>
    </w:p>
    <w:p>
      <w:pPr>
        <w:pStyle w:val="ListBullet"/>
        <w:pageBreakBefore w:val="0"/>
        <w:spacing w:after="40"/>
      </w:pPr>
      <w:r>
        <w:t xml:space="preserve">1283 — Coutumes de Beauvaisis de Beaumanoir.</w:t>
      </w:r>
    </w:p>
    <w:p>
      <w:pPr>
        <w:pStyle w:val="ListBullet"/>
        <w:pageBreakBefore w:val="0"/>
        <w:spacing w:after="40"/>
      </w:pPr>
      <w:r>
        <w:t xml:space="preserve">1286 — Coutumes de Toulouse.</w:t>
      </w:r>
    </w:p>
    <w:p>
      <w:pPr>
        <w:pStyle w:val="ListBullet"/>
        <w:pageBreakBefore w:val="0"/>
        <w:spacing w:after="40"/>
      </w:pPr>
      <w:r>
        <w:t xml:space="preserve">1298 — Liber sextus de Boniface VIII.</w:t>
      </w:r>
    </w:p>
    <w:p>
      <w:pPr>
        <w:pStyle w:val="ListBullet"/>
        <w:pageBreakBefore w:val="0"/>
        <w:spacing w:after="40"/>
      </w:pPr>
      <w:r>
        <w:t xml:space="preserve">1317 — Diffusion officielle des Clémentines sous Jean XXII.</w:t>
      </w:r>
    </w:p>
    <w:p>
      <w:pPr>
        <w:pStyle w:val="Heading1"/>
        <w:keepNext/>
        <w:pageBreakBefore w:val="0"/>
      </w:pPr>
      <w:r>
        <w:t xml:space="preserve">Méthode de révision proposée</w:t>
      </w:r>
    </w:p>
    <w:p>
      <w:pPr>
        <w:pageBreakBefore w:val="0"/>
      </w:pPr>
      <w:r>
        <w:t xml:space="preserve">Pour chaque source, reconstruire cinq éléments : période, auteur ou milieu de formation, forme du texte ou de la pratique, force juridique, rôle dans l’évolution du droit. Cette grille évite d’apprendre une succession de noms sans comprendre leurs rapports.</w:t>
      </w:r>
    </w:p>
    <w:p>
      <w:pPr>
        <w:pageBreakBefore w:val="0"/>
      </w:pPr>
      <w:r>
        <w:t xml:space="preserve">Pour chaque procédure, identifier qui déclenche le procès, qui organise le cadre juridique, qui tranche, quels moyens de preuve sont utilisés et quelles sanctions peuvent suivre. Comparer une institution ancienne à une institution actuelle exige de commencer par leurs différences.</w:t>
      </w:r>
    </w:p>
    <w:p>
      <w:pPr>
        <w:pageBreakBefore w:val="0"/>
      </w:pPr>
      <w:r>
        <w:t xml:space="preserve">En restitution, définir la notion, la situer dans le temps, expliquer le mécanisme et donner un exemple du cours. Ce conseil de travail n’anticipe pas le format exact du partiel, qui dépend des consignes du professeur.</w:t>
      </w:r>
    </w:p>
    <w:p>
      <w:pPr>
        <w:pStyle w:val="Heading2"/>
        <w:keepNext/>
        <w:pageBreakBefore w:val="0"/>
      </w:pPr>
      <w:r>
        <w:t xml:space="preserve">Questions de restitution</w:t>
      </w:r>
    </w:p>
    <w:p>
      <w:pPr>
        <w:pStyle w:val="ListBullet"/>
        <w:pageBreakBefore w:val="0"/>
        <w:spacing w:after="40"/>
      </w:pPr>
      <w:r>
        <w:t xml:space="preserve">Pourquoi les XII Tables sont-elles une étape majeure sans clore l’évolution du droit romain ?</w:t>
      </w:r>
    </w:p>
    <w:p>
      <w:pPr>
        <w:pStyle w:val="ListBullet"/>
        <w:pageBreakBefore w:val="0"/>
        <w:spacing w:after="40"/>
      </w:pPr>
      <w:r>
        <w:t xml:space="preserve">Comment le droit prétorien adapte-t-il la protection juridique à des besoins nouveaux ?</w:t>
      </w:r>
    </w:p>
    <w:p>
      <w:pPr>
        <w:pStyle w:val="ListBullet"/>
        <w:pageBreakBefore w:val="0"/>
        <w:spacing w:after="40"/>
      </w:pPr>
      <w:r>
        <w:t xml:space="preserve">Comment l’empereur devient-il progressivement une source centrale du droit ?</w:t>
      </w:r>
    </w:p>
    <w:p>
      <w:pPr>
        <w:pStyle w:val="ListBullet"/>
        <w:pageBreakBefore w:val="0"/>
        <w:spacing w:after="40"/>
      </w:pPr>
      <w:r>
        <w:t xml:space="preserve">Pourquoi distinguer les quatre composantes des compilations de Justinien ?</w:t>
      </w:r>
    </w:p>
    <w:p>
      <w:pPr>
        <w:pStyle w:val="ListBullet"/>
        <w:pageBreakBefore w:val="0"/>
        <w:spacing w:after="40"/>
      </w:pPr>
      <w:r>
        <w:t xml:space="preserve">Comment des lois personnelles coexistent-elles sur un même territoire à l’époque franque ?</w:t>
      </w:r>
    </w:p>
    <w:p>
      <w:pPr>
        <w:pStyle w:val="ListBullet"/>
        <w:pageBreakBefore w:val="0"/>
        <w:spacing w:after="40"/>
      </w:pPr>
      <w:r>
        <w:t xml:space="preserve">Comment les capitulaires accompagnent-ils une territorialisation progressive ?</w:t>
      </w:r>
    </w:p>
    <w:p>
      <w:pPr>
        <w:pStyle w:val="ListBullet"/>
        <w:pageBreakBefore w:val="0"/>
        <w:spacing w:after="40"/>
      </w:pPr>
      <w:r>
        <w:t xml:space="preserve">Pourquoi un co-jureur n’est-il pas un témoin et une ordalie n’est-elle pas une peine ?</w:t>
      </w:r>
    </w:p>
    <w:p>
      <w:pPr>
        <w:pStyle w:val="ListBullet"/>
        <w:pageBreakBefore w:val="0"/>
        <w:spacing w:after="40"/>
      </w:pPr>
      <w:r>
        <w:t xml:space="preserve">Comment la mise par écrit et l’enquête par turbe répondent-elles à la preuve de la coutume ?</w:t>
      </w:r>
    </w:p>
    <w:p>
      <w:pPr>
        <w:pStyle w:val="ListBullet"/>
        <w:pageBreakBefore w:val="0"/>
        <w:spacing w:after="40"/>
      </w:pPr>
      <w:r>
        <w:t xml:space="preserve">Quel rôle jouent glossateurs, commentateurs et universités dans les droits savants ?</w:t>
      </w:r>
    </w:p>
    <w:p>
      <w:pPr>
        <w:pStyle w:val="ListBullet"/>
        <w:pageBreakBefore w:val="0"/>
        <w:spacing w:after="40"/>
      </w:pPr>
      <w:r>
        <w:t xml:space="preserve">Pourquoi l’ordonnance de Soissons illustre-t-elle une autorité royale en reconstruction ?</w:t>
      </w:r>
    </w:p>
    <w:p>
      <w:pPr>
        <w:pStyle w:val="Heading1"/>
        <w:keepNext/>
        <w:pageBreakBefore w:val="0"/>
      </w:pPr>
      <w:r>
        <w:t xml:space="preserve">Sources et repères de vérification</w:t>
      </w:r>
    </w:p>
    <w:p>
      <w:pPr>
        <w:pageBreakBefore w:val="0"/>
      </w:pPr>
      <w:r>
        <w:t xml:space="preserve">Source principale : Cours_Histoire_du_droit_CM5_VERSION_ALLEGEE.docx, partie du cours actuel située avant « Cours complet de l’année précédente — complément et archive ». La fiche ne synthétise pas cette archive.</w:t>
      </w:r>
    </w:p>
    <w:p>
      <w:pPr>
        <w:pageBreakBefore w:val="0"/>
      </w:pPr>
      <w:r>
        <w:t xml:space="preserve">Repères bibliographiques complémentaires : les notices de la Bibliothèque nationale de France identifient les Coutumes de Beauvaisis de Philippe de Beaumanoir ; un ouvrage universitaire de romanistique consulté confirme les dates 529 et 534 du Code, et 533 des Institutes et du Digeste. Ces références complètent des points précis, sans se substituer au cours.</w:t>
      </w:r>
    </w:p>
    <w:p>
      <w:pPr>
        <w:pageBreakBefore w:val="0"/>
      </w:pPr>
      <w:r>
        <w:t xml:space="preserve">BnF Catalogue général — Philippe de Beaumanoir Les coutumes du Beauvoisis : </w:t>
      </w:r>
      <w:hyperlink r:id="rId17">
        <w:r>
          <w:t xml:space="preserve">https://catalogue.bnf.fr/ark:/12148/cb35719794r</w:t>
        </w:r>
      </w:hyperlink>
    </w:p>
    <w:p>
      <w:pPr>
        <w:pageBreakBefore w:val="0"/>
      </w:pPr>
      <w:r>
        <w:t xml:space="preserve">BnF Catalogue collectif de France — notice du fonds de Beauvais et repère 1283 : </w:t>
      </w:r>
      <w:hyperlink r:id="rId18">
        <w:r>
          <w:t xml:space="preserve">https://ccfr.bnf.fr/portailccfr/ark:/16871/006FRFONDS-600575101-2674</w:t>
        </w:r>
      </w:hyperlink>
    </w:p>
    <w:p>
      <w:pPr>
        <w:pageBreakBefore w:val="0"/>
      </w:pPr>
      <w:r>
        <w:t xml:space="preserve">Ouvrage universitaire de romanistique Le Livre jubilaire, dates des compilations de Justinien : </w:t>
      </w:r>
      <w:hyperlink r:id="rId19">
        <w:r>
          <w:t xml:space="preserve">https://univ-droit.fr/docs/parutions/documents/9240/jubilaire-version-finale-17-05.pdf</w:t>
        </w:r>
      </w:hyperlink>
    </w:p>
    <w:p>
      <w:pPr>
        <w:pStyle w:val="SmallNote"/>
        <w:pageBreakBefore w:val="0"/>
      </w:pPr>
      <w:r>
        <w:t xml:space="preserve">Fiche préparée le 13 octobre 2026, puis développée le 14 octobre 2026 pour expliquer davantage les mécanismes et leurs liens. Les développements restent dans le cours actuel jusqu’au CM5 ; les exemples pédagogiques ajoutés sont signalés et l’archive reste séparée.</w:t>
      </w:r>
    </w:p>
    <w:sectPr w:rsidR="00FC693F" w:rsidRPr="0006063C" w:rsidSect="00034616">
      <w:headerReference w:type="default" r:id="rId9"/>
      <w:footerReference w:type="default" r:id="rId10"/>
      <w:pgSz w:w="12240" w:h="15840"/>
      <w:pgMar w:top="935"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L1 Toulouse Capitole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6"/>
      </w:rPr>
      <w:t>Histoire du droit - Fiche de révision L1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Liberation Sans" w:hAnsi="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Liberation Sans" w:hAnsi="Liberation Sans"/>
      <w:b/>
      <w:bCs/>
      <w:color w:val="234D7D"/>
      <w:sz w:val="26"/>
      <w:szCs w:val="26"/>
    </w:rPr>
  </w:style>
  <w:style w:type="paragraph" w:styleId="Heading3">
    <w:name w:val="heading 3"/>
    <w:basedOn w:val="Normal"/>
    <w:next w:val="Normal"/>
    <w:link w:val="Heading3Char"/>
    <w:uiPriority w:val="9"/>
    <w:unhideWhenUsed/>
    <w:qFormat/>
    <w:rsid w:val="00FC693F"/>
    <w:pPr>
      <w:keepNext/>
      <w:keepLines/>
      <w:widowControl/>
      <w:spacing w:before="140" w:after="60"/>
      <w:outlineLvl w:val="2"/>
    </w:pPr>
    <w:rPr>
      <w:rFonts w:asciiTheme="majorHAnsi" w:eastAsiaTheme="majorEastAsia" w:hAnsiTheme="majorHAnsi" w:cstheme="majorBidi" w:ascii="Liberation Sans" w:hAnsi="Liberation Sans"/>
      <w:b/>
      <w:bCs/>
      <w:color w:val="365F91"/>
      <w:sz w:val="22"/>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widowControl/>
      <w:spacing w:after="80"/>
      <w:ind w:left="198"/>
    </w:pPr>
    <w:rPr>
      <w:rFonts w:ascii="Liberation Sans" w:hAnsi="Liberation Sans"/>
      <w:b w:val="0"/>
      <w:sz w:val="20"/>
    </w:rPr>
  </w:style>
  <w:style w:type="paragraph" w:customStyle="1" w:styleId="KeyPoint">
    <w:name w:val="KeyPoint"/>
    <w:pPr>
      <w:widowControl/>
      <w:spacing w:after="100"/>
      <w:ind w:left="198"/>
    </w:pPr>
    <w:rPr>
      <w:rFonts w:ascii="Liberation Sans" w:hAnsi="Liberation Sans"/>
      <w:b/>
      <w:sz w:val="20"/>
    </w:rPr>
  </w:style>
  <w:style w:type="paragraph" w:customStyle="1" w:styleId="Correction">
    <w:name w:val="Correction"/>
    <w:pPr>
      <w:widowControl/>
      <w:spacing w:after="80"/>
      <w:ind w:left="170"/>
    </w:pPr>
    <w:rPr>
      <w:rFonts w:ascii="Liberation Sans" w:hAnsi="Liberation Sans"/>
      <w:color w:val="8F2222"/>
      <w:sz w:val="19"/>
    </w:rPr>
  </w:style>
  <w:style w:type="paragraph" w:customStyle="1" w:styleId="SmallNote">
    <w:name w:val="SmallNote"/>
    <w:pPr>
      <w:widowControl/>
      <w:spacing w:after="80"/>
    </w:pPr>
    <w:rPr>
      <w:rFonts w:ascii="Liberation Sans" w:hAnsi="Liberation San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nhcr.org/about-unhcr/overview/1951-refugee-convention" TargetMode="External"/><Relationship Id="rId12" Type="http://schemas.openxmlformats.org/officeDocument/2006/relationships/hyperlink" Target="https://legal.un.org/ilc/reports/2006/french/chp4.pdf" TargetMode="External"/><Relationship Id="rId13" Type="http://schemas.openxmlformats.org/officeDocument/2006/relationships/hyperlink" Target="https://www.icj-cij.org/fr/statut" TargetMode="External"/><Relationship Id="rId14" Type="http://schemas.openxmlformats.org/officeDocument/2006/relationships/hyperlink" Target="https://www.echr.coe.int/documents/d/echr/convention_fra" TargetMode="External"/><Relationship Id="rId15" Type="http://schemas.openxmlformats.org/officeDocument/2006/relationships/hyperlink" Target="https://www.diplomatie.gouv.fr/fr/IMG/pdf/Dossier_de_presse-2.pdf" TargetMode="External"/><Relationship Id="rId16" Type="http://schemas.openxmlformats.org/officeDocument/2006/relationships/hyperlink" Target="https://www.diplomatie.gouv.fr/IMG/pdf/mn_444qo_blocus_ministere_cle07151f.pdf" TargetMode="External"/><Relationship Id="rId17" Type="http://schemas.openxmlformats.org/officeDocument/2006/relationships/hyperlink" Target="https://catalogue.bnf.fr/ark:/12148/cb35719794r" TargetMode="External"/><Relationship Id="rId18" Type="http://schemas.openxmlformats.org/officeDocument/2006/relationships/hyperlink" Target="https://ccfr.bnf.fr/portailccfr/ark:/16871/006FRFONDS-600575101-2674" TargetMode="External"/><Relationship Id="rId19" Type="http://schemas.openxmlformats.org/officeDocument/2006/relationships/hyperlink" Target="https://univ-droit.fr/docs/parutions/documents/9240/jubilaire-version-finale-17-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Histoire du droit Fiche de révision approfondie L1 S1 CM5</dc:title>
  <dc:subject>Cours actuel jusqu’au CM5 Archive de l’année précédente séparée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