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B7123" w14:textId="77777777" w:rsidR="00952181" w:rsidRDefault="00952181" w:rsidP="00952181">
      <w:pPr>
        <w:pStyle w:val="Heading1"/>
        <w:spacing w:before="202"/>
      </w:pPr>
      <w:bookmarkStart w:id="0" w:name="_Toc497839597"/>
      <w:bookmarkStart w:id="1" w:name="_Toc223717342"/>
      <w:r>
        <w:t>Introduction</w:t>
      </w:r>
      <w:bookmarkEnd w:id="0"/>
      <w:bookmarkEnd w:id="1"/>
    </w:p>
    <w:p w14:paraId="2400464D" w14:textId="77777777" w:rsidR="00952181" w:rsidRDefault="00952181" w:rsidP="00952181">
      <w:pPr>
        <w:spacing w:before="202" w:after="0"/>
        <w:jc w:val="both"/>
      </w:pPr>
      <w:proofErr w:type="spellStart"/>
      <w:r>
        <w:rPr>
          <w:rFonts w:eastAsia="Times New Roman" w:cs="Calibri"/>
        </w:rPr>
        <w:t>FutureGate</w:t>
      </w:r>
      <w:proofErr w:type="spellEnd"/>
      <w:r>
        <w:rPr>
          <w:rFonts w:eastAsia="Times New Roman" w:cs="Calibri"/>
        </w:rPr>
        <w:t xml:space="preserve"> Healthcare Solutions (FGHS), in collaboration with OSSI, is pleased to submit this proposal for the </w:t>
      </w:r>
      <w:r>
        <w:rPr>
          <w:rStyle w:val="StrongEmphasis"/>
          <w:rFonts w:eastAsia="Times New Roman" w:cs="Calibri"/>
        </w:rPr>
        <w:t>Supply, Integration, and Maintenance of the OneSource Connect® RMS with AI-Ready Foundation Solution</w:t>
      </w:r>
      <w:r>
        <w:rPr>
          <w:rFonts w:eastAsia="Times New Roman" w:cs="Calibri"/>
        </w:rPr>
        <w:t xml:space="preserve"> for the Ministry of Health – Kingdom of Saudi Arabia (MOH).</w:t>
      </w:r>
    </w:p>
    <w:p w14:paraId="3995B1BE" w14:textId="77777777" w:rsidR="00952181" w:rsidRDefault="00952181" w:rsidP="00952181">
      <w:pPr>
        <w:spacing w:before="202" w:after="0"/>
        <w:jc w:val="both"/>
      </w:pPr>
      <w:r>
        <w:rPr>
          <w:rFonts w:eastAsia="Times New Roman" w:cs="Calibri"/>
        </w:rPr>
        <w:t xml:space="preserve">This proposal supports the Ministry of Health’s strategic objective of enabling </w:t>
      </w:r>
      <w:r>
        <w:rPr>
          <w:rStyle w:val="StrongEmphasis"/>
          <w:rFonts w:eastAsia="Times New Roman" w:cs="Calibri"/>
        </w:rPr>
        <w:t>comprehensive medical device connectivity, real-time clinical data availability, and intelligent healthcare infrastructure</w:t>
      </w:r>
      <w:r>
        <w:rPr>
          <w:rFonts w:eastAsia="Times New Roman" w:cs="Calibri"/>
        </w:rPr>
        <w:t xml:space="preserve"> across the Riyadh Third Health Cluster. The proposed solution will enable </w:t>
      </w:r>
      <w:proofErr w:type="gramStart"/>
      <w:r>
        <w:rPr>
          <w:rFonts w:eastAsia="Times New Roman" w:cs="Calibri"/>
        </w:rPr>
        <w:t>the integration</w:t>
      </w:r>
      <w:proofErr w:type="gramEnd"/>
      <w:r>
        <w:rPr>
          <w:rFonts w:eastAsia="Times New Roman" w:cs="Calibri"/>
        </w:rPr>
        <w:t xml:space="preserve">, aggregation, and secure transmission of medical device data from </w:t>
      </w:r>
      <w:r>
        <w:rPr>
          <w:rStyle w:val="StrongEmphasis"/>
          <w:rFonts w:eastAsia="Times New Roman" w:cs="Calibri"/>
        </w:rPr>
        <w:t>50 critical care beds distributed across multiple ICU departments in 14 hospitals</w:t>
      </w:r>
      <w:r>
        <w:rPr>
          <w:rFonts w:eastAsia="Times New Roman" w:cs="Calibri"/>
        </w:rPr>
        <w:t>.</w:t>
      </w:r>
    </w:p>
    <w:p w14:paraId="3ED0A196" w14:textId="77777777" w:rsidR="00952181" w:rsidRDefault="00952181" w:rsidP="00952181">
      <w:pPr>
        <w:pStyle w:val="BodyText"/>
        <w:spacing w:before="202" w:after="0"/>
        <w:jc w:val="both"/>
      </w:pPr>
      <w:r>
        <w:rPr>
          <w:rFonts w:eastAsia="Times New Roman" w:cs="Calibri"/>
        </w:rPr>
        <w:t>The proposed platform establishes a robust digital healthcare infrastructure that will:</w:t>
      </w:r>
    </w:p>
    <w:p w14:paraId="64D3CFFB" w14:textId="77777777" w:rsidR="00952181" w:rsidRDefault="00952181" w:rsidP="00952181">
      <w:pPr>
        <w:pStyle w:val="BodyText"/>
        <w:spacing w:before="202" w:after="0"/>
      </w:pPr>
      <w:r>
        <w:t xml:space="preserve">• Seamlessly integrate bedside medical device data with the Hospital Information System (HIS), enabling </w:t>
      </w:r>
      <w:r>
        <w:rPr>
          <w:rStyle w:val="StrongEmphasis"/>
        </w:rPr>
        <w:t>accurate, real-time clinical information exchange</w:t>
      </w:r>
      <w:r>
        <w:t xml:space="preserve"> across hospital systems.</w:t>
      </w:r>
    </w:p>
    <w:p w14:paraId="2CDEBDE1" w14:textId="77777777" w:rsidR="00952181" w:rsidRDefault="00952181" w:rsidP="00952181">
      <w:pPr>
        <w:pStyle w:val="BodyText"/>
        <w:spacing w:before="202" w:after="0"/>
      </w:pPr>
      <w:r>
        <w:t xml:space="preserve">• Provide healthcare facilities with a </w:t>
      </w:r>
      <w:r>
        <w:rPr>
          <w:rStyle w:val="StrongEmphasis"/>
        </w:rPr>
        <w:t>secure, AI-ready, and regulation-compliant connectivity framework</w:t>
      </w:r>
      <w:r>
        <w:t>, allowing the deployment of advanced clinical applications such as predictive analytics, remote patient monitoring, and intelligent clinical decision support.</w:t>
      </w:r>
    </w:p>
    <w:p w14:paraId="78273794" w14:textId="77777777" w:rsidR="00952181" w:rsidRDefault="00952181" w:rsidP="00952181">
      <w:pPr>
        <w:pStyle w:val="BodyText"/>
        <w:spacing w:before="202" w:after="0"/>
      </w:pPr>
      <w:r>
        <w:t xml:space="preserve">• Establish a </w:t>
      </w:r>
      <w:r>
        <w:rPr>
          <w:rStyle w:val="StrongEmphasis"/>
        </w:rPr>
        <w:t>scalable and interoperable digital ecosystem</w:t>
      </w:r>
      <w:r>
        <w:t xml:space="preserve"> capable of supporting future innovations in connected healthcare, while improving operational efficiency and enhancing the quality of patient care.</w:t>
      </w:r>
    </w:p>
    <w:p w14:paraId="138C169D" w14:textId="77777777" w:rsidR="00952181" w:rsidRDefault="00952181" w:rsidP="00952181">
      <w:pPr>
        <w:pStyle w:val="BodyText"/>
        <w:spacing w:before="202" w:after="0"/>
      </w:pPr>
      <w:r>
        <w:t xml:space="preserve">At the core of the proposed solution is the </w:t>
      </w:r>
      <w:r>
        <w:rPr>
          <w:rStyle w:val="StrongEmphasis"/>
        </w:rPr>
        <w:t>OneSource Connect® Foundation – JAMES Infrastructure-Embedded Medical Device Integration (MDI) System</w:t>
      </w:r>
      <w:r>
        <w:t>, a vendor-agnostic platform designed to transform medical device connectivity into a built-in hospital infrastructure service. By integrating device-specific connectivity dongles, wall-embedded Power-over-Ethernet (PoE) micro-network architecture, and edge-based processing units, the system provides secure, standardized, and high-fidelity access to clinical device data.</w:t>
      </w:r>
    </w:p>
    <w:p w14:paraId="004C439B" w14:textId="77777777" w:rsidR="00952181" w:rsidRDefault="00952181" w:rsidP="00952181">
      <w:pPr>
        <w:pStyle w:val="BodyText"/>
        <w:spacing w:before="202" w:after="0"/>
      </w:pPr>
      <w:r>
        <w:t>This architecture ensures:</w:t>
      </w:r>
    </w:p>
    <w:p w14:paraId="08CA3820" w14:textId="77777777" w:rsidR="00952181" w:rsidRDefault="00952181" w:rsidP="00952181">
      <w:pPr>
        <w:pStyle w:val="BodyText"/>
        <w:numPr>
          <w:ilvl w:val="0"/>
          <w:numId w:val="2"/>
        </w:numPr>
        <w:spacing w:before="0" w:after="0"/>
      </w:pPr>
      <w:r>
        <w:t>Interoperability between heterogeneous medical devices</w:t>
      </w:r>
    </w:p>
    <w:p w14:paraId="50D7DA8C" w14:textId="77777777" w:rsidR="00952181" w:rsidRDefault="00952181" w:rsidP="00952181">
      <w:pPr>
        <w:pStyle w:val="BodyText"/>
        <w:numPr>
          <w:ilvl w:val="0"/>
          <w:numId w:val="2"/>
        </w:numPr>
        <w:spacing w:before="0" w:after="0"/>
      </w:pPr>
      <w:r>
        <w:t>Secure and governed medical data flows</w:t>
      </w:r>
    </w:p>
    <w:p w14:paraId="03E81A8D" w14:textId="77777777" w:rsidR="00952181" w:rsidRDefault="00952181" w:rsidP="00952181">
      <w:pPr>
        <w:pStyle w:val="BodyText"/>
        <w:numPr>
          <w:ilvl w:val="0"/>
          <w:numId w:val="2"/>
        </w:numPr>
        <w:spacing w:before="0" w:after="0"/>
      </w:pPr>
      <w:r>
        <w:t>Support for advanced analytics and AI-enabled healthcare applications</w:t>
      </w:r>
    </w:p>
    <w:p w14:paraId="7A4F346A" w14:textId="77777777" w:rsidR="00952181" w:rsidRDefault="00952181" w:rsidP="00952181">
      <w:pPr>
        <w:pStyle w:val="BodyText"/>
        <w:numPr>
          <w:ilvl w:val="0"/>
          <w:numId w:val="2"/>
        </w:numPr>
        <w:spacing w:before="0" w:after="0"/>
      </w:pPr>
      <w:r>
        <w:t>Alignment with international healthcare interoperability and cybersecurity standards</w:t>
      </w:r>
    </w:p>
    <w:p w14:paraId="4B9AB241" w14:textId="77777777" w:rsidR="00952181" w:rsidRDefault="00952181" w:rsidP="00952181">
      <w:pPr>
        <w:pStyle w:val="BodyText"/>
        <w:numPr>
          <w:ilvl w:val="0"/>
          <w:numId w:val="2"/>
        </w:numPr>
        <w:spacing w:before="0" w:after="0"/>
      </w:pPr>
      <w:r>
        <w:lastRenderedPageBreak/>
        <w:t>Full compatibility with the Ministry of Health’s digital transformation initiatives</w:t>
      </w:r>
    </w:p>
    <w:p w14:paraId="08B54940" w14:textId="77777777" w:rsidR="00952181" w:rsidRPr="00DE375A" w:rsidRDefault="00952181" w:rsidP="00952181">
      <w:pPr>
        <w:pStyle w:val="BodyText"/>
        <w:spacing w:before="202" w:after="0"/>
      </w:pPr>
      <w:r w:rsidRPr="00DE375A">
        <w:t>FGHS and OSSI are fully committed to delivering a</w:t>
      </w:r>
      <w:r w:rsidRPr="00DE375A">
        <w:rPr>
          <w:b/>
          <w:bCs/>
        </w:rPr>
        <w:t xml:space="preserve"> </w:t>
      </w:r>
      <w:r w:rsidRPr="00DE375A">
        <w:rPr>
          <w:rStyle w:val="StrongEmphasis"/>
        </w:rPr>
        <w:t>future-proof, reliable, and high-quality solution</w:t>
      </w:r>
      <w:r w:rsidRPr="00DE375A">
        <w:t xml:space="preserve">, supported by comprehensive implementation services, training, and long-term technical support. Our joint objective is to ensure the </w:t>
      </w:r>
      <w:r w:rsidRPr="00DE375A">
        <w:rPr>
          <w:rStyle w:val="StrongEmphasis"/>
        </w:rPr>
        <w:t>successful deployment, operational stability, and sustainable growth</w:t>
      </w:r>
      <w:r w:rsidRPr="00DE375A">
        <w:t xml:space="preserve"> of the </w:t>
      </w:r>
      <w:proofErr w:type="spellStart"/>
      <w:r w:rsidRPr="00DE375A">
        <w:t>TeleICU</w:t>
      </w:r>
      <w:proofErr w:type="spellEnd"/>
      <w:r w:rsidRPr="00DE375A">
        <w:t xml:space="preserve"> infrastructure across the participating MOH hospitals.</w:t>
      </w:r>
    </w:p>
    <w:p w14:paraId="2DC7C35D" w14:textId="77777777" w:rsidR="00952181" w:rsidRDefault="00952181" w:rsidP="00952181">
      <w:pPr>
        <w:pStyle w:val="Heading1"/>
        <w:spacing w:before="202"/>
      </w:pPr>
      <w:bookmarkStart w:id="2" w:name="_Toc223717343"/>
      <w:r>
        <w:t>Overview and Deliverables</w:t>
      </w:r>
      <w:bookmarkEnd w:id="2"/>
    </w:p>
    <w:p w14:paraId="639E9994" w14:textId="77777777" w:rsidR="00952181" w:rsidRDefault="00952181" w:rsidP="00952181">
      <w:pPr>
        <w:pStyle w:val="Heading2"/>
        <w:spacing w:before="202"/>
      </w:pPr>
      <w:bookmarkStart w:id="3" w:name="_Toc223717344"/>
      <w:r>
        <w:t xml:space="preserve">OneSource Connect® RMS – </w:t>
      </w:r>
      <w:proofErr w:type="spellStart"/>
      <w:r>
        <w:rPr>
          <w:rFonts w:eastAsia="Times New Roman" w:cs="Calibri"/>
        </w:rPr>
        <w:t>TeleICU</w:t>
      </w:r>
      <w:proofErr w:type="spellEnd"/>
      <w:r>
        <w:rPr>
          <w:rFonts w:eastAsia="Times New Roman" w:cs="Calibri"/>
        </w:rPr>
        <w:t xml:space="preserve"> Solution</w:t>
      </w:r>
      <w:bookmarkEnd w:id="3"/>
    </w:p>
    <w:p w14:paraId="5676B7F4" w14:textId="77777777" w:rsidR="00952181" w:rsidRDefault="00952181" w:rsidP="00952181">
      <w:pPr>
        <w:pStyle w:val="Heading3"/>
        <w:numPr>
          <w:ilvl w:val="2"/>
          <w:numId w:val="0"/>
        </w:numPr>
        <w:pBdr>
          <w:top w:val="single" w:sz="6" w:space="2" w:color="4F81BD"/>
          <w:left w:val="single" w:sz="6" w:space="2" w:color="4F81BD"/>
        </w:pBdr>
        <w:tabs>
          <w:tab w:val="num" w:pos="360"/>
        </w:tabs>
        <w:spacing w:before="202" w:after="0" w:line="360" w:lineRule="auto"/>
      </w:pPr>
      <w:bookmarkStart w:id="4" w:name="_Toc223717345"/>
      <w:r>
        <w:rPr>
          <w:sz w:val="24"/>
          <w:lang w:bidi="en-US"/>
        </w:rPr>
        <w:t>Business Benefits</w:t>
      </w:r>
      <w:bookmarkEnd w:id="4"/>
    </w:p>
    <w:p w14:paraId="237BE8C7" w14:textId="77777777" w:rsidR="00952181" w:rsidRDefault="00952181" w:rsidP="00952181">
      <w:pPr>
        <w:pStyle w:val="ListParagraph"/>
        <w:spacing w:before="202" w:after="0" w:line="240" w:lineRule="auto"/>
        <w:ind w:left="0"/>
        <w:contextualSpacing w:val="0"/>
      </w:pPr>
      <w:r>
        <w:t xml:space="preserve">The OneSource Connect® RMS </w:t>
      </w:r>
      <w:proofErr w:type="spellStart"/>
      <w:r>
        <w:t>TeleICU</w:t>
      </w:r>
      <w:proofErr w:type="spellEnd"/>
      <w:r>
        <w:t xml:space="preserve"> platform delivers significant clinical, operational, and technological benefits to healthcare providers by enabling secure, real-time integration and remote access to medical device data across distributed hospital environments.</w:t>
      </w:r>
    </w:p>
    <w:p w14:paraId="639DEBAA" w14:textId="77777777" w:rsidR="00952181" w:rsidRDefault="00952181" w:rsidP="00952181">
      <w:pPr>
        <w:pStyle w:val="ListParagraph"/>
        <w:numPr>
          <w:ilvl w:val="0"/>
          <w:numId w:val="1"/>
        </w:numPr>
        <w:spacing w:before="120" w:after="120"/>
        <w:contextualSpacing w:val="0"/>
      </w:pPr>
      <w:r>
        <w:rPr>
          <w:rFonts w:eastAsia="Times New Roman" w:cs="Calibri"/>
          <w:b/>
          <w:bCs/>
        </w:rPr>
        <w:t>Remote Clinical Presence</w:t>
      </w:r>
    </w:p>
    <w:p w14:paraId="3C66BCA3" w14:textId="77777777" w:rsidR="00952181" w:rsidRDefault="00952181" w:rsidP="00952181">
      <w:pPr>
        <w:pStyle w:val="ListParagraph"/>
        <w:spacing w:before="120" w:after="120"/>
        <w:contextualSpacing w:val="0"/>
      </w:pPr>
      <w:r>
        <w:rPr>
          <w:rFonts w:eastAsia="Times New Roman" w:cs="Calibri"/>
        </w:rPr>
        <w:t xml:space="preserve">The platform enables both </w:t>
      </w:r>
      <w:r>
        <w:rPr>
          <w:rStyle w:val="StrongEmphasis"/>
          <w:rFonts w:eastAsia="Times New Roman" w:cs="Calibri"/>
        </w:rPr>
        <w:t>real-time and retrospective remote monitoring</w:t>
      </w:r>
      <w:r>
        <w:rPr>
          <w:rFonts w:eastAsia="Times New Roman" w:cs="Calibri"/>
        </w:rPr>
        <w:t xml:space="preserve"> of patients across multiple hospitals, allowing clinicians to observe patient conditions continuously and support bedside teams through centralized </w:t>
      </w:r>
      <w:proofErr w:type="spellStart"/>
      <w:r>
        <w:rPr>
          <w:rFonts w:eastAsia="Times New Roman" w:cs="Calibri"/>
        </w:rPr>
        <w:t>TeleICU</w:t>
      </w:r>
      <w:proofErr w:type="spellEnd"/>
      <w:r>
        <w:rPr>
          <w:rFonts w:eastAsia="Times New Roman" w:cs="Calibri"/>
        </w:rPr>
        <w:t xml:space="preserve"> command centers.</w:t>
      </w:r>
    </w:p>
    <w:p w14:paraId="4C5F97EC" w14:textId="77777777" w:rsidR="00952181" w:rsidRDefault="00952181" w:rsidP="00952181">
      <w:pPr>
        <w:pStyle w:val="ListParagraph"/>
        <w:numPr>
          <w:ilvl w:val="0"/>
          <w:numId w:val="1"/>
        </w:numPr>
        <w:spacing w:before="120" w:after="120"/>
        <w:contextualSpacing w:val="0"/>
      </w:pPr>
      <w:r>
        <w:rPr>
          <w:rFonts w:eastAsia="Times New Roman" w:cs="Calibri"/>
          <w:b/>
          <w:bCs/>
        </w:rPr>
        <w:t>AI-Ready Data Infrastructure</w:t>
      </w:r>
    </w:p>
    <w:p w14:paraId="0A54295B" w14:textId="77777777" w:rsidR="00952181" w:rsidRDefault="00952181" w:rsidP="00952181">
      <w:pPr>
        <w:pStyle w:val="ListParagraph"/>
        <w:spacing w:before="120" w:after="120"/>
        <w:contextualSpacing w:val="0"/>
      </w:pPr>
      <w:r>
        <w:rPr>
          <w:rFonts w:eastAsia="Times New Roman" w:cs="Calibri"/>
        </w:rPr>
        <w:t xml:space="preserve">The system collects, normalizes, and synchronizes physiological data from connected medical devices, creating a </w:t>
      </w:r>
      <w:r>
        <w:rPr>
          <w:rStyle w:val="StrongEmphasis"/>
          <w:rFonts w:eastAsia="Times New Roman" w:cs="Calibri"/>
        </w:rPr>
        <w:t>structured and governed data environment</w:t>
      </w:r>
      <w:r>
        <w:rPr>
          <w:rFonts w:eastAsia="Times New Roman" w:cs="Calibri"/>
        </w:rPr>
        <w:t xml:space="preserve"> that is ready to support advanced analytics, artificial intelligence applications, and predictive clinical models.</w:t>
      </w:r>
    </w:p>
    <w:p w14:paraId="59C33BC2" w14:textId="77777777" w:rsidR="00952181" w:rsidRDefault="00952181" w:rsidP="00952181">
      <w:pPr>
        <w:pStyle w:val="ListParagraph"/>
        <w:numPr>
          <w:ilvl w:val="0"/>
          <w:numId w:val="1"/>
        </w:numPr>
        <w:spacing w:before="120" w:after="120"/>
        <w:contextualSpacing w:val="0"/>
      </w:pPr>
      <w:r>
        <w:rPr>
          <w:rFonts w:eastAsia="Times New Roman" w:cs="Calibri"/>
          <w:b/>
          <w:bCs/>
        </w:rPr>
        <w:t>High-Fidelity Data Synchronization</w:t>
      </w:r>
    </w:p>
    <w:p w14:paraId="31D8680E" w14:textId="77777777" w:rsidR="00952181" w:rsidRDefault="00952181" w:rsidP="00952181">
      <w:pPr>
        <w:pStyle w:val="ListParagraph"/>
        <w:spacing w:before="120" w:after="120"/>
        <w:contextualSpacing w:val="0"/>
      </w:pPr>
      <w:r>
        <w:rPr>
          <w:rFonts w:eastAsia="Times New Roman" w:cs="Calibri"/>
        </w:rPr>
        <w:t xml:space="preserve">Waveforms, vital signs, and device parameters are synchronized with </w:t>
      </w:r>
      <w:r>
        <w:rPr>
          <w:rStyle w:val="StrongEmphasis"/>
          <w:rFonts w:eastAsia="Times New Roman" w:cs="Calibri"/>
        </w:rPr>
        <w:t>millisecond-level precision</w:t>
      </w:r>
      <w:r>
        <w:rPr>
          <w:rFonts w:eastAsia="Times New Roman" w:cs="Calibri"/>
        </w:rPr>
        <w:t>, ensuring high data fidelity for accurate clinical interpretation, trending analysis, and advanced monitoring applications.</w:t>
      </w:r>
    </w:p>
    <w:p w14:paraId="561CAE1C" w14:textId="77777777" w:rsidR="00952181" w:rsidRDefault="00952181" w:rsidP="00952181">
      <w:pPr>
        <w:pStyle w:val="ListParagraph"/>
        <w:numPr>
          <w:ilvl w:val="0"/>
          <w:numId w:val="1"/>
        </w:numPr>
        <w:spacing w:before="120" w:after="120"/>
        <w:contextualSpacing w:val="0"/>
      </w:pPr>
      <w:r>
        <w:rPr>
          <w:rFonts w:eastAsia="Times New Roman" w:cs="Calibri"/>
          <w:b/>
          <w:bCs/>
        </w:rPr>
        <w:t>Positive Patient Identification (PPID)</w:t>
      </w:r>
    </w:p>
    <w:p w14:paraId="25505DE3" w14:textId="77777777" w:rsidR="00952181" w:rsidRDefault="00952181" w:rsidP="00952181">
      <w:pPr>
        <w:pStyle w:val="ListParagraph"/>
        <w:spacing w:before="120" w:after="120"/>
        <w:contextualSpacing w:val="0"/>
      </w:pPr>
      <w:r>
        <w:rPr>
          <w:rFonts w:eastAsia="Times New Roman" w:cs="Calibri"/>
        </w:rPr>
        <w:t xml:space="preserve">Integrated </w:t>
      </w:r>
      <w:r>
        <w:rPr>
          <w:rStyle w:val="StrongEmphasis"/>
          <w:rFonts w:eastAsia="Times New Roman" w:cs="Calibri"/>
        </w:rPr>
        <w:t>Positive Patient Identification (PPID)</w:t>
      </w:r>
      <w:r>
        <w:rPr>
          <w:rFonts w:eastAsia="Times New Roman" w:cs="Calibri"/>
        </w:rPr>
        <w:t xml:space="preserve"> mechanisms ensure that all collected clinical data is securely and accurately associated with the correct patient record, reducing the risk of documentation errors and improving data integrity.</w:t>
      </w:r>
    </w:p>
    <w:p w14:paraId="172E8EA8" w14:textId="77777777" w:rsidR="00952181" w:rsidRDefault="00952181" w:rsidP="00952181">
      <w:pPr>
        <w:pStyle w:val="ListParagraph"/>
        <w:numPr>
          <w:ilvl w:val="0"/>
          <w:numId w:val="1"/>
        </w:numPr>
        <w:spacing w:before="120" w:after="120"/>
        <w:contextualSpacing w:val="0"/>
      </w:pPr>
      <w:r>
        <w:rPr>
          <w:rFonts w:eastAsia="Times New Roman" w:cs="Calibri"/>
          <w:b/>
          <w:bCs/>
        </w:rPr>
        <w:t>Real-Time Clinical Accessibility</w:t>
      </w:r>
    </w:p>
    <w:p w14:paraId="7023778E" w14:textId="77777777" w:rsidR="00952181" w:rsidRDefault="00952181" w:rsidP="00952181">
      <w:pPr>
        <w:pStyle w:val="ListParagraph"/>
        <w:spacing w:before="120" w:after="120"/>
        <w:contextualSpacing w:val="0"/>
      </w:pPr>
      <w:r>
        <w:rPr>
          <w:rFonts w:eastAsia="Times New Roman" w:cs="Calibri"/>
        </w:rPr>
        <w:lastRenderedPageBreak/>
        <w:t xml:space="preserve">The system enables secure access to patient data both </w:t>
      </w:r>
      <w:r>
        <w:rPr>
          <w:rStyle w:val="StrongEmphasis"/>
          <w:rFonts w:eastAsia="Times New Roman" w:cs="Calibri"/>
        </w:rPr>
        <w:t>within the hospital network and through authorized remote connections</w:t>
      </w:r>
      <w:r>
        <w:rPr>
          <w:rFonts w:eastAsia="Times New Roman" w:cs="Calibri"/>
        </w:rPr>
        <w:t>, allowing clinicians to monitor patients and review clinical information regardless of location.</w:t>
      </w:r>
    </w:p>
    <w:p w14:paraId="1BAE6917" w14:textId="77777777" w:rsidR="00952181" w:rsidRDefault="00952181" w:rsidP="00952181">
      <w:pPr>
        <w:pStyle w:val="ListParagraph"/>
        <w:numPr>
          <w:ilvl w:val="0"/>
          <w:numId w:val="1"/>
        </w:numPr>
        <w:spacing w:before="120" w:after="120"/>
        <w:contextualSpacing w:val="0"/>
      </w:pPr>
      <w:r>
        <w:rPr>
          <w:rFonts w:eastAsia="Times New Roman" w:cs="Calibri"/>
          <w:b/>
          <w:bCs/>
        </w:rPr>
        <w:t>Open Architecture and Standards-Based Integration</w:t>
      </w:r>
    </w:p>
    <w:p w14:paraId="0D025D6B" w14:textId="77777777" w:rsidR="00952181" w:rsidRDefault="00952181" w:rsidP="00952181">
      <w:pPr>
        <w:pStyle w:val="ListParagraph"/>
        <w:spacing w:before="120" w:after="120"/>
        <w:contextualSpacing w:val="0"/>
      </w:pPr>
      <w:r>
        <w:rPr>
          <w:rFonts w:eastAsia="Times New Roman" w:cs="Calibri"/>
        </w:rPr>
        <w:t xml:space="preserve">The platform is built on </w:t>
      </w:r>
      <w:r>
        <w:rPr>
          <w:rStyle w:val="StrongEmphasis"/>
          <w:rFonts w:eastAsia="Times New Roman" w:cs="Calibri"/>
        </w:rPr>
        <w:t>open standards and interoperable protocols</w:t>
      </w:r>
      <w:r>
        <w:rPr>
          <w:rFonts w:eastAsia="Times New Roman" w:cs="Calibri"/>
        </w:rPr>
        <w:t>, enabling seamless integration with medical devices from multiple vendors and compatibility with hospital information systems such as HIS, EMR, and clinical analytics platforms.</w:t>
      </w:r>
    </w:p>
    <w:p w14:paraId="2EC67EFB" w14:textId="77777777" w:rsidR="00952181" w:rsidRDefault="00952181" w:rsidP="00952181">
      <w:pPr>
        <w:pStyle w:val="ListParagraph"/>
        <w:numPr>
          <w:ilvl w:val="0"/>
          <w:numId w:val="1"/>
        </w:numPr>
        <w:spacing w:before="120" w:after="120"/>
        <w:contextualSpacing w:val="0"/>
      </w:pPr>
      <w:r>
        <w:rPr>
          <w:rFonts w:eastAsia="Times New Roman" w:cs="Calibri"/>
          <w:b/>
          <w:bCs/>
        </w:rPr>
        <w:t>Scalable System Architecture</w:t>
      </w:r>
    </w:p>
    <w:p w14:paraId="10022400" w14:textId="77777777" w:rsidR="00952181" w:rsidRDefault="00952181" w:rsidP="00952181">
      <w:pPr>
        <w:pStyle w:val="ListParagraph"/>
        <w:spacing w:before="120" w:after="120"/>
        <w:contextualSpacing w:val="0"/>
      </w:pPr>
      <w:r>
        <w:rPr>
          <w:rFonts w:eastAsia="Times New Roman" w:cs="Calibri"/>
        </w:rPr>
        <w:t xml:space="preserve">The solution is designed to support </w:t>
      </w:r>
      <w:r>
        <w:rPr>
          <w:rStyle w:val="StrongEmphasis"/>
          <w:rFonts w:eastAsia="Times New Roman" w:cs="Calibri"/>
        </w:rPr>
        <w:t>scalable deployments</w:t>
      </w:r>
      <w:r>
        <w:rPr>
          <w:rFonts w:eastAsia="Times New Roman" w:cs="Calibri"/>
        </w:rPr>
        <w:t>, ranging from individual hospital departments to large multi-hospital healthcare networks, ensuring long-term adaptability as healthcare infrastructure evolves.</w:t>
      </w:r>
    </w:p>
    <w:p w14:paraId="3D2BCC0C" w14:textId="77777777" w:rsidR="00952181" w:rsidRDefault="00952181" w:rsidP="00952181">
      <w:pPr>
        <w:pStyle w:val="ListParagraph"/>
        <w:numPr>
          <w:ilvl w:val="0"/>
          <w:numId w:val="1"/>
        </w:numPr>
        <w:spacing w:before="120" w:after="120"/>
        <w:contextualSpacing w:val="0"/>
      </w:pPr>
      <w:r>
        <w:rPr>
          <w:rFonts w:eastAsia="Times New Roman" w:cs="Calibri"/>
          <w:b/>
          <w:bCs/>
        </w:rPr>
        <w:t>Transparent Integration Framework</w:t>
      </w:r>
    </w:p>
    <w:p w14:paraId="543FBD1A" w14:textId="77777777" w:rsidR="00952181" w:rsidRDefault="00952181" w:rsidP="00952181">
      <w:pPr>
        <w:pStyle w:val="ListParagraph"/>
        <w:spacing w:before="120" w:after="120"/>
        <w:contextualSpacing w:val="0"/>
      </w:pPr>
      <w:r>
        <w:rPr>
          <w:rFonts w:eastAsia="Times New Roman" w:cs="Calibri"/>
        </w:rPr>
        <w:t xml:space="preserve">The system follows a </w:t>
      </w:r>
      <w:r>
        <w:rPr>
          <w:rStyle w:val="StrongEmphasis"/>
          <w:rFonts w:eastAsia="Times New Roman" w:cs="Calibri"/>
        </w:rPr>
        <w:t>transparent and standards-based integration model</w:t>
      </w:r>
      <w:r>
        <w:rPr>
          <w:rFonts w:eastAsia="Times New Roman" w:cs="Calibri"/>
        </w:rPr>
        <w:t>, ensuring that data exchange processes remain auditable, secure, and compliant with healthcare interoperability requirements</w:t>
      </w:r>
    </w:p>
    <w:p w14:paraId="2C4678FF" w14:textId="77777777" w:rsidR="00952181" w:rsidRDefault="00952181" w:rsidP="00952181">
      <w:pPr>
        <w:pStyle w:val="ListParagraph"/>
        <w:numPr>
          <w:ilvl w:val="0"/>
          <w:numId w:val="1"/>
        </w:numPr>
        <w:spacing w:before="120" w:after="120"/>
        <w:contextualSpacing w:val="0"/>
      </w:pPr>
      <w:r>
        <w:rPr>
          <w:rFonts w:eastAsia="Times New Roman" w:cs="Calibri"/>
          <w:b/>
          <w:bCs/>
        </w:rPr>
        <w:t>Web-Based User Interface and API Integration</w:t>
      </w:r>
    </w:p>
    <w:p w14:paraId="269C8D5B" w14:textId="77777777" w:rsidR="00952181" w:rsidRDefault="00952181" w:rsidP="00952181">
      <w:pPr>
        <w:pStyle w:val="ListParagraph"/>
        <w:spacing w:before="120" w:after="120"/>
        <w:contextualSpacing w:val="0"/>
      </w:pPr>
      <w:r>
        <w:rPr>
          <w:rFonts w:eastAsia="Times New Roman" w:cs="Calibri"/>
        </w:rPr>
        <w:t xml:space="preserve">A web-based graphical interface allows clinicians to access monitoring dashboards through standard browsers, while </w:t>
      </w:r>
      <w:r>
        <w:rPr>
          <w:rStyle w:val="StrongEmphasis"/>
          <w:rFonts w:eastAsia="Times New Roman" w:cs="Calibri"/>
        </w:rPr>
        <w:t xml:space="preserve">secure APIs </w:t>
      </w:r>
      <w:proofErr w:type="gramStart"/>
      <w:r>
        <w:rPr>
          <w:rStyle w:val="StrongEmphasis"/>
          <w:rFonts w:eastAsia="Times New Roman" w:cs="Calibri"/>
        </w:rPr>
        <w:t>enable</w:t>
      </w:r>
      <w:proofErr w:type="gramEnd"/>
      <w:r>
        <w:rPr>
          <w:rStyle w:val="StrongEmphasis"/>
          <w:rFonts w:eastAsia="Times New Roman" w:cs="Calibri"/>
        </w:rPr>
        <w:t xml:space="preserve"> integration with third-party healthcare systems and analytics platforms</w:t>
      </w:r>
      <w:r>
        <w:rPr>
          <w:rFonts w:eastAsia="Times New Roman" w:cs="Calibri"/>
        </w:rPr>
        <w:t>.</w:t>
      </w:r>
    </w:p>
    <w:p w14:paraId="5EE790CE" w14:textId="77777777" w:rsidR="00952181" w:rsidRDefault="00952181" w:rsidP="00952181">
      <w:pPr>
        <w:pStyle w:val="ListParagraph"/>
        <w:numPr>
          <w:ilvl w:val="0"/>
          <w:numId w:val="1"/>
        </w:numPr>
        <w:spacing w:before="120" w:after="120"/>
        <w:contextualSpacing w:val="0"/>
      </w:pPr>
      <w:r>
        <w:rPr>
          <w:rFonts w:eastAsia="Times New Roman" w:cs="Calibri"/>
          <w:b/>
          <w:bCs/>
        </w:rPr>
        <w:t>Independence from External Web Services</w:t>
      </w:r>
    </w:p>
    <w:p w14:paraId="74AB2A3D" w14:textId="77777777" w:rsidR="00952181" w:rsidRDefault="00952181" w:rsidP="00952181">
      <w:pPr>
        <w:pStyle w:val="ListParagraph"/>
        <w:spacing w:before="120" w:after="120"/>
        <w:contextualSpacing w:val="0"/>
      </w:pPr>
      <w:r>
        <w:rPr>
          <w:rFonts w:eastAsia="Times New Roman" w:cs="Calibri"/>
        </w:rPr>
        <w:t xml:space="preserve">The solution can operate </w:t>
      </w:r>
      <w:r>
        <w:rPr>
          <w:rStyle w:val="StrongEmphasis"/>
          <w:rFonts w:eastAsia="Times New Roman" w:cs="Calibri"/>
        </w:rPr>
        <w:t>fully within hospital-controlled infrastructure</w:t>
      </w:r>
      <w:r>
        <w:rPr>
          <w:rFonts w:eastAsia="Times New Roman" w:cs="Calibri"/>
        </w:rPr>
        <w:t>, without reliance on external third-party web services, ensuring reliability, data sovereignty, and compliance with healthcare data governance policies.</w:t>
      </w:r>
    </w:p>
    <w:p w14:paraId="65806C94" w14:textId="77777777" w:rsidR="00952181" w:rsidRDefault="00952181" w:rsidP="00952181">
      <w:pPr>
        <w:pStyle w:val="ListParagraph"/>
        <w:numPr>
          <w:ilvl w:val="0"/>
          <w:numId w:val="1"/>
        </w:numPr>
        <w:spacing w:before="120" w:after="120"/>
        <w:contextualSpacing w:val="0"/>
      </w:pPr>
      <w:r>
        <w:rPr>
          <w:rFonts w:eastAsia="Times New Roman" w:cs="Calibri"/>
          <w:b/>
          <w:bCs/>
        </w:rPr>
        <w:t>Flexible Deployment Models</w:t>
      </w:r>
    </w:p>
    <w:p w14:paraId="0AD264E0" w14:textId="77777777" w:rsidR="00952181" w:rsidRDefault="00952181" w:rsidP="00952181">
      <w:pPr>
        <w:pStyle w:val="ListParagraph"/>
        <w:spacing w:before="120" w:after="120"/>
        <w:contextualSpacing w:val="0"/>
      </w:pPr>
      <w:r>
        <w:rPr>
          <w:rFonts w:eastAsia="Times New Roman" w:cs="Calibri"/>
        </w:rPr>
        <w:t xml:space="preserve">The platform supports </w:t>
      </w:r>
      <w:proofErr w:type="gramStart"/>
      <w:r>
        <w:rPr>
          <w:rStyle w:val="StrongEmphasis"/>
          <w:rFonts w:eastAsia="Times New Roman" w:cs="Calibri"/>
        </w:rPr>
        <w:t>on-premise</w:t>
      </w:r>
      <w:proofErr w:type="gramEnd"/>
      <w:r>
        <w:rPr>
          <w:rStyle w:val="StrongEmphasis"/>
          <w:rFonts w:eastAsia="Times New Roman" w:cs="Calibri"/>
        </w:rPr>
        <w:t>, cloud-based, or hybrid deployment models</w:t>
      </w:r>
      <w:r>
        <w:rPr>
          <w:rFonts w:eastAsia="Times New Roman" w:cs="Calibri"/>
        </w:rPr>
        <w:t>, allowing healthcare organizations to adopt the solution in alignment with their existing infrastructure and cybersecurity policies.</w:t>
      </w:r>
    </w:p>
    <w:p w14:paraId="4474A98F" w14:textId="77777777" w:rsidR="00952181" w:rsidRDefault="00952181" w:rsidP="00952181">
      <w:pPr>
        <w:pStyle w:val="ListParagraph"/>
        <w:spacing w:before="202" w:after="0" w:line="240" w:lineRule="auto"/>
        <w:contextualSpacing w:val="0"/>
        <w:rPr>
          <w:rFonts w:eastAsia="Times New Roman" w:cs="Calibri"/>
        </w:rPr>
      </w:pPr>
    </w:p>
    <w:p w14:paraId="4A99B807" w14:textId="77777777" w:rsidR="00952181" w:rsidRDefault="00952181" w:rsidP="00952181">
      <w:pPr>
        <w:pStyle w:val="ListParagraph"/>
        <w:spacing w:before="202" w:after="0" w:line="240" w:lineRule="auto"/>
        <w:contextualSpacing w:val="0"/>
        <w:rPr>
          <w:rFonts w:eastAsia="Times New Roman" w:cs="Calibri"/>
        </w:rPr>
      </w:pPr>
    </w:p>
    <w:p w14:paraId="0635BFA9" w14:textId="77777777" w:rsidR="00952181" w:rsidRDefault="00952181" w:rsidP="00952181">
      <w:pPr>
        <w:pStyle w:val="Heading3"/>
        <w:numPr>
          <w:ilvl w:val="2"/>
          <w:numId w:val="0"/>
        </w:numPr>
        <w:pBdr>
          <w:top w:val="single" w:sz="6" w:space="2" w:color="4F81BD"/>
          <w:left w:val="single" w:sz="6" w:space="2" w:color="4F81BD"/>
        </w:pBdr>
        <w:tabs>
          <w:tab w:val="num" w:pos="360"/>
        </w:tabs>
        <w:spacing w:before="202" w:after="0" w:line="360" w:lineRule="auto"/>
      </w:pPr>
      <w:bookmarkStart w:id="5" w:name="_Toc223717346"/>
      <w:r>
        <w:rPr>
          <w:sz w:val="24"/>
          <w:lang w:bidi="en-US"/>
        </w:rPr>
        <w:t>System Features and Advantages</w:t>
      </w:r>
      <w:bookmarkEnd w:id="5"/>
    </w:p>
    <w:p w14:paraId="57066513" w14:textId="77777777" w:rsidR="00952181" w:rsidRDefault="00952181" w:rsidP="00952181">
      <w:pPr>
        <w:pStyle w:val="BodyText"/>
      </w:pPr>
      <w:r>
        <w:t xml:space="preserve">The overall architecture of the </w:t>
      </w:r>
      <w:proofErr w:type="spellStart"/>
      <w:r>
        <w:t>TeleICU</w:t>
      </w:r>
      <w:proofErr w:type="spellEnd"/>
      <w:r>
        <w:t xml:space="preserve"> solution, including the data flow from bedside medical devices to the centralized monitoring platform, is illustrated in </w:t>
      </w:r>
      <w:r>
        <w:rPr>
          <w:rStyle w:val="StrongEmphasis"/>
        </w:rPr>
        <w:t xml:space="preserve">Figure 1 – End-to-End </w:t>
      </w:r>
      <w:proofErr w:type="spellStart"/>
      <w:r>
        <w:rPr>
          <w:rStyle w:val="StrongEmphasis"/>
        </w:rPr>
        <w:t>TeleICU</w:t>
      </w:r>
      <w:proofErr w:type="spellEnd"/>
      <w:r>
        <w:rPr>
          <w:rStyle w:val="StrongEmphasis"/>
        </w:rPr>
        <w:t xml:space="preserve"> Architecture</w:t>
      </w:r>
      <w:r>
        <w:t>.</w:t>
      </w:r>
    </w:p>
    <w:p w14:paraId="2B6069F6" w14:textId="77777777" w:rsidR="00952181" w:rsidRDefault="00952181" w:rsidP="00952181">
      <w:pPr>
        <w:spacing w:before="0" w:after="0" w:line="240" w:lineRule="auto"/>
      </w:pPr>
      <w:r>
        <w:rPr>
          <w:noProof/>
        </w:rPr>
        <w:lastRenderedPageBreak/>
        <w:drawing>
          <wp:anchor distT="0" distB="0" distL="0" distR="0" simplePos="0" relativeHeight="251659264" behindDoc="0" locked="0" layoutInCell="0" allowOverlap="1" wp14:anchorId="5CE36245" wp14:editId="1A3DD433">
            <wp:simplePos x="0" y="0"/>
            <wp:positionH relativeFrom="margin">
              <wp:posOffset>19481</wp:posOffset>
            </wp:positionH>
            <wp:positionV relativeFrom="paragraph">
              <wp:posOffset>403505</wp:posOffset>
            </wp:positionV>
            <wp:extent cx="5716905" cy="5716905"/>
            <wp:effectExtent l="171450" t="171450" r="169545" b="169545"/>
            <wp:wrapSquare wrapText="largest"/>
            <wp:docPr id="6"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7"/>
                    <pic:cNvPicPr>
                      <a:picLocks noChangeAspect="1" noChangeArrowheads="1"/>
                    </pic:cNvPicPr>
                  </pic:nvPicPr>
                  <pic:blipFill>
                    <a:blip r:embed="rId5"/>
                    <a:stretch>
                      <a:fillRect/>
                    </a:stretch>
                  </pic:blipFill>
                  <pic:spPr bwMode="auto">
                    <a:xfrm>
                      <a:off x="0" y="0"/>
                      <a:ext cx="5716905" cy="571690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margin">
              <wp14:pctWidth>0</wp14:pctWidth>
            </wp14:sizeRelH>
            <wp14:sizeRelV relativeFrom="margin">
              <wp14:pctHeight>0</wp14:pctHeight>
            </wp14:sizeRelV>
          </wp:anchor>
        </w:drawing>
      </w:r>
      <w:r>
        <w:br w:type="page"/>
      </w:r>
    </w:p>
    <w:tbl>
      <w:tblPr>
        <w:tblW w:w="5000" w:type="pct"/>
        <w:tblLayout w:type="fixed"/>
        <w:tblLook w:val="04A0" w:firstRow="1" w:lastRow="0" w:firstColumn="1" w:lastColumn="0" w:noHBand="0" w:noVBand="1"/>
      </w:tblPr>
      <w:tblGrid>
        <w:gridCol w:w="484"/>
        <w:gridCol w:w="8532"/>
      </w:tblGrid>
      <w:tr w:rsidR="00952181" w14:paraId="6FBC77FA" w14:textId="77777777" w:rsidTr="00BB73E7">
        <w:trPr>
          <w:trHeight w:val="375"/>
        </w:trPr>
        <w:tc>
          <w:tcPr>
            <w:tcW w:w="8296" w:type="dxa"/>
            <w:gridSpan w:val="2"/>
            <w:tcBorders>
              <w:top w:val="single" w:sz="4" w:space="0" w:color="000000"/>
              <w:left w:val="single" w:sz="4" w:space="0" w:color="000000"/>
              <w:bottom w:val="single" w:sz="4" w:space="0" w:color="000000"/>
              <w:right w:val="single" w:sz="4" w:space="0" w:color="000000"/>
            </w:tcBorders>
            <w:shd w:val="clear" w:color="000000" w:fill="1F497D"/>
            <w:vAlign w:val="center"/>
          </w:tcPr>
          <w:p w14:paraId="2CCDD6F6" w14:textId="77777777" w:rsidR="00952181" w:rsidRDefault="00952181" w:rsidP="00BB73E7">
            <w:pPr>
              <w:widowControl w:val="0"/>
              <w:suppressAutoHyphens w:val="0"/>
              <w:spacing w:before="202" w:after="0"/>
              <w:jc w:val="center"/>
            </w:pPr>
            <w:proofErr w:type="spellStart"/>
            <w:r>
              <w:rPr>
                <w:rFonts w:eastAsia="Times New Roman" w:cs="Calibri"/>
                <w:b/>
                <w:bCs/>
                <w:color w:val="FFFFFF"/>
                <w:sz w:val="28"/>
                <w:szCs w:val="28"/>
                <w:lang w:bidi="ar-SA"/>
              </w:rPr>
              <w:lastRenderedPageBreak/>
              <w:t>TeleICU</w:t>
            </w:r>
            <w:proofErr w:type="spellEnd"/>
            <w:r>
              <w:rPr>
                <w:rFonts w:eastAsia="Times New Roman" w:cs="Calibri"/>
                <w:b/>
                <w:bCs/>
                <w:color w:val="FFFFFF"/>
                <w:sz w:val="28"/>
                <w:szCs w:val="28"/>
                <w:lang w:bidi="ar-SA"/>
              </w:rPr>
              <w:t xml:space="preserve"> Solution Functional Capabilities</w:t>
            </w:r>
          </w:p>
        </w:tc>
      </w:tr>
      <w:tr w:rsidR="00952181" w14:paraId="51266502" w14:textId="77777777" w:rsidTr="00BB73E7">
        <w:trPr>
          <w:trHeight w:val="300"/>
        </w:trPr>
        <w:tc>
          <w:tcPr>
            <w:tcW w:w="445" w:type="dxa"/>
            <w:tcBorders>
              <w:left w:val="single" w:sz="4" w:space="0" w:color="000000"/>
              <w:bottom w:val="single" w:sz="4" w:space="0" w:color="000000"/>
              <w:right w:val="single" w:sz="4" w:space="0" w:color="000000"/>
            </w:tcBorders>
            <w:shd w:val="clear" w:color="000000" w:fill="DCE6F1"/>
            <w:vAlign w:val="center"/>
          </w:tcPr>
          <w:p w14:paraId="2C539F24" w14:textId="77777777" w:rsidR="00952181" w:rsidRDefault="00952181" w:rsidP="00BB73E7">
            <w:pPr>
              <w:widowControl w:val="0"/>
              <w:suppressAutoHyphens w:val="0"/>
              <w:spacing w:before="0" w:after="0"/>
              <w:jc w:val="center"/>
            </w:pPr>
            <w:r>
              <w:rPr>
                <w:rFonts w:eastAsia="Times New Roman" w:cs="Calibri"/>
                <w:b/>
                <w:bCs/>
                <w:color w:val="000000"/>
                <w:sz w:val="22"/>
                <w:szCs w:val="22"/>
                <w:lang w:bidi="ar-SA"/>
              </w:rPr>
              <w:t>#</w:t>
            </w:r>
          </w:p>
        </w:tc>
        <w:tc>
          <w:tcPr>
            <w:tcW w:w="7851" w:type="dxa"/>
            <w:tcBorders>
              <w:bottom w:val="single" w:sz="4" w:space="0" w:color="000000"/>
              <w:right w:val="single" w:sz="4" w:space="0" w:color="000000"/>
            </w:tcBorders>
            <w:shd w:val="clear" w:color="000000" w:fill="DCE6F1"/>
            <w:vAlign w:val="center"/>
          </w:tcPr>
          <w:p w14:paraId="1F0D0285" w14:textId="77777777" w:rsidR="00952181" w:rsidRDefault="00952181" w:rsidP="00BB73E7">
            <w:pPr>
              <w:widowControl w:val="0"/>
              <w:suppressAutoHyphens w:val="0"/>
              <w:spacing w:before="0" w:after="0"/>
              <w:jc w:val="center"/>
            </w:pPr>
            <w:r>
              <w:rPr>
                <w:rFonts w:eastAsia="Times New Roman" w:cs="Calibri"/>
                <w:b/>
                <w:bCs/>
                <w:color w:val="000000"/>
                <w:sz w:val="22"/>
                <w:szCs w:val="22"/>
                <w:lang w:bidi="ar-SA"/>
              </w:rPr>
              <w:t>Specification</w:t>
            </w:r>
          </w:p>
        </w:tc>
      </w:tr>
      <w:tr w:rsidR="00952181" w14:paraId="259F2782" w14:textId="77777777" w:rsidTr="00BB73E7">
        <w:trPr>
          <w:trHeight w:val="600"/>
        </w:trPr>
        <w:tc>
          <w:tcPr>
            <w:tcW w:w="445" w:type="dxa"/>
            <w:tcBorders>
              <w:left w:val="single" w:sz="4" w:space="0" w:color="000000"/>
              <w:bottom w:val="single" w:sz="4" w:space="0" w:color="000000"/>
              <w:right w:val="single" w:sz="4" w:space="0" w:color="000000"/>
            </w:tcBorders>
            <w:vAlign w:val="center"/>
          </w:tcPr>
          <w:p w14:paraId="48FDDC83" w14:textId="77777777" w:rsidR="00952181" w:rsidRDefault="00952181" w:rsidP="00BB73E7">
            <w:pPr>
              <w:widowControl w:val="0"/>
              <w:suppressAutoHyphens w:val="0"/>
              <w:spacing w:before="202" w:after="0"/>
              <w:jc w:val="center"/>
            </w:pPr>
            <w:r>
              <w:rPr>
                <w:rFonts w:eastAsia="Times New Roman" w:cs="Calibri"/>
                <w:color w:val="000000"/>
                <w:sz w:val="22"/>
                <w:szCs w:val="22"/>
                <w:lang w:bidi="ar-SA"/>
              </w:rPr>
              <w:t>1</w:t>
            </w:r>
          </w:p>
        </w:tc>
        <w:tc>
          <w:tcPr>
            <w:tcW w:w="7851" w:type="dxa"/>
            <w:tcBorders>
              <w:bottom w:val="single" w:sz="4" w:space="0" w:color="000000"/>
              <w:right w:val="single" w:sz="4" w:space="0" w:color="000000"/>
            </w:tcBorders>
            <w:vAlign w:val="center"/>
          </w:tcPr>
          <w:p w14:paraId="4E015ED0" w14:textId="77777777" w:rsidR="00952181" w:rsidRDefault="00952181" w:rsidP="00BB73E7">
            <w:pPr>
              <w:widowControl w:val="0"/>
              <w:suppressAutoHyphens w:val="0"/>
              <w:spacing w:before="202" w:after="0"/>
            </w:pPr>
            <w:r>
              <w:rPr>
                <w:rStyle w:val="StrongEmphasis"/>
                <w:rFonts w:eastAsia="Times New Roman" w:cs="Calibri"/>
                <w:color w:val="000000"/>
                <w:sz w:val="22"/>
                <w:szCs w:val="22"/>
                <w:lang w:bidi="ar-SA"/>
              </w:rPr>
              <w:t>Critical Bed Connectivity:</w:t>
            </w:r>
            <w:r>
              <w:rPr>
                <w:rFonts w:eastAsia="Times New Roman" w:cs="Calibri"/>
                <w:color w:val="000000"/>
                <w:sz w:val="22"/>
                <w:szCs w:val="22"/>
                <w:lang w:bidi="ar-SA"/>
              </w:rPr>
              <w:t xml:space="preserve"> ICU beds across participating hospitals are connected to the </w:t>
            </w:r>
            <w:proofErr w:type="spellStart"/>
            <w:r>
              <w:rPr>
                <w:rFonts w:eastAsia="Times New Roman" w:cs="Calibri"/>
                <w:color w:val="000000"/>
                <w:sz w:val="22"/>
                <w:szCs w:val="22"/>
                <w:lang w:bidi="ar-SA"/>
              </w:rPr>
              <w:t>TeleICU</w:t>
            </w:r>
            <w:proofErr w:type="spellEnd"/>
            <w:r>
              <w:rPr>
                <w:rFonts w:eastAsia="Times New Roman" w:cs="Calibri"/>
                <w:color w:val="000000"/>
                <w:sz w:val="22"/>
                <w:szCs w:val="22"/>
                <w:lang w:bidi="ar-SA"/>
              </w:rPr>
              <w:t xml:space="preserve"> platform through secure hospital network infrastructure, enabling centralized monitoring and data aggregation.</w:t>
            </w:r>
          </w:p>
        </w:tc>
      </w:tr>
      <w:tr w:rsidR="00952181" w14:paraId="5A964211" w14:textId="77777777" w:rsidTr="00BB73E7">
        <w:trPr>
          <w:trHeight w:val="600"/>
        </w:trPr>
        <w:tc>
          <w:tcPr>
            <w:tcW w:w="445" w:type="dxa"/>
            <w:tcBorders>
              <w:left w:val="single" w:sz="4" w:space="0" w:color="000000"/>
              <w:bottom w:val="single" w:sz="4" w:space="0" w:color="000000"/>
              <w:right w:val="single" w:sz="4" w:space="0" w:color="000000"/>
            </w:tcBorders>
            <w:vAlign w:val="center"/>
          </w:tcPr>
          <w:p w14:paraId="65BB66D0" w14:textId="77777777" w:rsidR="00952181" w:rsidRDefault="00952181" w:rsidP="00BB73E7">
            <w:pPr>
              <w:widowControl w:val="0"/>
              <w:suppressAutoHyphens w:val="0"/>
              <w:spacing w:before="202" w:after="0"/>
              <w:jc w:val="center"/>
            </w:pPr>
            <w:r>
              <w:rPr>
                <w:rFonts w:eastAsia="Times New Roman" w:cs="Calibri"/>
                <w:color w:val="000000"/>
                <w:sz w:val="22"/>
                <w:szCs w:val="22"/>
                <w:lang w:bidi="ar-SA"/>
              </w:rPr>
              <w:t>2</w:t>
            </w:r>
          </w:p>
        </w:tc>
        <w:tc>
          <w:tcPr>
            <w:tcW w:w="7851" w:type="dxa"/>
            <w:tcBorders>
              <w:bottom w:val="single" w:sz="4" w:space="0" w:color="000000"/>
              <w:right w:val="single" w:sz="4" w:space="0" w:color="000000"/>
            </w:tcBorders>
            <w:vAlign w:val="center"/>
          </w:tcPr>
          <w:p w14:paraId="6164296E" w14:textId="77777777" w:rsidR="00952181" w:rsidRDefault="00952181" w:rsidP="00BB73E7">
            <w:pPr>
              <w:widowControl w:val="0"/>
              <w:suppressAutoHyphens w:val="0"/>
              <w:spacing w:before="202" w:after="0"/>
            </w:pPr>
            <w:r>
              <w:rPr>
                <w:rStyle w:val="StrongEmphasis"/>
                <w:rFonts w:eastAsia="Times New Roman" w:cs="Calibri"/>
                <w:color w:val="000000"/>
                <w:sz w:val="22"/>
                <w:szCs w:val="22"/>
                <w:lang w:bidi="ar-SA"/>
              </w:rPr>
              <w:t>Real-Time Physiological Data Transmission:</w:t>
            </w:r>
            <w:r>
              <w:rPr>
                <w:rFonts w:eastAsia="Times New Roman" w:cs="Calibri"/>
                <w:color w:val="000000"/>
                <w:sz w:val="22"/>
                <w:szCs w:val="22"/>
                <w:lang w:bidi="ar-SA"/>
              </w:rPr>
              <w:t xml:space="preserve"> The system collects and transmits patient physiological data in real time, including vital signs, ventilator parameters, infusion pump data, and other device measurements from supported bedside medical devices.</w:t>
            </w:r>
          </w:p>
        </w:tc>
      </w:tr>
      <w:tr w:rsidR="00952181" w14:paraId="4BEDED46" w14:textId="77777777" w:rsidTr="00BB73E7">
        <w:trPr>
          <w:trHeight w:val="900"/>
        </w:trPr>
        <w:tc>
          <w:tcPr>
            <w:tcW w:w="445" w:type="dxa"/>
            <w:tcBorders>
              <w:left w:val="single" w:sz="4" w:space="0" w:color="000000"/>
              <w:bottom w:val="single" w:sz="4" w:space="0" w:color="000000"/>
              <w:right w:val="single" w:sz="4" w:space="0" w:color="000000"/>
            </w:tcBorders>
            <w:vAlign w:val="center"/>
          </w:tcPr>
          <w:p w14:paraId="51716F99" w14:textId="77777777" w:rsidR="00952181" w:rsidRDefault="00952181" w:rsidP="00BB73E7">
            <w:pPr>
              <w:widowControl w:val="0"/>
              <w:suppressAutoHyphens w:val="0"/>
              <w:spacing w:before="202" w:after="0"/>
              <w:jc w:val="center"/>
            </w:pPr>
            <w:r>
              <w:rPr>
                <w:rFonts w:eastAsia="Times New Roman" w:cs="Calibri"/>
                <w:color w:val="000000"/>
                <w:sz w:val="22"/>
                <w:szCs w:val="22"/>
                <w:lang w:bidi="ar-SA"/>
              </w:rPr>
              <w:t>3</w:t>
            </w:r>
          </w:p>
        </w:tc>
        <w:tc>
          <w:tcPr>
            <w:tcW w:w="7851" w:type="dxa"/>
            <w:tcBorders>
              <w:bottom w:val="single" w:sz="4" w:space="0" w:color="000000"/>
              <w:right w:val="single" w:sz="4" w:space="0" w:color="000000"/>
            </w:tcBorders>
            <w:vAlign w:val="center"/>
          </w:tcPr>
          <w:p w14:paraId="07D3303B" w14:textId="77777777" w:rsidR="00952181" w:rsidRDefault="00952181" w:rsidP="00BB73E7">
            <w:pPr>
              <w:widowControl w:val="0"/>
              <w:suppressAutoHyphens w:val="0"/>
              <w:spacing w:before="202" w:after="0"/>
            </w:pPr>
            <w:r>
              <w:rPr>
                <w:rStyle w:val="StrongEmphasis"/>
                <w:rFonts w:eastAsia="Times New Roman" w:cs="Calibri"/>
                <w:color w:val="000000"/>
                <w:sz w:val="22"/>
                <w:szCs w:val="22"/>
                <w:lang w:bidi="ar-SA"/>
              </w:rPr>
              <w:t>IP Camera Support for Remote Consultation:</w:t>
            </w:r>
            <w:r>
              <w:rPr>
                <w:rFonts w:eastAsia="Times New Roman" w:cs="Calibri"/>
                <w:color w:val="000000"/>
                <w:sz w:val="22"/>
                <w:szCs w:val="22"/>
                <w:lang w:bidi="ar-SA"/>
              </w:rPr>
              <w:t xml:space="preserve"> Each ICU or NICU bed can optionally integrate one or more IP cameras for remote visualization and teleconsultation. The system supports standard IP camera protocols such as JPEG and MJPEG video streams with configurable resolution and image size.</w:t>
            </w:r>
          </w:p>
        </w:tc>
      </w:tr>
      <w:tr w:rsidR="00952181" w14:paraId="1FA32541" w14:textId="77777777" w:rsidTr="00BB73E7">
        <w:trPr>
          <w:trHeight w:val="600"/>
        </w:trPr>
        <w:tc>
          <w:tcPr>
            <w:tcW w:w="445" w:type="dxa"/>
            <w:tcBorders>
              <w:left w:val="single" w:sz="4" w:space="0" w:color="000000"/>
              <w:bottom w:val="single" w:sz="4" w:space="0" w:color="000000"/>
              <w:right w:val="single" w:sz="4" w:space="0" w:color="000000"/>
            </w:tcBorders>
            <w:vAlign w:val="center"/>
          </w:tcPr>
          <w:p w14:paraId="01B465DC" w14:textId="77777777" w:rsidR="00952181" w:rsidRDefault="00952181" w:rsidP="00BB73E7">
            <w:pPr>
              <w:widowControl w:val="0"/>
              <w:suppressAutoHyphens w:val="0"/>
              <w:spacing w:before="202" w:after="0"/>
              <w:jc w:val="center"/>
            </w:pPr>
            <w:r>
              <w:rPr>
                <w:rFonts w:eastAsia="Times New Roman" w:cs="Calibri"/>
                <w:color w:val="000000"/>
                <w:sz w:val="22"/>
                <w:szCs w:val="22"/>
                <w:lang w:bidi="ar-SA"/>
              </w:rPr>
              <w:t>4</w:t>
            </w:r>
          </w:p>
        </w:tc>
        <w:tc>
          <w:tcPr>
            <w:tcW w:w="7851" w:type="dxa"/>
            <w:tcBorders>
              <w:bottom w:val="single" w:sz="4" w:space="0" w:color="000000"/>
              <w:right w:val="single" w:sz="4" w:space="0" w:color="000000"/>
            </w:tcBorders>
            <w:vAlign w:val="center"/>
          </w:tcPr>
          <w:p w14:paraId="00B44AB8" w14:textId="77777777" w:rsidR="00952181" w:rsidRDefault="00952181" w:rsidP="00BB73E7">
            <w:pPr>
              <w:widowControl w:val="0"/>
              <w:suppressAutoHyphens w:val="0"/>
              <w:spacing w:before="202" w:after="0"/>
            </w:pPr>
            <w:r>
              <w:rPr>
                <w:rStyle w:val="StrongEmphasis"/>
                <w:rFonts w:eastAsia="Times New Roman" w:cs="Calibri"/>
                <w:color w:val="000000"/>
                <w:sz w:val="22"/>
                <w:szCs w:val="22"/>
                <w:lang w:bidi="ar-SA"/>
              </w:rPr>
              <w:t>Synchronized Multi-Device Monitoring:</w:t>
            </w:r>
            <w:r>
              <w:rPr>
                <w:rFonts w:eastAsia="Times New Roman" w:cs="Calibri"/>
                <w:color w:val="000000"/>
                <w:sz w:val="22"/>
                <w:szCs w:val="22"/>
                <w:lang w:bidi="ar-SA"/>
              </w:rPr>
              <w:t xml:space="preserve"> The platform synchronizes real-time medical device data, waveforms, and video streams from multiple sources including patient monitors, ventilators, infusion pumps, and other supported devices.</w:t>
            </w:r>
          </w:p>
        </w:tc>
      </w:tr>
      <w:tr w:rsidR="00952181" w14:paraId="2E0D0C8B" w14:textId="77777777" w:rsidTr="00BB73E7">
        <w:trPr>
          <w:trHeight w:val="600"/>
        </w:trPr>
        <w:tc>
          <w:tcPr>
            <w:tcW w:w="445" w:type="dxa"/>
            <w:tcBorders>
              <w:left w:val="single" w:sz="4" w:space="0" w:color="000000"/>
              <w:bottom w:val="single" w:sz="4" w:space="0" w:color="000000"/>
              <w:right w:val="single" w:sz="4" w:space="0" w:color="000000"/>
            </w:tcBorders>
            <w:vAlign w:val="center"/>
          </w:tcPr>
          <w:p w14:paraId="50D8DFC2" w14:textId="77777777" w:rsidR="00952181" w:rsidRDefault="00952181" w:rsidP="00BB73E7">
            <w:pPr>
              <w:widowControl w:val="0"/>
              <w:suppressAutoHyphens w:val="0"/>
              <w:spacing w:before="202" w:after="0"/>
              <w:jc w:val="center"/>
            </w:pPr>
            <w:r>
              <w:rPr>
                <w:rFonts w:eastAsia="Times New Roman" w:cs="Calibri"/>
                <w:color w:val="000000"/>
                <w:sz w:val="22"/>
                <w:szCs w:val="22"/>
                <w:lang w:bidi="ar-SA"/>
              </w:rPr>
              <w:t>5</w:t>
            </w:r>
          </w:p>
        </w:tc>
        <w:tc>
          <w:tcPr>
            <w:tcW w:w="7851" w:type="dxa"/>
            <w:tcBorders>
              <w:bottom w:val="single" w:sz="4" w:space="0" w:color="000000"/>
              <w:right w:val="single" w:sz="4" w:space="0" w:color="000000"/>
            </w:tcBorders>
            <w:vAlign w:val="center"/>
          </w:tcPr>
          <w:p w14:paraId="2B0D0888" w14:textId="77777777" w:rsidR="00952181" w:rsidRDefault="00952181" w:rsidP="00BB73E7">
            <w:pPr>
              <w:widowControl w:val="0"/>
              <w:suppressAutoHyphens w:val="0"/>
              <w:spacing w:before="202" w:after="0"/>
            </w:pPr>
            <w:r>
              <w:rPr>
                <w:rStyle w:val="StrongEmphasis"/>
                <w:rFonts w:eastAsia="Times New Roman" w:cs="Calibri"/>
                <w:color w:val="000000"/>
                <w:sz w:val="22"/>
                <w:szCs w:val="22"/>
                <w:lang w:bidi="ar-SA"/>
              </w:rPr>
              <w:t>Multi-Vendor Device Integration:</w:t>
            </w:r>
            <w:r>
              <w:rPr>
                <w:rFonts w:eastAsia="Times New Roman" w:cs="Calibri"/>
                <w:color w:val="000000"/>
                <w:sz w:val="22"/>
                <w:szCs w:val="22"/>
                <w:lang w:bidi="ar-SA"/>
              </w:rPr>
              <w:t xml:space="preserve"> The system supports simultaneous integration of medical devices from multiple manufacturers, including patient monitors, ventilators, and infusion pumps.</w:t>
            </w:r>
          </w:p>
        </w:tc>
      </w:tr>
      <w:tr w:rsidR="00952181" w14:paraId="19923665" w14:textId="77777777" w:rsidTr="00BB73E7">
        <w:trPr>
          <w:trHeight w:val="900"/>
        </w:trPr>
        <w:tc>
          <w:tcPr>
            <w:tcW w:w="445" w:type="dxa"/>
            <w:tcBorders>
              <w:left w:val="single" w:sz="4" w:space="0" w:color="000000"/>
              <w:bottom w:val="single" w:sz="4" w:space="0" w:color="000000"/>
              <w:right w:val="single" w:sz="4" w:space="0" w:color="000000"/>
            </w:tcBorders>
            <w:vAlign w:val="center"/>
          </w:tcPr>
          <w:p w14:paraId="45A700BF" w14:textId="77777777" w:rsidR="00952181" w:rsidRDefault="00952181" w:rsidP="00BB73E7">
            <w:pPr>
              <w:widowControl w:val="0"/>
              <w:suppressAutoHyphens w:val="0"/>
              <w:spacing w:before="202" w:after="0"/>
              <w:jc w:val="center"/>
            </w:pPr>
            <w:r>
              <w:rPr>
                <w:rFonts w:eastAsia="Times New Roman" w:cs="Calibri"/>
                <w:color w:val="000000"/>
                <w:sz w:val="22"/>
                <w:szCs w:val="22"/>
                <w:lang w:bidi="ar-SA"/>
              </w:rPr>
              <w:t>6</w:t>
            </w:r>
          </w:p>
        </w:tc>
        <w:tc>
          <w:tcPr>
            <w:tcW w:w="7851" w:type="dxa"/>
            <w:tcBorders>
              <w:bottom w:val="single" w:sz="4" w:space="0" w:color="000000"/>
              <w:right w:val="single" w:sz="4" w:space="0" w:color="000000"/>
            </w:tcBorders>
            <w:vAlign w:val="center"/>
          </w:tcPr>
          <w:p w14:paraId="32D46778" w14:textId="77777777" w:rsidR="00952181" w:rsidRDefault="00952181" w:rsidP="00BB73E7">
            <w:pPr>
              <w:widowControl w:val="0"/>
              <w:suppressAutoHyphens w:val="0"/>
              <w:spacing w:before="202" w:after="0"/>
            </w:pPr>
            <w:r>
              <w:rPr>
                <w:rStyle w:val="StrongEmphasis"/>
                <w:rFonts w:eastAsia="Times New Roman" w:cs="Calibri"/>
                <w:color w:val="000000"/>
                <w:sz w:val="22"/>
                <w:szCs w:val="22"/>
                <w:lang w:bidi="ar-SA"/>
              </w:rPr>
              <w:t>Automatic Respiratory Loop Visualization:</w:t>
            </w:r>
            <w:r>
              <w:rPr>
                <w:rFonts w:eastAsia="Times New Roman" w:cs="Calibri"/>
                <w:color w:val="000000"/>
                <w:sz w:val="22"/>
                <w:szCs w:val="22"/>
                <w:lang w:bidi="ar-SA"/>
              </w:rPr>
              <w:t xml:space="preserve"> When interfaced with compatible ventilators, the platform automatically generates clinical respiratory loops such as flow-volume and pressure-volume curves based on the available device data.</w:t>
            </w:r>
          </w:p>
        </w:tc>
      </w:tr>
      <w:tr w:rsidR="00952181" w14:paraId="2DEA3A99" w14:textId="77777777" w:rsidTr="00BB73E7">
        <w:trPr>
          <w:trHeight w:val="600"/>
        </w:trPr>
        <w:tc>
          <w:tcPr>
            <w:tcW w:w="445" w:type="dxa"/>
            <w:tcBorders>
              <w:left w:val="single" w:sz="4" w:space="0" w:color="000000"/>
              <w:bottom w:val="single" w:sz="4" w:space="0" w:color="000000"/>
              <w:right w:val="single" w:sz="4" w:space="0" w:color="000000"/>
            </w:tcBorders>
            <w:vAlign w:val="center"/>
          </w:tcPr>
          <w:p w14:paraId="193D8554" w14:textId="77777777" w:rsidR="00952181" w:rsidRDefault="00952181" w:rsidP="00BB73E7">
            <w:pPr>
              <w:widowControl w:val="0"/>
              <w:suppressAutoHyphens w:val="0"/>
              <w:spacing w:before="202" w:after="0"/>
              <w:jc w:val="center"/>
            </w:pPr>
            <w:r>
              <w:rPr>
                <w:rFonts w:eastAsia="Times New Roman" w:cs="Calibri"/>
                <w:color w:val="000000"/>
                <w:sz w:val="22"/>
                <w:szCs w:val="22"/>
                <w:lang w:bidi="ar-SA"/>
              </w:rPr>
              <w:t>7</w:t>
            </w:r>
          </w:p>
        </w:tc>
        <w:tc>
          <w:tcPr>
            <w:tcW w:w="7851" w:type="dxa"/>
            <w:tcBorders>
              <w:bottom w:val="single" w:sz="4" w:space="0" w:color="000000"/>
              <w:right w:val="single" w:sz="4" w:space="0" w:color="000000"/>
            </w:tcBorders>
            <w:vAlign w:val="center"/>
          </w:tcPr>
          <w:p w14:paraId="6830A9AD" w14:textId="77777777" w:rsidR="00952181" w:rsidRDefault="00952181" w:rsidP="00BB73E7">
            <w:pPr>
              <w:widowControl w:val="0"/>
              <w:suppressAutoHyphens w:val="0"/>
              <w:spacing w:before="202" w:after="0"/>
            </w:pPr>
            <w:r>
              <w:rPr>
                <w:rStyle w:val="StrongEmphasis"/>
                <w:rFonts w:eastAsia="Times New Roman" w:cs="Calibri"/>
                <w:color w:val="000000"/>
                <w:sz w:val="22"/>
                <w:szCs w:val="22"/>
                <w:lang w:bidi="ar-SA"/>
              </w:rPr>
              <w:t>Secure Web-Based Access:</w:t>
            </w:r>
            <w:r>
              <w:rPr>
                <w:rFonts w:eastAsia="Times New Roman" w:cs="Calibri"/>
                <w:color w:val="000000"/>
                <w:sz w:val="22"/>
                <w:szCs w:val="22"/>
                <w:lang w:bidi="ar-SA"/>
              </w:rPr>
              <w:t xml:space="preserve"> Authorized users can access patient monitoring dashboards, waveforms, and device data through a secure web-based interface using standard web browsers.</w:t>
            </w:r>
          </w:p>
        </w:tc>
      </w:tr>
      <w:tr w:rsidR="00952181" w14:paraId="0043EE64" w14:textId="77777777" w:rsidTr="00BB73E7">
        <w:trPr>
          <w:trHeight w:val="600"/>
        </w:trPr>
        <w:tc>
          <w:tcPr>
            <w:tcW w:w="445" w:type="dxa"/>
            <w:tcBorders>
              <w:left w:val="single" w:sz="4" w:space="0" w:color="000000"/>
              <w:bottom w:val="single" w:sz="4" w:space="0" w:color="000000"/>
              <w:right w:val="single" w:sz="4" w:space="0" w:color="000000"/>
            </w:tcBorders>
            <w:vAlign w:val="center"/>
          </w:tcPr>
          <w:p w14:paraId="0DD6D6E0" w14:textId="77777777" w:rsidR="00952181" w:rsidRDefault="00952181" w:rsidP="00BB73E7">
            <w:pPr>
              <w:widowControl w:val="0"/>
              <w:suppressAutoHyphens w:val="0"/>
              <w:spacing w:before="202" w:after="0"/>
              <w:jc w:val="center"/>
            </w:pPr>
            <w:r>
              <w:rPr>
                <w:rFonts w:eastAsia="Times New Roman" w:cs="Calibri"/>
                <w:color w:val="000000"/>
                <w:sz w:val="22"/>
                <w:szCs w:val="22"/>
                <w:lang w:bidi="ar-SA"/>
              </w:rPr>
              <w:t>8</w:t>
            </w:r>
          </w:p>
        </w:tc>
        <w:tc>
          <w:tcPr>
            <w:tcW w:w="7851" w:type="dxa"/>
            <w:tcBorders>
              <w:bottom w:val="single" w:sz="4" w:space="0" w:color="000000"/>
              <w:right w:val="single" w:sz="4" w:space="0" w:color="000000"/>
            </w:tcBorders>
            <w:vAlign w:val="center"/>
          </w:tcPr>
          <w:p w14:paraId="05FE1A4F" w14:textId="77777777" w:rsidR="00952181" w:rsidRDefault="00952181" w:rsidP="00BB73E7">
            <w:pPr>
              <w:widowControl w:val="0"/>
              <w:suppressAutoHyphens w:val="0"/>
              <w:spacing w:before="202" w:after="0"/>
            </w:pPr>
            <w:r>
              <w:rPr>
                <w:rStyle w:val="StrongEmphasis"/>
                <w:rFonts w:eastAsia="Times New Roman" w:cs="Calibri"/>
                <w:color w:val="000000"/>
                <w:sz w:val="22"/>
                <w:szCs w:val="22"/>
                <w:lang w:bidi="ar-SA"/>
              </w:rPr>
              <w:t>Remote Ventilator Monitoring:</w:t>
            </w:r>
            <w:r>
              <w:rPr>
                <w:rFonts w:eastAsia="Times New Roman" w:cs="Calibri"/>
                <w:color w:val="000000"/>
                <w:sz w:val="22"/>
                <w:szCs w:val="22"/>
                <w:lang w:bidi="ar-SA"/>
              </w:rPr>
              <w:t xml:space="preserve"> Ventilator modes, configuration parameters, and associated patient data can be viewed remotely without requiring direct bedside interaction.</w:t>
            </w:r>
          </w:p>
        </w:tc>
      </w:tr>
      <w:tr w:rsidR="00952181" w14:paraId="0AC1B98F" w14:textId="77777777" w:rsidTr="00BB73E7">
        <w:trPr>
          <w:trHeight w:val="600"/>
        </w:trPr>
        <w:tc>
          <w:tcPr>
            <w:tcW w:w="445" w:type="dxa"/>
            <w:tcBorders>
              <w:left w:val="single" w:sz="4" w:space="0" w:color="000000"/>
              <w:bottom w:val="single" w:sz="4" w:space="0" w:color="000000"/>
              <w:right w:val="single" w:sz="4" w:space="0" w:color="000000"/>
            </w:tcBorders>
            <w:vAlign w:val="center"/>
          </w:tcPr>
          <w:p w14:paraId="491D33D1" w14:textId="77777777" w:rsidR="00952181" w:rsidRDefault="00952181" w:rsidP="00BB73E7">
            <w:pPr>
              <w:widowControl w:val="0"/>
              <w:suppressAutoHyphens w:val="0"/>
              <w:spacing w:before="202" w:after="0"/>
              <w:jc w:val="center"/>
            </w:pPr>
            <w:r>
              <w:rPr>
                <w:rFonts w:eastAsia="Times New Roman" w:cs="Calibri"/>
                <w:color w:val="000000"/>
                <w:sz w:val="22"/>
                <w:szCs w:val="22"/>
                <w:lang w:bidi="ar-SA"/>
              </w:rPr>
              <w:t>9</w:t>
            </w:r>
          </w:p>
        </w:tc>
        <w:tc>
          <w:tcPr>
            <w:tcW w:w="7851" w:type="dxa"/>
            <w:tcBorders>
              <w:bottom w:val="single" w:sz="4" w:space="0" w:color="000000"/>
              <w:right w:val="single" w:sz="4" w:space="0" w:color="000000"/>
            </w:tcBorders>
            <w:vAlign w:val="center"/>
          </w:tcPr>
          <w:p w14:paraId="0059A954" w14:textId="77777777" w:rsidR="00952181" w:rsidRDefault="00952181" w:rsidP="00BB73E7">
            <w:pPr>
              <w:widowControl w:val="0"/>
              <w:suppressAutoHyphens w:val="0"/>
              <w:spacing w:before="202" w:after="0"/>
            </w:pPr>
            <w:r>
              <w:rPr>
                <w:rStyle w:val="StrongEmphasis"/>
                <w:rFonts w:eastAsia="Times New Roman" w:cs="Calibri"/>
                <w:color w:val="000000"/>
                <w:sz w:val="22"/>
                <w:szCs w:val="22"/>
                <w:lang w:bidi="ar-SA"/>
              </w:rPr>
              <w:t>Structured Vital Signs Visualization:</w:t>
            </w:r>
            <w:r>
              <w:rPr>
                <w:rFonts w:eastAsia="Times New Roman" w:cs="Calibri"/>
                <w:color w:val="000000"/>
                <w:sz w:val="22"/>
                <w:szCs w:val="22"/>
                <w:lang w:bidi="ar-SA"/>
              </w:rPr>
              <w:t xml:space="preserve"> The platform provides organized visualization of physiological parameters including systolic, diastolic, and mean blood pressure, heart rate, oxygen saturation, respiratory rate, mean arterial pressure, and body temperature.</w:t>
            </w:r>
          </w:p>
        </w:tc>
      </w:tr>
      <w:tr w:rsidR="00952181" w14:paraId="5335CE4F" w14:textId="77777777" w:rsidTr="00BB73E7">
        <w:trPr>
          <w:trHeight w:val="900"/>
        </w:trPr>
        <w:tc>
          <w:tcPr>
            <w:tcW w:w="445" w:type="dxa"/>
            <w:tcBorders>
              <w:left w:val="single" w:sz="4" w:space="0" w:color="000000"/>
              <w:bottom w:val="single" w:sz="4" w:space="0" w:color="000000"/>
              <w:right w:val="single" w:sz="4" w:space="0" w:color="000000"/>
            </w:tcBorders>
            <w:vAlign w:val="center"/>
          </w:tcPr>
          <w:p w14:paraId="44F865B6" w14:textId="77777777" w:rsidR="00952181" w:rsidRDefault="00952181" w:rsidP="00BB73E7">
            <w:pPr>
              <w:widowControl w:val="0"/>
              <w:suppressAutoHyphens w:val="0"/>
              <w:spacing w:before="202" w:after="0"/>
              <w:jc w:val="center"/>
            </w:pPr>
            <w:r>
              <w:rPr>
                <w:rFonts w:eastAsia="Times New Roman" w:cs="Calibri"/>
                <w:color w:val="000000"/>
                <w:sz w:val="22"/>
                <w:szCs w:val="22"/>
                <w:lang w:bidi="ar-SA"/>
              </w:rPr>
              <w:t>10</w:t>
            </w:r>
          </w:p>
        </w:tc>
        <w:tc>
          <w:tcPr>
            <w:tcW w:w="7851" w:type="dxa"/>
            <w:tcBorders>
              <w:bottom w:val="single" w:sz="4" w:space="0" w:color="000000"/>
              <w:right w:val="single" w:sz="4" w:space="0" w:color="000000"/>
            </w:tcBorders>
            <w:vAlign w:val="center"/>
          </w:tcPr>
          <w:p w14:paraId="0862D945" w14:textId="77777777" w:rsidR="00952181" w:rsidRDefault="00952181" w:rsidP="00BB73E7">
            <w:pPr>
              <w:widowControl w:val="0"/>
              <w:suppressAutoHyphens w:val="0"/>
              <w:spacing w:before="202" w:after="0"/>
            </w:pPr>
            <w:r>
              <w:rPr>
                <w:rStyle w:val="StrongEmphasis"/>
                <w:rFonts w:eastAsia="Times New Roman" w:cs="Calibri"/>
                <w:color w:val="000000"/>
                <w:sz w:val="22"/>
                <w:szCs w:val="22"/>
                <w:lang w:bidi="ar-SA"/>
              </w:rPr>
              <w:t>Correlation of Device Settings and Patient Physiology:</w:t>
            </w:r>
            <w:r>
              <w:rPr>
                <w:rFonts w:eastAsia="Times New Roman" w:cs="Calibri"/>
                <w:b/>
                <w:bCs/>
                <w:color w:val="000000"/>
                <w:sz w:val="22"/>
                <w:szCs w:val="22"/>
                <w:lang w:bidi="ar-SA"/>
              </w:rPr>
              <w:t xml:space="preserve"> </w:t>
            </w:r>
            <w:r>
              <w:rPr>
                <w:rFonts w:eastAsia="Times New Roman" w:cs="Calibri"/>
                <w:color w:val="000000"/>
                <w:sz w:val="22"/>
                <w:szCs w:val="22"/>
                <w:lang w:bidi="ar-SA"/>
              </w:rPr>
              <w:t>The system enables clinicians to compare ventilator settings with real-time physiological indicators such as heart rate, blood pressure, oxygen saturation, respiratory rate, and end-tidal CO₂.</w:t>
            </w:r>
          </w:p>
        </w:tc>
      </w:tr>
      <w:tr w:rsidR="00952181" w14:paraId="59E022AD" w14:textId="77777777" w:rsidTr="00BB73E7">
        <w:trPr>
          <w:trHeight w:val="300"/>
        </w:trPr>
        <w:tc>
          <w:tcPr>
            <w:tcW w:w="445" w:type="dxa"/>
            <w:tcBorders>
              <w:left w:val="single" w:sz="4" w:space="0" w:color="000000"/>
              <w:bottom w:val="single" w:sz="4" w:space="0" w:color="000000"/>
              <w:right w:val="single" w:sz="4" w:space="0" w:color="000000"/>
            </w:tcBorders>
            <w:vAlign w:val="center"/>
          </w:tcPr>
          <w:p w14:paraId="523886E9" w14:textId="77777777" w:rsidR="00952181" w:rsidRDefault="00952181" w:rsidP="00BB73E7">
            <w:pPr>
              <w:widowControl w:val="0"/>
              <w:suppressAutoHyphens w:val="0"/>
              <w:spacing w:before="202" w:after="0"/>
              <w:jc w:val="center"/>
            </w:pPr>
            <w:r>
              <w:rPr>
                <w:rFonts w:eastAsia="Times New Roman" w:cs="Calibri"/>
                <w:color w:val="000000"/>
                <w:sz w:val="22"/>
                <w:szCs w:val="22"/>
                <w:lang w:bidi="ar-SA"/>
              </w:rPr>
              <w:t>11</w:t>
            </w:r>
          </w:p>
        </w:tc>
        <w:tc>
          <w:tcPr>
            <w:tcW w:w="7851" w:type="dxa"/>
            <w:tcBorders>
              <w:bottom w:val="single" w:sz="4" w:space="0" w:color="000000"/>
              <w:right w:val="single" w:sz="4" w:space="0" w:color="000000"/>
            </w:tcBorders>
            <w:vAlign w:val="center"/>
          </w:tcPr>
          <w:p w14:paraId="5D9C8D28" w14:textId="77777777" w:rsidR="00952181" w:rsidRDefault="00952181" w:rsidP="00BB73E7">
            <w:pPr>
              <w:widowControl w:val="0"/>
              <w:suppressAutoHyphens w:val="0"/>
              <w:spacing w:before="202" w:after="0"/>
            </w:pPr>
            <w:r>
              <w:rPr>
                <w:rStyle w:val="StrongEmphasis"/>
                <w:rFonts w:eastAsia="Times New Roman" w:cs="Calibri"/>
                <w:color w:val="000000"/>
                <w:sz w:val="22"/>
                <w:szCs w:val="22"/>
                <w:lang w:bidi="ar-SA"/>
              </w:rPr>
              <w:t>Flexible Charting and Trend Visualization:</w:t>
            </w:r>
            <w:r>
              <w:rPr>
                <w:rFonts w:eastAsia="Times New Roman" w:cs="Calibri"/>
                <w:color w:val="000000"/>
                <w:sz w:val="22"/>
                <w:szCs w:val="22"/>
                <w:lang w:bidi="ar-SA"/>
              </w:rPr>
              <w:t xml:space="preserve"> The system supports multiple charting modes for displaying trends, waveforms, and time-based physiological data.</w:t>
            </w:r>
          </w:p>
        </w:tc>
      </w:tr>
      <w:tr w:rsidR="00952181" w14:paraId="6449294B" w14:textId="77777777" w:rsidTr="00BB73E7">
        <w:trPr>
          <w:trHeight w:val="900"/>
        </w:trPr>
        <w:tc>
          <w:tcPr>
            <w:tcW w:w="445" w:type="dxa"/>
            <w:tcBorders>
              <w:left w:val="single" w:sz="4" w:space="0" w:color="000000"/>
              <w:bottom w:val="single" w:sz="4" w:space="0" w:color="000000"/>
              <w:right w:val="single" w:sz="4" w:space="0" w:color="000000"/>
            </w:tcBorders>
            <w:vAlign w:val="center"/>
          </w:tcPr>
          <w:p w14:paraId="069F3D50" w14:textId="77777777" w:rsidR="00952181" w:rsidRDefault="00952181" w:rsidP="00BB73E7">
            <w:pPr>
              <w:widowControl w:val="0"/>
              <w:suppressAutoHyphens w:val="0"/>
              <w:spacing w:before="202" w:after="0"/>
              <w:jc w:val="center"/>
            </w:pPr>
            <w:r>
              <w:rPr>
                <w:rFonts w:eastAsia="Times New Roman" w:cs="Calibri"/>
                <w:color w:val="000000"/>
                <w:sz w:val="22"/>
                <w:szCs w:val="22"/>
                <w:lang w:bidi="ar-SA"/>
              </w:rPr>
              <w:lastRenderedPageBreak/>
              <w:t>12</w:t>
            </w:r>
          </w:p>
        </w:tc>
        <w:tc>
          <w:tcPr>
            <w:tcW w:w="7851" w:type="dxa"/>
            <w:tcBorders>
              <w:bottom w:val="single" w:sz="4" w:space="0" w:color="000000"/>
              <w:right w:val="single" w:sz="4" w:space="0" w:color="000000"/>
            </w:tcBorders>
            <w:vAlign w:val="center"/>
          </w:tcPr>
          <w:p w14:paraId="25FFE035" w14:textId="77777777" w:rsidR="00952181" w:rsidRDefault="00952181" w:rsidP="00BB73E7">
            <w:pPr>
              <w:widowControl w:val="0"/>
              <w:suppressAutoHyphens w:val="0"/>
              <w:spacing w:before="202" w:after="0"/>
            </w:pPr>
            <w:r>
              <w:rPr>
                <w:rStyle w:val="StrongEmphasis"/>
                <w:rFonts w:eastAsia="Times New Roman" w:cs="Calibri"/>
                <w:color w:val="000000"/>
                <w:sz w:val="22"/>
                <w:szCs w:val="22"/>
                <w:lang w:bidi="ar-SA"/>
              </w:rPr>
              <w:t>Clinical Data Archiving and Playback:</w:t>
            </w:r>
            <w:r>
              <w:rPr>
                <w:rFonts w:eastAsia="Times New Roman" w:cs="Calibri"/>
                <w:color w:val="000000"/>
                <w:sz w:val="22"/>
                <w:szCs w:val="22"/>
                <w:lang w:bidi="ar-SA"/>
              </w:rPr>
              <w:t xml:space="preserve"> The platform records and stores synchronized patient monitoring data for a minimum of six months, allowing clinicians to review historical events and replay recorded monitoring sessions.</w:t>
            </w:r>
          </w:p>
        </w:tc>
      </w:tr>
      <w:tr w:rsidR="00952181" w14:paraId="4AE64E34" w14:textId="77777777" w:rsidTr="00BB73E7">
        <w:trPr>
          <w:trHeight w:val="600"/>
        </w:trPr>
        <w:tc>
          <w:tcPr>
            <w:tcW w:w="445" w:type="dxa"/>
            <w:tcBorders>
              <w:left w:val="single" w:sz="4" w:space="0" w:color="000000"/>
              <w:bottom w:val="single" w:sz="4" w:space="0" w:color="000000"/>
              <w:right w:val="single" w:sz="4" w:space="0" w:color="000000"/>
            </w:tcBorders>
            <w:vAlign w:val="center"/>
          </w:tcPr>
          <w:p w14:paraId="65C20C7E" w14:textId="77777777" w:rsidR="00952181" w:rsidRDefault="00952181" w:rsidP="00BB73E7">
            <w:pPr>
              <w:widowControl w:val="0"/>
              <w:suppressAutoHyphens w:val="0"/>
              <w:spacing w:before="202" w:after="0"/>
              <w:jc w:val="center"/>
            </w:pPr>
            <w:r>
              <w:rPr>
                <w:rFonts w:eastAsia="Times New Roman" w:cs="Calibri"/>
                <w:color w:val="000000"/>
                <w:sz w:val="22"/>
                <w:szCs w:val="22"/>
                <w:lang w:bidi="ar-SA"/>
              </w:rPr>
              <w:t>13</w:t>
            </w:r>
          </w:p>
        </w:tc>
        <w:tc>
          <w:tcPr>
            <w:tcW w:w="7851" w:type="dxa"/>
            <w:tcBorders>
              <w:bottom w:val="single" w:sz="4" w:space="0" w:color="000000"/>
              <w:right w:val="single" w:sz="4" w:space="0" w:color="000000"/>
            </w:tcBorders>
            <w:vAlign w:val="center"/>
          </w:tcPr>
          <w:p w14:paraId="60662D57" w14:textId="77777777" w:rsidR="00952181" w:rsidRDefault="00952181" w:rsidP="00BB73E7">
            <w:pPr>
              <w:widowControl w:val="0"/>
              <w:suppressAutoHyphens w:val="0"/>
              <w:spacing w:before="202" w:after="0"/>
            </w:pPr>
            <w:r>
              <w:rPr>
                <w:rStyle w:val="StrongEmphasis"/>
                <w:rFonts w:eastAsia="Times New Roman" w:cs="Calibri"/>
                <w:color w:val="000000"/>
                <w:sz w:val="22"/>
                <w:szCs w:val="22"/>
                <w:lang w:bidi="ar-SA"/>
              </w:rPr>
              <w:t>Multi-Bed Monitoring View:</w:t>
            </w:r>
            <w:r>
              <w:rPr>
                <w:rFonts w:eastAsia="Times New Roman" w:cs="Calibri"/>
                <w:color w:val="000000"/>
                <w:sz w:val="22"/>
                <w:szCs w:val="22"/>
                <w:lang w:bidi="ar-SA"/>
              </w:rPr>
              <w:t xml:space="preserve"> The </w:t>
            </w:r>
            <w:proofErr w:type="spellStart"/>
            <w:r>
              <w:rPr>
                <w:rFonts w:eastAsia="Times New Roman" w:cs="Calibri"/>
                <w:color w:val="000000"/>
                <w:sz w:val="22"/>
                <w:szCs w:val="22"/>
                <w:lang w:bidi="ar-SA"/>
              </w:rPr>
              <w:t>TeleICU</w:t>
            </w:r>
            <w:proofErr w:type="spellEnd"/>
            <w:r>
              <w:rPr>
                <w:rFonts w:eastAsia="Times New Roman" w:cs="Calibri"/>
                <w:color w:val="000000"/>
                <w:sz w:val="22"/>
                <w:szCs w:val="22"/>
                <w:lang w:bidi="ar-SA"/>
              </w:rPr>
              <w:t xml:space="preserve"> command center can simultaneously display data from multiple ICU beds, enabling centralized monitoring of patients across different hospital locations.</w:t>
            </w:r>
          </w:p>
        </w:tc>
      </w:tr>
      <w:tr w:rsidR="00952181" w14:paraId="6381B9E2" w14:textId="77777777" w:rsidTr="00BB73E7">
        <w:trPr>
          <w:trHeight w:val="300"/>
        </w:trPr>
        <w:tc>
          <w:tcPr>
            <w:tcW w:w="445" w:type="dxa"/>
            <w:tcBorders>
              <w:left w:val="single" w:sz="4" w:space="0" w:color="000000"/>
              <w:bottom w:val="single" w:sz="4" w:space="0" w:color="000000"/>
              <w:right w:val="single" w:sz="4" w:space="0" w:color="000000"/>
            </w:tcBorders>
            <w:vAlign w:val="center"/>
          </w:tcPr>
          <w:p w14:paraId="0052F471" w14:textId="77777777" w:rsidR="00952181" w:rsidRDefault="00952181" w:rsidP="00BB73E7">
            <w:pPr>
              <w:widowControl w:val="0"/>
              <w:suppressAutoHyphens w:val="0"/>
              <w:spacing w:before="202" w:after="0"/>
              <w:jc w:val="center"/>
            </w:pPr>
            <w:r>
              <w:rPr>
                <w:rFonts w:eastAsia="Times New Roman" w:cs="Calibri"/>
                <w:color w:val="000000"/>
                <w:sz w:val="22"/>
                <w:szCs w:val="22"/>
                <w:lang w:bidi="ar-SA"/>
              </w:rPr>
              <w:t>14</w:t>
            </w:r>
          </w:p>
        </w:tc>
        <w:tc>
          <w:tcPr>
            <w:tcW w:w="7851" w:type="dxa"/>
            <w:tcBorders>
              <w:bottom w:val="single" w:sz="4" w:space="0" w:color="000000"/>
              <w:right w:val="single" w:sz="4" w:space="0" w:color="000000"/>
            </w:tcBorders>
            <w:vAlign w:val="center"/>
          </w:tcPr>
          <w:p w14:paraId="09783479" w14:textId="77777777" w:rsidR="00952181" w:rsidRDefault="00952181" w:rsidP="00BB73E7">
            <w:pPr>
              <w:widowControl w:val="0"/>
              <w:suppressAutoHyphens w:val="0"/>
              <w:spacing w:before="202" w:after="0"/>
            </w:pPr>
            <w:r>
              <w:rPr>
                <w:rStyle w:val="StrongEmphasis"/>
                <w:rFonts w:eastAsia="Times New Roman" w:cs="Calibri"/>
                <w:color w:val="000000"/>
                <w:sz w:val="22"/>
                <w:szCs w:val="22"/>
                <w:lang w:bidi="ar-SA"/>
              </w:rPr>
              <w:t>Single-Patient Detailed View:</w:t>
            </w:r>
            <w:r>
              <w:rPr>
                <w:rFonts w:eastAsia="Times New Roman" w:cs="Calibri"/>
                <w:color w:val="000000"/>
                <w:sz w:val="22"/>
                <w:szCs w:val="22"/>
                <w:lang w:bidi="ar-SA"/>
              </w:rPr>
              <w:t xml:space="preserve"> Clinicians can access a dedicated view for individual patients, including detailed waveforms, trend charts, and synchronized physiological signals.</w:t>
            </w:r>
          </w:p>
        </w:tc>
      </w:tr>
      <w:tr w:rsidR="00952181" w14:paraId="65E0FDCE" w14:textId="77777777" w:rsidTr="00BB73E7">
        <w:trPr>
          <w:trHeight w:val="300"/>
        </w:trPr>
        <w:tc>
          <w:tcPr>
            <w:tcW w:w="445" w:type="dxa"/>
            <w:tcBorders>
              <w:left w:val="single" w:sz="4" w:space="0" w:color="000000"/>
              <w:bottom w:val="single" w:sz="4" w:space="0" w:color="000000"/>
              <w:right w:val="single" w:sz="4" w:space="0" w:color="000000"/>
            </w:tcBorders>
            <w:vAlign w:val="center"/>
          </w:tcPr>
          <w:p w14:paraId="02C4F69A" w14:textId="77777777" w:rsidR="00952181" w:rsidRDefault="00952181" w:rsidP="00BB73E7">
            <w:pPr>
              <w:widowControl w:val="0"/>
              <w:suppressAutoHyphens w:val="0"/>
              <w:spacing w:before="202" w:after="0"/>
              <w:jc w:val="center"/>
            </w:pPr>
            <w:r>
              <w:rPr>
                <w:rFonts w:eastAsia="Times New Roman" w:cs="Calibri"/>
                <w:color w:val="000000"/>
                <w:sz w:val="22"/>
                <w:szCs w:val="22"/>
                <w:lang w:bidi="ar-SA"/>
              </w:rPr>
              <w:t>15</w:t>
            </w:r>
          </w:p>
        </w:tc>
        <w:tc>
          <w:tcPr>
            <w:tcW w:w="7851" w:type="dxa"/>
            <w:tcBorders>
              <w:bottom w:val="single" w:sz="4" w:space="0" w:color="000000"/>
              <w:right w:val="single" w:sz="4" w:space="0" w:color="000000"/>
            </w:tcBorders>
            <w:vAlign w:val="center"/>
          </w:tcPr>
          <w:p w14:paraId="59351E87" w14:textId="77777777" w:rsidR="00952181" w:rsidRDefault="00952181" w:rsidP="00BB73E7">
            <w:pPr>
              <w:widowControl w:val="0"/>
              <w:suppressAutoHyphens w:val="0"/>
              <w:spacing w:before="202" w:after="0"/>
            </w:pPr>
            <w:r>
              <w:rPr>
                <w:rStyle w:val="StrongEmphasis"/>
                <w:rFonts w:eastAsia="Times New Roman" w:cs="Calibri"/>
                <w:color w:val="000000"/>
                <w:sz w:val="22"/>
                <w:szCs w:val="22"/>
                <w:lang w:bidi="ar-SA"/>
              </w:rPr>
              <w:t>Medical Device Alarm Monitoring:</w:t>
            </w:r>
            <w:r>
              <w:rPr>
                <w:rFonts w:eastAsia="Times New Roman" w:cs="Calibri"/>
                <w:color w:val="000000"/>
                <w:sz w:val="22"/>
                <w:szCs w:val="22"/>
                <w:lang w:bidi="ar-SA"/>
              </w:rPr>
              <w:t xml:space="preserve"> The system captures and displays alarms and warnings generated by connected medical devices without modifying the original alarm descriptions.</w:t>
            </w:r>
          </w:p>
        </w:tc>
      </w:tr>
      <w:tr w:rsidR="00952181" w14:paraId="36E9E65B" w14:textId="77777777" w:rsidTr="00BB73E7">
        <w:trPr>
          <w:trHeight w:val="600"/>
        </w:trPr>
        <w:tc>
          <w:tcPr>
            <w:tcW w:w="445" w:type="dxa"/>
            <w:tcBorders>
              <w:left w:val="single" w:sz="4" w:space="0" w:color="000000"/>
              <w:bottom w:val="single" w:sz="4" w:space="0" w:color="000000"/>
              <w:right w:val="single" w:sz="4" w:space="0" w:color="000000"/>
            </w:tcBorders>
            <w:vAlign w:val="center"/>
          </w:tcPr>
          <w:p w14:paraId="0375B3BD" w14:textId="77777777" w:rsidR="00952181" w:rsidRDefault="00952181" w:rsidP="00BB73E7">
            <w:pPr>
              <w:widowControl w:val="0"/>
              <w:suppressAutoHyphens w:val="0"/>
              <w:spacing w:before="202" w:after="0"/>
              <w:jc w:val="center"/>
            </w:pPr>
            <w:r>
              <w:rPr>
                <w:rFonts w:eastAsia="Times New Roman" w:cs="Calibri"/>
                <w:color w:val="000000"/>
                <w:sz w:val="22"/>
                <w:szCs w:val="22"/>
                <w:lang w:bidi="ar-SA"/>
              </w:rPr>
              <w:t>16</w:t>
            </w:r>
          </w:p>
        </w:tc>
        <w:tc>
          <w:tcPr>
            <w:tcW w:w="7851" w:type="dxa"/>
            <w:tcBorders>
              <w:bottom w:val="single" w:sz="4" w:space="0" w:color="000000"/>
              <w:right w:val="single" w:sz="4" w:space="0" w:color="000000"/>
            </w:tcBorders>
            <w:vAlign w:val="center"/>
          </w:tcPr>
          <w:p w14:paraId="557CFC5A" w14:textId="77777777" w:rsidR="00952181" w:rsidRDefault="00952181" w:rsidP="00BB73E7">
            <w:pPr>
              <w:widowControl w:val="0"/>
              <w:suppressAutoHyphens w:val="0"/>
              <w:spacing w:before="202" w:after="0"/>
            </w:pPr>
            <w:r>
              <w:rPr>
                <w:rStyle w:val="StrongEmphasis"/>
                <w:rFonts w:eastAsia="Times New Roman" w:cs="Calibri"/>
                <w:color w:val="000000"/>
                <w:sz w:val="22"/>
                <w:szCs w:val="22"/>
                <w:lang w:bidi="ar-SA"/>
              </w:rPr>
              <w:t>Real-Time Clinical Alerts:</w:t>
            </w:r>
            <w:r>
              <w:rPr>
                <w:rFonts w:eastAsia="Times New Roman" w:cs="Calibri"/>
                <w:color w:val="000000"/>
                <w:sz w:val="22"/>
                <w:szCs w:val="22"/>
                <w:lang w:bidi="ar-SA"/>
              </w:rPr>
              <w:t xml:space="preserve"> Configurable alerts can notify clinical staff when predefined physiological thresholds or device events occur.</w:t>
            </w:r>
          </w:p>
        </w:tc>
      </w:tr>
      <w:tr w:rsidR="00952181" w14:paraId="6CD8AA9D" w14:textId="77777777" w:rsidTr="00BB73E7">
        <w:trPr>
          <w:trHeight w:val="600"/>
        </w:trPr>
        <w:tc>
          <w:tcPr>
            <w:tcW w:w="445" w:type="dxa"/>
            <w:tcBorders>
              <w:left w:val="single" w:sz="4" w:space="0" w:color="000000"/>
              <w:bottom w:val="single" w:sz="4" w:space="0" w:color="000000"/>
              <w:right w:val="single" w:sz="4" w:space="0" w:color="000000"/>
            </w:tcBorders>
            <w:vAlign w:val="center"/>
          </w:tcPr>
          <w:p w14:paraId="46370CD8" w14:textId="77777777" w:rsidR="00952181" w:rsidRDefault="00952181" w:rsidP="00BB73E7">
            <w:pPr>
              <w:widowControl w:val="0"/>
              <w:suppressAutoHyphens w:val="0"/>
              <w:spacing w:before="202" w:after="0"/>
              <w:jc w:val="center"/>
            </w:pPr>
            <w:r>
              <w:rPr>
                <w:rFonts w:eastAsia="Times New Roman" w:cs="Calibri"/>
                <w:color w:val="000000"/>
                <w:sz w:val="22"/>
                <w:szCs w:val="22"/>
                <w:lang w:bidi="ar-SA"/>
              </w:rPr>
              <w:t>17</w:t>
            </w:r>
          </w:p>
        </w:tc>
        <w:tc>
          <w:tcPr>
            <w:tcW w:w="7851" w:type="dxa"/>
            <w:tcBorders>
              <w:bottom w:val="single" w:sz="4" w:space="0" w:color="000000"/>
              <w:right w:val="single" w:sz="4" w:space="0" w:color="000000"/>
            </w:tcBorders>
            <w:vAlign w:val="center"/>
          </w:tcPr>
          <w:p w14:paraId="48F4A7DD" w14:textId="77777777" w:rsidR="00952181" w:rsidRDefault="00952181" w:rsidP="00BB73E7">
            <w:pPr>
              <w:widowControl w:val="0"/>
              <w:suppressAutoHyphens w:val="0"/>
              <w:spacing w:before="202" w:after="0"/>
            </w:pPr>
            <w:r>
              <w:rPr>
                <w:rStyle w:val="StrongEmphasis"/>
                <w:rFonts w:eastAsia="Times New Roman" w:cs="Calibri"/>
                <w:color w:val="000000"/>
                <w:sz w:val="22"/>
                <w:szCs w:val="22"/>
                <w:lang w:bidi="ar-SA"/>
              </w:rPr>
              <w:t>Integration with Hospital Information Systems:</w:t>
            </w:r>
            <w:r>
              <w:rPr>
                <w:rFonts w:eastAsia="Times New Roman" w:cs="Calibri"/>
                <w:color w:val="000000"/>
                <w:sz w:val="22"/>
                <w:szCs w:val="22"/>
                <w:lang w:bidi="ar-SA"/>
              </w:rPr>
              <w:t xml:space="preserve"> The platform supports integration with hospital systems including HIS and EMR using healthcare interoperability standards such as HL7 and FHIR.</w:t>
            </w:r>
          </w:p>
        </w:tc>
      </w:tr>
      <w:tr w:rsidR="00952181" w14:paraId="730E7F3E" w14:textId="77777777" w:rsidTr="00BB73E7">
        <w:trPr>
          <w:trHeight w:val="300"/>
        </w:trPr>
        <w:tc>
          <w:tcPr>
            <w:tcW w:w="445" w:type="dxa"/>
            <w:tcBorders>
              <w:left w:val="single" w:sz="4" w:space="0" w:color="000000"/>
              <w:bottom w:val="single" w:sz="4" w:space="0" w:color="000000"/>
              <w:right w:val="single" w:sz="4" w:space="0" w:color="000000"/>
            </w:tcBorders>
            <w:vAlign w:val="center"/>
          </w:tcPr>
          <w:p w14:paraId="4F16475D" w14:textId="77777777" w:rsidR="00952181" w:rsidRDefault="00952181" w:rsidP="00BB73E7">
            <w:pPr>
              <w:widowControl w:val="0"/>
              <w:suppressAutoHyphens w:val="0"/>
              <w:spacing w:before="202" w:after="0"/>
              <w:jc w:val="center"/>
            </w:pPr>
            <w:r>
              <w:rPr>
                <w:rFonts w:eastAsia="Times New Roman" w:cs="Calibri"/>
                <w:color w:val="000000"/>
                <w:sz w:val="22"/>
                <w:szCs w:val="22"/>
                <w:lang w:bidi="ar-SA"/>
              </w:rPr>
              <w:t>18</w:t>
            </w:r>
          </w:p>
        </w:tc>
        <w:tc>
          <w:tcPr>
            <w:tcW w:w="7851" w:type="dxa"/>
            <w:tcBorders>
              <w:bottom w:val="single" w:sz="4" w:space="0" w:color="000000"/>
              <w:right w:val="single" w:sz="4" w:space="0" w:color="000000"/>
            </w:tcBorders>
            <w:vAlign w:val="center"/>
          </w:tcPr>
          <w:p w14:paraId="24BC9E38" w14:textId="77777777" w:rsidR="00952181" w:rsidRDefault="00952181" w:rsidP="00BB73E7">
            <w:pPr>
              <w:widowControl w:val="0"/>
              <w:suppressAutoHyphens w:val="0"/>
              <w:spacing w:before="202" w:after="0"/>
            </w:pPr>
            <w:r>
              <w:rPr>
                <w:rStyle w:val="StrongEmphasis"/>
                <w:rFonts w:eastAsia="Times New Roman" w:cs="Calibri"/>
                <w:color w:val="000000"/>
                <w:sz w:val="22"/>
                <w:szCs w:val="22"/>
                <w:lang w:bidi="ar-SA"/>
              </w:rPr>
              <w:t>Automatic Device Discovery and Configuration:</w:t>
            </w:r>
            <w:r>
              <w:rPr>
                <w:rFonts w:eastAsia="Times New Roman" w:cs="Calibri"/>
                <w:color w:val="000000"/>
                <w:sz w:val="22"/>
                <w:szCs w:val="22"/>
                <w:lang w:bidi="ar-SA"/>
              </w:rPr>
              <w:t xml:space="preserve"> Supported medical devices are automatically detected and configured through device-specific connectivity modules and driver libraries.</w:t>
            </w:r>
          </w:p>
        </w:tc>
      </w:tr>
      <w:tr w:rsidR="00952181" w14:paraId="3284946D" w14:textId="77777777" w:rsidTr="00BB73E7">
        <w:trPr>
          <w:trHeight w:val="300"/>
        </w:trPr>
        <w:tc>
          <w:tcPr>
            <w:tcW w:w="445" w:type="dxa"/>
            <w:tcBorders>
              <w:left w:val="single" w:sz="4" w:space="0" w:color="000000"/>
              <w:bottom w:val="single" w:sz="4" w:space="0" w:color="000000"/>
              <w:right w:val="single" w:sz="4" w:space="0" w:color="000000"/>
            </w:tcBorders>
            <w:vAlign w:val="center"/>
          </w:tcPr>
          <w:p w14:paraId="0E345082" w14:textId="77777777" w:rsidR="00952181" w:rsidRDefault="00952181" w:rsidP="00BB73E7">
            <w:pPr>
              <w:widowControl w:val="0"/>
              <w:suppressAutoHyphens w:val="0"/>
              <w:spacing w:before="202" w:after="0"/>
              <w:jc w:val="center"/>
            </w:pPr>
            <w:r>
              <w:rPr>
                <w:rFonts w:eastAsia="Times New Roman" w:cs="Calibri"/>
                <w:color w:val="000000"/>
                <w:sz w:val="22"/>
                <w:szCs w:val="22"/>
                <w:lang w:bidi="ar-SA"/>
              </w:rPr>
              <w:t>19</w:t>
            </w:r>
          </w:p>
        </w:tc>
        <w:tc>
          <w:tcPr>
            <w:tcW w:w="7851" w:type="dxa"/>
            <w:tcBorders>
              <w:bottom w:val="single" w:sz="4" w:space="0" w:color="000000"/>
              <w:right w:val="single" w:sz="4" w:space="0" w:color="000000"/>
            </w:tcBorders>
            <w:vAlign w:val="center"/>
          </w:tcPr>
          <w:p w14:paraId="08013CC2" w14:textId="77777777" w:rsidR="00952181" w:rsidRDefault="00952181" w:rsidP="00BB73E7">
            <w:pPr>
              <w:widowControl w:val="0"/>
              <w:suppressAutoHyphens w:val="0"/>
              <w:spacing w:before="202" w:after="0"/>
            </w:pPr>
            <w:r>
              <w:rPr>
                <w:rStyle w:val="StrongEmphasis"/>
                <w:rFonts w:eastAsia="Times New Roman" w:cs="Calibri"/>
                <w:color w:val="000000"/>
                <w:sz w:val="22"/>
                <w:szCs w:val="22"/>
                <w:lang w:bidi="ar-SA"/>
              </w:rPr>
              <w:t>Secure Data Transmission:</w:t>
            </w:r>
            <w:r>
              <w:rPr>
                <w:rFonts w:eastAsia="Times New Roman" w:cs="Calibri"/>
                <w:b/>
                <w:bCs/>
                <w:color w:val="000000"/>
                <w:sz w:val="22"/>
                <w:szCs w:val="22"/>
                <w:lang w:bidi="ar-SA"/>
              </w:rPr>
              <w:t xml:space="preserve"> Communication between bedside devices, hospital servers, and remote users is secured using encrypted protocols such as TLS and VPN tunnels.</w:t>
            </w:r>
          </w:p>
        </w:tc>
      </w:tr>
      <w:tr w:rsidR="00952181" w14:paraId="0DBD0C0F" w14:textId="77777777" w:rsidTr="00BB73E7">
        <w:trPr>
          <w:trHeight w:val="300"/>
        </w:trPr>
        <w:tc>
          <w:tcPr>
            <w:tcW w:w="445" w:type="dxa"/>
            <w:tcBorders>
              <w:left w:val="single" w:sz="4" w:space="0" w:color="000000"/>
              <w:bottom w:val="single" w:sz="4" w:space="0" w:color="000000"/>
              <w:right w:val="single" w:sz="4" w:space="0" w:color="000000"/>
            </w:tcBorders>
            <w:vAlign w:val="center"/>
          </w:tcPr>
          <w:p w14:paraId="233EEB0C" w14:textId="77777777" w:rsidR="00952181" w:rsidRDefault="00952181" w:rsidP="00BB73E7">
            <w:pPr>
              <w:widowControl w:val="0"/>
              <w:suppressAutoHyphens w:val="0"/>
              <w:spacing w:before="202" w:after="0"/>
              <w:jc w:val="center"/>
            </w:pPr>
            <w:r>
              <w:rPr>
                <w:rFonts w:eastAsia="Times New Roman" w:cs="Calibri"/>
                <w:color w:val="000000"/>
                <w:sz w:val="22"/>
                <w:szCs w:val="22"/>
                <w:lang w:bidi="ar-SA"/>
              </w:rPr>
              <w:t>20</w:t>
            </w:r>
          </w:p>
        </w:tc>
        <w:tc>
          <w:tcPr>
            <w:tcW w:w="7851" w:type="dxa"/>
            <w:tcBorders>
              <w:bottom w:val="single" w:sz="4" w:space="0" w:color="000000"/>
              <w:right w:val="single" w:sz="4" w:space="0" w:color="000000"/>
            </w:tcBorders>
            <w:vAlign w:val="center"/>
          </w:tcPr>
          <w:p w14:paraId="3FCBEFD8" w14:textId="77777777" w:rsidR="00952181" w:rsidRDefault="00952181" w:rsidP="00BB73E7">
            <w:pPr>
              <w:widowControl w:val="0"/>
              <w:suppressAutoHyphens w:val="0"/>
              <w:spacing w:before="202" w:after="0"/>
            </w:pPr>
            <w:r>
              <w:rPr>
                <w:rStyle w:val="StrongEmphasis"/>
                <w:rFonts w:eastAsia="Times New Roman" w:cs="Calibri"/>
                <w:color w:val="000000"/>
                <w:sz w:val="22"/>
                <w:szCs w:val="22"/>
                <w:lang w:bidi="ar-SA"/>
              </w:rPr>
              <w:t>Zero-Trust Security Model:</w:t>
            </w:r>
            <w:r>
              <w:rPr>
                <w:rFonts w:eastAsia="Times New Roman" w:cs="Calibri"/>
                <w:b/>
                <w:bCs/>
                <w:color w:val="000000"/>
                <w:sz w:val="22"/>
                <w:szCs w:val="22"/>
                <w:lang w:bidi="ar-SA"/>
              </w:rPr>
              <w:t xml:space="preserve"> </w:t>
            </w:r>
            <w:r>
              <w:rPr>
                <w:rFonts w:eastAsia="Times New Roman" w:cs="Calibri"/>
                <w:color w:val="000000"/>
                <w:sz w:val="22"/>
                <w:szCs w:val="22"/>
                <w:lang w:bidi="ar-SA"/>
              </w:rPr>
              <w:t>The system supports role-based access control, multi-factor authentication, and secure identity management to protect access to clinical data.</w:t>
            </w:r>
          </w:p>
        </w:tc>
      </w:tr>
      <w:tr w:rsidR="00952181" w14:paraId="72CC4E2B" w14:textId="77777777" w:rsidTr="00BB73E7">
        <w:trPr>
          <w:trHeight w:val="600"/>
        </w:trPr>
        <w:tc>
          <w:tcPr>
            <w:tcW w:w="445" w:type="dxa"/>
            <w:tcBorders>
              <w:left w:val="single" w:sz="4" w:space="0" w:color="000000"/>
              <w:bottom w:val="single" w:sz="4" w:space="0" w:color="000000"/>
              <w:right w:val="single" w:sz="4" w:space="0" w:color="000000"/>
            </w:tcBorders>
            <w:vAlign w:val="center"/>
          </w:tcPr>
          <w:p w14:paraId="28846614" w14:textId="77777777" w:rsidR="00952181" w:rsidRDefault="00952181" w:rsidP="00BB73E7">
            <w:pPr>
              <w:widowControl w:val="0"/>
              <w:suppressAutoHyphens w:val="0"/>
              <w:spacing w:before="202" w:after="0"/>
              <w:jc w:val="center"/>
            </w:pPr>
            <w:r>
              <w:rPr>
                <w:rFonts w:eastAsia="Times New Roman" w:cs="Calibri"/>
                <w:color w:val="000000"/>
                <w:sz w:val="22"/>
                <w:szCs w:val="22"/>
                <w:lang w:bidi="ar-SA"/>
              </w:rPr>
              <w:t>21</w:t>
            </w:r>
          </w:p>
        </w:tc>
        <w:tc>
          <w:tcPr>
            <w:tcW w:w="7851" w:type="dxa"/>
            <w:tcBorders>
              <w:bottom w:val="single" w:sz="4" w:space="0" w:color="000000"/>
              <w:right w:val="single" w:sz="4" w:space="0" w:color="000000"/>
            </w:tcBorders>
            <w:vAlign w:val="center"/>
          </w:tcPr>
          <w:p w14:paraId="7A4CE3CE" w14:textId="77777777" w:rsidR="00952181" w:rsidRDefault="00952181" w:rsidP="00BB73E7">
            <w:pPr>
              <w:widowControl w:val="0"/>
              <w:suppressAutoHyphens w:val="0"/>
              <w:spacing w:before="202" w:after="0"/>
            </w:pPr>
            <w:r>
              <w:rPr>
                <w:rStyle w:val="StrongEmphasis"/>
                <w:rFonts w:eastAsia="Times New Roman" w:cs="Calibri"/>
                <w:color w:val="000000"/>
                <w:sz w:val="22"/>
                <w:szCs w:val="22"/>
                <w:lang w:bidi="ar-SA"/>
              </w:rPr>
              <w:t>Medical Device Network Isolation:</w:t>
            </w:r>
            <w:r>
              <w:rPr>
                <w:rFonts w:eastAsia="Times New Roman" w:cs="Calibri"/>
                <w:b/>
                <w:bCs/>
                <w:color w:val="000000"/>
                <w:sz w:val="22"/>
                <w:szCs w:val="22"/>
                <w:lang w:bidi="ar-SA"/>
              </w:rPr>
              <w:t xml:space="preserve"> </w:t>
            </w:r>
            <w:r>
              <w:rPr>
                <w:rFonts w:eastAsia="Times New Roman" w:cs="Calibri"/>
                <w:color w:val="000000"/>
                <w:sz w:val="22"/>
                <w:szCs w:val="22"/>
                <w:lang w:bidi="ar-SA"/>
              </w:rPr>
              <w:t>The architecture ensures secure isolation between medical devices and hospital IT networks to meet cybersecurity and patient safety requirements.</w:t>
            </w:r>
          </w:p>
        </w:tc>
      </w:tr>
      <w:tr w:rsidR="00952181" w14:paraId="1BE38829" w14:textId="77777777" w:rsidTr="00BB73E7">
        <w:trPr>
          <w:trHeight w:val="300"/>
        </w:trPr>
        <w:tc>
          <w:tcPr>
            <w:tcW w:w="445" w:type="dxa"/>
            <w:tcBorders>
              <w:left w:val="single" w:sz="4" w:space="0" w:color="000000"/>
              <w:bottom w:val="single" w:sz="4" w:space="0" w:color="000000"/>
              <w:right w:val="single" w:sz="4" w:space="0" w:color="000000"/>
            </w:tcBorders>
            <w:vAlign w:val="center"/>
          </w:tcPr>
          <w:p w14:paraId="22DFBD09" w14:textId="77777777" w:rsidR="00952181" w:rsidRDefault="00952181" w:rsidP="00BB73E7">
            <w:pPr>
              <w:widowControl w:val="0"/>
              <w:suppressAutoHyphens w:val="0"/>
              <w:spacing w:before="202" w:after="0"/>
              <w:jc w:val="center"/>
            </w:pPr>
            <w:r>
              <w:rPr>
                <w:rFonts w:eastAsia="Times New Roman" w:cs="Calibri"/>
                <w:color w:val="000000"/>
                <w:sz w:val="22"/>
                <w:szCs w:val="22"/>
                <w:lang w:bidi="ar-SA"/>
              </w:rPr>
              <w:t>22</w:t>
            </w:r>
          </w:p>
        </w:tc>
        <w:tc>
          <w:tcPr>
            <w:tcW w:w="7851" w:type="dxa"/>
            <w:tcBorders>
              <w:bottom w:val="single" w:sz="4" w:space="0" w:color="000000"/>
              <w:right w:val="single" w:sz="4" w:space="0" w:color="000000"/>
            </w:tcBorders>
            <w:vAlign w:val="center"/>
          </w:tcPr>
          <w:p w14:paraId="7C63CE05" w14:textId="77777777" w:rsidR="00952181" w:rsidRDefault="00952181" w:rsidP="00BB73E7">
            <w:pPr>
              <w:widowControl w:val="0"/>
              <w:suppressAutoHyphens w:val="0"/>
              <w:spacing w:before="202" w:after="0"/>
            </w:pPr>
            <w:r>
              <w:rPr>
                <w:rStyle w:val="StrongEmphasis"/>
                <w:rFonts w:eastAsia="Times New Roman" w:cs="Calibri"/>
                <w:color w:val="000000"/>
                <w:sz w:val="22"/>
                <w:szCs w:val="22"/>
                <w:lang w:bidi="ar-SA"/>
              </w:rPr>
              <w:t>High Availability and System Redundancy:</w:t>
            </w:r>
            <w:r>
              <w:rPr>
                <w:rFonts w:eastAsia="Times New Roman" w:cs="Calibri"/>
                <w:color w:val="000000"/>
                <w:sz w:val="22"/>
                <w:szCs w:val="22"/>
                <w:lang w:bidi="ar-SA"/>
              </w:rPr>
              <w:t xml:space="preserve"> Built-in failover and redundancy mechanisms ensure system availability of up to </w:t>
            </w:r>
            <w:r>
              <w:rPr>
                <w:rStyle w:val="StrongEmphasis"/>
                <w:rFonts w:eastAsia="Times New Roman" w:cs="Calibri"/>
                <w:color w:val="000000"/>
                <w:sz w:val="22"/>
                <w:szCs w:val="22"/>
                <w:lang w:bidi="ar-SA"/>
              </w:rPr>
              <w:t>99.99% uptime</w:t>
            </w:r>
            <w:r>
              <w:rPr>
                <w:rFonts w:eastAsia="Times New Roman" w:cs="Calibri"/>
                <w:color w:val="000000"/>
                <w:sz w:val="22"/>
                <w:szCs w:val="22"/>
                <w:lang w:bidi="ar-SA"/>
              </w:rPr>
              <w:t>.</w:t>
            </w:r>
          </w:p>
        </w:tc>
      </w:tr>
      <w:tr w:rsidR="00952181" w14:paraId="0B58EFF9" w14:textId="77777777" w:rsidTr="00BB73E7">
        <w:trPr>
          <w:trHeight w:val="300"/>
        </w:trPr>
        <w:tc>
          <w:tcPr>
            <w:tcW w:w="445" w:type="dxa"/>
            <w:tcBorders>
              <w:left w:val="single" w:sz="4" w:space="0" w:color="000000"/>
              <w:bottom w:val="single" w:sz="4" w:space="0" w:color="000000"/>
              <w:right w:val="single" w:sz="4" w:space="0" w:color="000000"/>
            </w:tcBorders>
            <w:vAlign w:val="center"/>
          </w:tcPr>
          <w:p w14:paraId="02EB4791" w14:textId="77777777" w:rsidR="00952181" w:rsidRDefault="00952181" w:rsidP="00BB73E7">
            <w:pPr>
              <w:widowControl w:val="0"/>
              <w:suppressAutoHyphens w:val="0"/>
              <w:spacing w:before="202" w:after="0"/>
              <w:jc w:val="center"/>
            </w:pPr>
            <w:r>
              <w:rPr>
                <w:rFonts w:eastAsia="Times New Roman" w:cs="Calibri"/>
                <w:color w:val="000000"/>
                <w:sz w:val="22"/>
                <w:szCs w:val="22"/>
                <w:lang w:bidi="ar-SA"/>
              </w:rPr>
              <w:t>23</w:t>
            </w:r>
          </w:p>
        </w:tc>
        <w:tc>
          <w:tcPr>
            <w:tcW w:w="7851" w:type="dxa"/>
            <w:tcBorders>
              <w:bottom w:val="single" w:sz="4" w:space="0" w:color="000000"/>
              <w:right w:val="single" w:sz="4" w:space="0" w:color="000000"/>
            </w:tcBorders>
            <w:vAlign w:val="center"/>
          </w:tcPr>
          <w:p w14:paraId="172541C5" w14:textId="77777777" w:rsidR="00952181" w:rsidRDefault="00952181" w:rsidP="00BB73E7">
            <w:pPr>
              <w:widowControl w:val="0"/>
              <w:suppressAutoHyphens w:val="0"/>
              <w:spacing w:before="202" w:after="0"/>
            </w:pPr>
            <w:r>
              <w:rPr>
                <w:rStyle w:val="StrongEmphasis"/>
                <w:rFonts w:eastAsia="Times New Roman" w:cs="Calibri"/>
                <w:color w:val="000000"/>
                <w:sz w:val="22"/>
                <w:szCs w:val="22"/>
                <w:lang w:bidi="ar-SA"/>
              </w:rPr>
              <w:t>High-Frequency Data Processing:</w:t>
            </w:r>
            <w:r>
              <w:rPr>
                <w:rFonts w:eastAsia="Times New Roman" w:cs="Calibri"/>
                <w:color w:val="000000"/>
                <w:sz w:val="22"/>
                <w:szCs w:val="22"/>
                <w:lang w:bidi="ar-SA"/>
              </w:rPr>
              <w:t xml:space="preserve"> The system supports millisecond-level data acquisition and processing (up to 1000 Hz) for high-fidelity physiological monitoring.</w:t>
            </w:r>
          </w:p>
        </w:tc>
      </w:tr>
      <w:tr w:rsidR="00952181" w14:paraId="18C8648F" w14:textId="77777777" w:rsidTr="00BB73E7">
        <w:trPr>
          <w:trHeight w:val="600"/>
        </w:trPr>
        <w:tc>
          <w:tcPr>
            <w:tcW w:w="445" w:type="dxa"/>
            <w:tcBorders>
              <w:left w:val="single" w:sz="4" w:space="0" w:color="000000"/>
              <w:bottom w:val="single" w:sz="4" w:space="0" w:color="000000"/>
              <w:right w:val="single" w:sz="4" w:space="0" w:color="000000"/>
            </w:tcBorders>
            <w:vAlign w:val="center"/>
          </w:tcPr>
          <w:p w14:paraId="6DFADFEC" w14:textId="77777777" w:rsidR="00952181" w:rsidRDefault="00952181" w:rsidP="00BB73E7">
            <w:pPr>
              <w:widowControl w:val="0"/>
              <w:suppressAutoHyphens w:val="0"/>
              <w:spacing w:before="202" w:after="0"/>
              <w:jc w:val="center"/>
            </w:pPr>
            <w:r>
              <w:rPr>
                <w:rFonts w:eastAsia="Times New Roman" w:cs="Calibri"/>
                <w:color w:val="000000"/>
                <w:sz w:val="22"/>
                <w:szCs w:val="22"/>
                <w:lang w:bidi="ar-SA"/>
              </w:rPr>
              <w:t>24</w:t>
            </w:r>
          </w:p>
        </w:tc>
        <w:tc>
          <w:tcPr>
            <w:tcW w:w="7851" w:type="dxa"/>
            <w:tcBorders>
              <w:bottom w:val="single" w:sz="4" w:space="0" w:color="000000"/>
              <w:right w:val="single" w:sz="4" w:space="0" w:color="000000"/>
            </w:tcBorders>
          </w:tcPr>
          <w:p w14:paraId="4C6D50FA" w14:textId="77777777" w:rsidR="00952181" w:rsidRDefault="00952181" w:rsidP="00BB73E7">
            <w:pPr>
              <w:widowControl w:val="0"/>
              <w:suppressAutoHyphens w:val="0"/>
              <w:spacing w:before="202" w:after="0"/>
            </w:pPr>
            <w:proofErr w:type="spellStart"/>
            <w:r>
              <w:rPr>
                <w:rStyle w:val="StrongEmphasis"/>
                <w:rFonts w:eastAsia="Times New Roman" w:cs="Calibri"/>
                <w:color w:val="000000"/>
                <w:sz w:val="22"/>
                <w:szCs w:val="22"/>
                <w:lang w:bidi="ar-SA"/>
              </w:rPr>
              <w:t>TeleICU</w:t>
            </w:r>
            <w:proofErr w:type="spellEnd"/>
            <w:r>
              <w:rPr>
                <w:rStyle w:val="StrongEmphasis"/>
                <w:rFonts w:eastAsia="Times New Roman" w:cs="Calibri"/>
                <w:color w:val="000000"/>
                <w:sz w:val="22"/>
                <w:szCs w:val="22"/>
                <w:lang w:bidi="ar-SA"/>
              </w:rPr>
              <w:t xml:space="preserve"> Command Center Visualization:</w:t>
            </w:r>
            <w:r>
              <w:rPr>
                <w:rFonts w:eastAsia="Times New Roman" w:cs="Calibri"/>
                <w:b/>
                <w:bCs/>
                <w:color w:val="000000"/>
                <w:sz w:val="22"/>
                <w:szCs w:val="22"/>
                <w:lang w:bidi="ar-SA"/>
              </w:rPr>
              <w:t xml:space="preserve"> </w:t>
            </w:r>
            <w:r>
              <w:rPr>
                <w:rFonts w:eastAsia="Times New Roman" w:cs="Calibri"/>
                <w:color w:val="000000"/>
                <w:sz w:val="22"/>
                <w:szCs w:val="22"/>
                <w:lang w:bidi="ar-SA"/>
              </w:rPr>
              <w:t>A centralized command center interface allows clinicians to monitor multiple patients simultaneously across multiple screens.</w:t>
            </w:r>
          </w:p>
        </w:tc>
      </w:tr>
      <w:tr w:rsidR="00952181" w14:paraId="20667172" w14:textId="77777777" w:rsidTr="00BB73E7">
        <w:trPr>
          <w:trHeight w:val="900"/>
        </w:trPr>
        <w:tc>
          <w:tcPr>
            <w:tcW w:w="445" w:type="dxa"/>
            <w:tcBorders>
              <w:left w:val="single" w:sz="4" w:space="0" w:color="000000"/>
              <w:bottom w:val="single" w:sz="4" w:space="0" w:color="000000"/>
              <w:right w:val="single" w:sz="4" w:space="0" w:color="000000"/>
            </w:tcBorders>
            <w:vAlign w:val="center"/>
          </w:tcPr>
          <w:p w14:paraId="5AC67E57" w14:textId="77777777" w:rsidR="00952181" w:rsidRDefault="00952181" w:rsidP="00BB73E7">
            <w:pPr>
              <w:widowControl w:val="0"/>
              <w:suppressAutoHyphens w:val="0"/>
              <w:spacing w:before="202" w:after="0"/>
              <w:jc w:val="center"/>
            </w:pPr>
            <w:r>
              <w:rPr>
                <w:rFonts w:eastAsia="Times New Roman" w:cs="Calibri"/>
                <w:color w:val="000000"/>
                <w:sz w:val="22"/>
                <w:szCs w:val="22"/>
                <w:lang w:bidi="ar-SA"/>
              </w:rPr>
              <w:lastRenderedPageBreak/>
              <w:t>25</w:t>
            </w:r>
          </w:p>
        </w:tc>
        <w:tc>
          <w:tcPr>
            <w:tcW w:w="7851" w:type="dxa"/>
            <w:tcBorders>
              <w:bottom w:val="single" w:sz="4" w:space="0" w:color="000000"/>
              <w:right w:val="single" w:sz="4" w:space="0" w:color="000000"/>
            </w:tcBorders>
          </w:tcPr>
          <w:p w14:paraId="0BE9B8E2" w14:textId="77777777" w:rsidR="00952181" w:rsidRDefault="00952181" w:rsidP="00BB73E7">
            <w:pPr>
              <w:widowControl w:val="0"/>
              <w:suppressAutoHyphens w:val="0"/>
              <w:spacing w:before="202" w:after="0"/>
            </w:pPr>
            <w:r>
              <w:rPr>
                <w:rStyle w:val="StrongEmphasis"/>
                <w:rFonts w:eastAsia="Times New Roman" w:cs="Calibri"/>
                <w:color w:val="000000"/>
                <w:sz w:val="22"/>
                <w:szCs w:val="22"/>
                <w:lang w:bidi="ar-SA"/>
              </w:rPr>
              <w:t>Future-Ready AI Integration:</w:t>
            </w:r>
            <w:r>
              <w:rPr>
                <w:rFonts w:eastAsia="Times New Roman" w:cs="Calibri"/>
                <w:color w:val="000000"/>
                <w:sz w:val="22"/>
                <w:szCs w:val="22"/>
                <w:lang w:bidi="ar-SA"/>
              </w:rPr>
              <w:t xml:space="preserve"> The system architecture supports future integration of artificial intelligence applications and advanced clinical analytics without requiring major infrastructure changes.</w:t>
            </w:r>
          </w:p>
        </w:tc>
      </w:tr>
      <w:tr w:rsidR="00952181" w14:paraId="49F1D0C8" w14:textId="77777777" w:rsidTr="00BB73E7">
        <w:trPr>
          <w:trHeight w:val="600"/>
        </w:trPr>
        <w:tc>
          <w:tcPr>
            <w:tcW w:w="445" w:type="dxa"/>
            <w:tcBorders>
              <w:left w:val="single" w:sz="4" w:space="0" w:color="000000"/>
              <w:bottom w:val="single" w:sz="4" w:space="0" w:color="000000"/>
              <w:right w:val="single" w:sz="4" w:space="0" w:color="000000"/>
            </w:tcBorders>
            <w:vAlign w:val="center"/>
          </w:tcPr>
          <w:p w14:paraId="151AF6DC" w14:textId="77777777" w:rsidR="00952181" w:rsidRDefault="00952181" w:rsidP="00BB73E7">
            <w:pPr>
              <w:widowControl w:val="0"/>
              <w:suppressAutoHyphens w:val="0"/>
              <w:spacing w:before="202" w:after="0"/>
              <w:jc w:val="center"/>
            </w:pPr>
            <w:r>
              <w:rPr>
                <w:rFonts w:eastAsia="Times New Roman" w:cs="Calibri"/>
                <w:color w:val="000000"/>
                <w:sz w:val="22"/>
                <w:szCs w:val="22"/>
                <w:lang w:bidi="ar-SA"/>
              </w:rPr>
              <w:t>26</w:t>
            </w:r>
          </w:p>
        </w:tc>
        <w:tc>
          <w:tcPr>
            <w:tcW w:w="7851" w:type="dxa"/>
            <w:tcBorders>
              <w:bottom w:val="single" w:sz="4" w:space="0" w:color="000000"/>
              <w:right w:val="single" w:sz="4" w:space="0" w:color="000000"/>
            </w:tcBorders>
            <w:vAlign w:val="center"/>
          </w:tcPr>
          <w:p w14:paraId="467D2499" w14:textId="77777777" w:rsidR="00952181" w:rsidRDefault="00952181" w:rsidP="00BB73E7">
            <w:pPr>
              <w:widowControl w:val="0"/>
              <w:suppressAutoHyphens w:val="0"/>
              <w:spacing w:before="202" w:after="0"/>
            </w:pPr>
            <w:r>
              <w:rPr>
                <w:rStyle w:val="StrongEmphasis"/>
                <w:rFonts w:eastAsia="Times New Roman" w:cs="Calibri"/>
                <w:color w:val="000000"/>
                <w:sz w:val="22"/>
                <w:szCs w:val="22"/>
                <w:lang w:bidi="ar-SA"/>
              </w:rPr>
              <w:t>Flexible Deployment Models:</w:t>
            </w:r>
            <w:r>
              <w:rPr>
                <w:rFonts w:eastAsia="Times New Roman" w:cs="Calibri"/>
                <w:color w:val="000000"/>
                <w:sz w:val="22"/>
                <w:szCs w:val="22"/>
                <w:lang w:bidi="ar-SA"/>
              </w:rPr>
              <w:t xml:space="preserve"> The </w:t>
            </w:r>
            <w:proofErr w:type="spellStart"/>
            <w:r>
              <w:rPr>
                <w:rFonts w:eastAsia="Times New Roman" w:cs="Calibri"/>
                <w:color w:val="000000"/>
                <w:sz w:val="22"/>
                <w:szCs w:val="22"/>
                <w:lang w:bidi="ar-SA"/>
              </w:rPr>
              <w:t>TeleICU</w:t>
            </w:r>
            <w:proofErr w:type="spellEnd"/>
            <w:r>
              <w:rPr>
                <w:rFonts w:eastAsia="Times New Roman" w:cs="Calibri"/>
                <w:color w:val="000000"/>
                <w:sz w:val="22"/>
                <w:szCs w:val="22"/>
                <w:lang w:bidi="ar-SA"/>
              </w:rPr>
              <w:t xml:space="preserve"> platform can be deployed in </w:t>
            </w:r>
            <w:proofErr w:type="gramStart"/>
            <w:r>
              <w:rPr>
                <w:rFonts w:eastAsia="Times New Roman" w:cs="Calibri"/>
                <w:color w:val="000000"/>
                <w:sz w:val="22"/>
                <w:szCs w:val="22"/>
                <w:lang w:bidi="ar-SA"/>
              </w:rPr>
              <w:t>on-premise</w:t>
            </w:r>
            <w:proofErr w:type="gramEnd"/>
            <w:r>
              <w:rPr>
                <w:rFonts w:eastAsia="Times New Roman" w:cs="Calibri"/>
                <w:color w:val="000000"/>
                <w:sz w:val="22"/>
                <w:szCs w:val="22"/>
                <w:lang w:bidi="ar-SA"/>
              </w:rPr>
              <w:t>, cloud, or hybrid environments depending on hospital infrastructure and cybersecurity requirements.</w:t>
            </w:r>
          </w:p>
        </w:tc>
      </w:tr>
    </w:tbl>
    <w:p w14:paraId="4999CFC8" w14:textId="77777777" w:rsidR="002C49B5" w:rsidRDefault="002C49B5"/>
    <w:sectPr w:rsidR="002C49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B839B7"/>
    <w:multiLevelType w:val="hybridMultilevel"/>
    <w:tmpl w:val="5A4ECED0"/>
    <w:lvl w:ilvl="0" w:tplc="48FAED5C">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1AE2D8C"/>
    <w:multiLevelType w:val="multilevel"/>
    <w:tmpl w:val="1C8C862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934938981">
    <w:abstractNumId w:val="1"/>
  </w:num>
  <w:num w:numId="2" w16cid:durableId="4123601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181"/>
    <w:rsid w:val="00240F12"/>
    <w:rsid w:val="002C49B5"/>
    <w:rsid w:val="00952181"/>
    <w:rsid w:val="00B60183"/>
    <w:rsid w:val="00EF7EB4"/>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C0BBE"/>
  <w15:chartTrackingRefBased/>
  <w15:docId w15:val="{FB69C969-D1E5-4307-AFE3-CD8E267DF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2181"/>
    <w:pPr>
      <w:suppressAutoHyphens/>
      <w:spacing w:before="200" w:after="180" w:line="276" w:lineRule="auto"/>
    </w:pPr>
    <w:rPr>
      <w:rFonts w:eastAsiaTheme="minorEastAsia"/>
      <w:kern w:val="0"/>
      <w:sz w:val="24"/>
      <w:szCs w:val="24"/>
      <w:lang w:val="en-US" w:bidi="ar-QA"/>
      <w14:ligatures w14:val="none"/>
    </w:rPr>
  </w:style>
  <w:style w:type="paragraph" w:styleId="Heading1">
    <w:name w:val="heading 1"/>
    <w:basedOn w:val="Normal"/>
    <w:next w:val="Normal"/>
    <w:link w:val="Heading1Char"/>
    <w:uiPriority w:val="9"/>
    <w:qFormat/>
    <w:rsid w:val="009521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521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521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521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521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9521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21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21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21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9521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sid w:val="009521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sid w:val="009521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21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21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21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21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21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2181"/>
    <w:rPr>
      <w:rFonts w:eastAsiaTheme="majorEastAsia" w:cstheme="majorBidi"/>
      <w:color w:val="272727" w:themeColor="text1" w:themeTint="D8"/>
    </w:rPr>
  </w:style>
  <w:style w:type="paragraph" w:styleId="Title">
    <w:name w:val="Title"/>
    <w:basedOn w:val="Normal"/>
    <w:next w:val="Normal"/>
    <w:link w:val="TitleChar"/>
    <w:uiPriority w:val="10"/>
    <w:qFormat/>
    <w:rsid w:val="009521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21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21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21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2181"/>
    <w:pPr>
      <w:spacing w:before="160"/>
      <w:jc w:val="center"/>
    </w:pPr>
    <w:rPr>
      <w:i/>
      <w:iCs/>
      <w:color w:val="404040" w:themeColor="text1" w:themeTint="BF"/>
    </w:rPr>
  </w:style>
  <w:style w:type="character" w:customStyle="1" w:styleId="QuoteChar">
    <w:name w:val="Quote Char"/>
    <w:basedOn w:val="DefaultParagraphFont"/>
    <w:link w:val="Quote"/>
    <w:uiPriority w:val="29"/>
    <w:rsid w:val="00952181"/>
    <w:rPr>
      <w:i/>
      <w:iCs/>
      <w:color w:val="404040" w:themeColor="text1" w:themeTint="BF"/>
    </w:rPr>
  </w:style>
  <w:style w:type="paragraph" w:styleId="ListParagraph">
    <w:name w:val="List Paragraph"/>
    <w:basedOn w:val="Normal"/>
    <w:link w:val="ListParagraphChar"/>
    <w:uiPriority w:val="34"/>
    <w:qFormat/>
    <w:rsid w:val="00952181"/>
    <w:pPr>
      <w:ind w:left="720"/>
      <w:contextualSpacing/>
    </w:pPr>
  </w:style>
  <w:style w:type="character" w:styleId="IntenseEmphasis">
    <w:name w:val="Intense Emphasis"/>
    <w:basedOn w:val="DefaultParagraphFont"/>
    <w:uiPriority w:val="21"/>
    <w:qFormat/>
    <w:rsid w:val="00952181"/>
    <w:rPr>
      <w:i/>
      <w:iCs/>
      <w:color w:val="0F4761" w:themeColor="accent1" w:themeShade="BF"/>
    </w:rPr>
  </w:style>
  <w:style w:type="paragraph" w:styleId="IntenseQuote">
    <w:name w:val="Intense Quote"/>
    <w:basedOn w:val="Normal"/>
    <w:next w:val="Normal"/>
    <w:link w:val="IntenseQuoteChar"/>
    <w:uiPriority w:val="30"/>
    <w:qFormat/>
    <w:rsid w:val="009521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2181"/>
    <w:rPr>
      <w:i/>
      <w:iCs/>
      <w:color w:val="0F4761" w:themeColor="accent1" w:themeShade="BF"/>
    </w:rPr>
  </w:style>
  <w:style w:type="character" w:styleId="IntenseReference">
    <w:name w:val="Intense Reference"/>
    <w:basedOn w:val="DefaultParagraphFont"/>
    <w:uiPriority w:val="32"/>
    <w:qFormat/>
    <w:rsid w:val="00952181"/>
    <w:rPr>
      <w:b/>
      <w:bCs/>
      <w:smallCaps/>
      <w:color w:val="0F4761" w:themeColor="accent1" w:themeShade="BF"/>
      <w:spacing w:val="5"/>
    </w:rPr>
  </w:style>
  <w:style w:type="character" w:customStyle="1" w:styleId="BodyTextChar">
    <w:name w:val="Body Text Char"/>
    <w:basedOn w:val="DefaultParagraphFont"/>
    <w:link w:val="BodyText"/>
    <w:qFormat/>
    <w:rsid w:val="00952181"/>
    <w:rPr>
      <w:sz w:val="24"/>
      <w:szCs w:val="24"/>
      <w:lang w:bidi="ar-QA"/>
    </w:rPr>
  </w:style>
  <w:style w:type="character" w:customStyle="1" w:styleId="ListParagraphChar">
    <w:name w:val="List Paragraph Char"/>
    <w:link w:val="ListParagraph"/>
    <w:uiPriority w:val="34"/>
    <w:qFormat/>
    <w:rsid w:val="00952181"/>
  </w:style>
  <w:style w:type="character" w:customStyle="1" w:styleId="StrongEmphasis">
    <w:name w:val="Strong Emphasis"/>
    <w:qFormat/>
    <w:rsid w:val="00952181"/>
    <w:rPr>
      <w:b/>
      <w:bCs/>
    </w:rPr>
  </w:style>
  <w:style w:type="paragraph" w:styleId="BodyText">
    <w:name w:val="Body Text"/>
    <w:basedOn w:val="Normal"/>
    <w:link w:val="BodyTextChar"/>
    <w:rsid w:val="00952181"/>
    <w:pPr>
      <w:spacing w:after="120"/>
    </w:pPr>
    <w:rPr>
      <w:rFonts w:eastAsiaTheme="minorHAnsi"/>
      <w:kern w:val="2"/>
      <w:lang w:val="en-AE"/>
      <w14:ligatures w14:val="standardContextual"/>
    </w:rPr>
  </w:style>
  <w:style w:type="character" w:customStyle="1" w:styleId="BodyTextChar1">
    <w:name w:val="Body Text Char1"/>
    <w:basedOn w:val="DefaultParagraphFont"/>
    <w:uiPriority w:val="99"/>
    <w:semiHidden/>
    <w:rsid w:val="00952181"/>
    <w:rPr>
      <w:rFonts w:eastAsiaTheme="minorEastAsia"/>
      <w:kern w:val="0"/>
      <w:sz w:val="24"/>
      <w:szCs w:val="24"/>
      <w:lang w:val="en-US" w:bidi="ar-Q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1512</Words>
  <Characters>9892</Characters>
  <Application>Microsoft Office Word</Application>
  <DocSecurity>0</DocSecurity>
  <Lines>267</Lines>
  <Paragraphs>170</Paragraphs>
  <ScaleCrop>false</ScaleCrop>
  <Company/>
  <LinksUpToDate>false</LinksUpToDate>
  <CharactersWithSpaces>11234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Odabashi</dc:creator>
  <cp:keywords/>
  <dc:description/>
  <cp:lastModifiedBy>Osama Odabashi</cp:lastModifiedBy>
  <cp:revision>1</cp:revision>
  <dcterms:created xsi:type="dcterms:W3CDTF">2026-03-31T18:18:00Z</dcterms:created>
  <dcterms:modified xsi:type="dcterms:W3CDTF">2026-03-31T18:19:00Z</dcterms:modified>
</cp:coreProperties>
</file>