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12"/>
      </w:tblGrid>
      <w:tr>
        <w:tc>
          <w:tcPr>
            <w:tcW w:type="dxa" w:w="9412"/>
            <w:shd w:val="clear" w:color="auto" w:fill="06395B"/>
            <w:tcMar>
              <w:top w:w="420" w:type="dxa"/>
              <w:bottom w:w="420" w:type="dxa"/>
              <w:start w:w="240" w:type="dxa"/>
              <w:end w:w="240" w:type="dxa"/>
            </w:tcMar>
          </w:tcPr>
          <w:p>
            <w:pPr>
              <w:spacing w:after="200"/>
            </w:pPr>
            <w:r>
              <w:drawing>
                <wp:inline xmlns:a="http://schemas.openxmlformats.org/drawingml/2006/main" xmlns:pic="http://schemas.openxmlformats.org/drawingml/2006/picture">
                  <wp:extent cx="708616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w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16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rFonts w:ascii="Space Grotesk" w:hAnsi="Space Grotesk" w:cs="Space Grotesk"/>
                <w:b/>
                <w:i w:val="0"/>
                <w:color w:val="FFFFFF"/>
                <w:sz w:val="60"/>
                <w:spacing w:val="-20"/>
              </w:rPr>
              <w:t>Outcome Works</w:t>
            </w:r>
          </w:p>
          <w:p>
            <w:pPr>
              <w:spacing w:after="120"/>
            </w:pPr>
            <w:r>
              <w:rPr>
                <w:rFonts w:ascii="Space Grotesk" w:hAnsi="Space Grotesk" w:cs="Space Grotesk"/>
                <w:b w:val="0"/>
                <w:i w:val="0"/>
                <w:color w:val="CFDFE6"/>
                <w:sz w:val="26"/>
              </w:rPr>
              <w:t>Built to win the work that's hard to win.</w:t>
            </w:r>
          </w:p>
          <w:p>
            <w:r>
              <w:rPr>
                <w:rFonts w:ascii="IBM Plex Mono" w:hAnsi="IBM Plex Mono" w:cs="IBM Plex Mono"/>
                <w:b w:val="0"/>
                <w:i w:val="0"/>
                <w:color w:val="179EB2"/>
                <w:sz w:val="18"/>
                <w:caps w:val="true"/>
                <w:spacing w:val="30"/>
              </w:rPr>
              <w:t>CONSULTANCY  ·  PRODUCTS</w:t>
            </w:r>
          </w:p>
        </w:tc>
      </w:tr>
    </w:tbl>
    <w:p>
      <w:pPr>
        <w:spacing w:after="120"/>
      </w:pPr>
    </w:p>
    <w:p>
      <w:pPr>
        <w:pStyle w:val="OWEyebrow"/>
      </w:pPr>
      <w:r>
        <w:t>Document type</w:t>
      </w:r>
    </w:p>
    <w:p>
      <w:pPr>
        <w:pStyle w:val="OWTitle"/>
      </w:pPr>
      <w:r>
        <w:t>Proposal / Report Title</w:t>
      </w:r>
    </w:p>
    <w:p>
      <w:pPr>
        <w:pStyle w:val="OWSubtitle"/>
      </w:pPr>
      <w:r>
        <w:t>A one-line description of what this document covers.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7031"/>
      </w:tblGrid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IBM Plex Mono" w:hAnsi="IBM Plex Mono" w:cs="IBM Plex Mono"/>
                <w:b w:val="0"/>
                <w:i w:val="0"/>
                <w:color w:val="5C6B79"/>
                <w:sz w:val="17"/>
                <w:caps w:val="true"/>
                <w:spacing w:val="20"/>
              </w:rPr>
              <w:t>PREPARED FOR</w:t>
            </w:r>
          </w:p>
        </w:tc>
        <w:tc>
          <w:tcPr>
            <w:tcW w:type="dxa" w:w="7031"/>
          </w:tcPr>
          <w:p>
            <w:pPr>
              <w:spacing w:after="40"/>
            </w:pPr>
            <w:r>
              <w:rPr>
                <w:rFonts w:ascii="Space Grotesk" w:hAnsi="Space Grotesk" w:cs="Space Grotesk"/>
                <w:b w:val="0"/>
                <w:i w:val="0"/>
                <w:color w:val="14202B"/>
                <w:sz w:val="21"/>
              </w:rPr>
              <w:t>Client / Organisation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IBM Plex Mono" w:hAnsi="IBM Plex Mono" w:cs="IBM Plex Mono"/>
                <w:b w:val="0"/>
                <w:i w:val="0"/>
                <w:color w:val="5C6B79"/>
                <w:sz w:val="17"/>
                <w:caps w:val="true"/>
                <w:spacing w:val="20"/>
              </w:rPr>
              <w:t>PREPARED BY</w:t>
            </w:r>
          </w:p>
        </w:tc>
        <w:tc>
          <w:tcPr>
            <w:tcW w:type="dxa" w:w="7031"/>
          </w:tcPr>
          <w:p>
            <w:pPr>
              <w:spacing w:after="40"/>
            </w:pPr>
            <w:r>
              <w:rPr>
                <w:rFonts w:ascii="Space Grotesk" w:hAnsi="Space Grotesk" w:cs="Space Grotesk"/>
                <w:b w:val="0"/>
                <w:i w:val="0"/>
                <w:color w:val="14202B"/>
                <w:sz w:val="21"/>
              </w:rPr>
              <w:t>Outcome Works Limited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IBM Plex Mono" w:hAnsi="IBM Plex Mono" w:cs="IBM Plex Mono"/>
                <w:b w:val="0"/>
                <w:i w:val="0"/>
                <w:color w:val="5C6B79"/>
                <w:sz w:val="17"/>
                <w:caps w:val="true"/>
                <w:spacing w:val="20"/>
              </w:rPr>
              <w:t>DATE</w:t>
            </w:r>
          </w:p>
        </w:tc>
        <w:tc>
          <w:tcPr>
            <w:tcW w:type="dxa" w:w="7031"/>
          </w:tcPr>
          <w:p>
            <w:pPr>
              <w:spacing w:after="40"/>
            </w:pPr>
            <w:r>
              <w:rPr>
                <w:rFonts w:ascii="Space Grotesk" w:hAnsi="Space Grotesk" w:cs="Space Grotesk"/>
                <w:b w:val="0"/>
                <w:i w:val="0"/>
                <w:color w:val="14202B"/>
                <w:sz w:val="21"/>
              </w:rPr>
              <w:t>Month YYYY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IBM Plex Mono" w:hAnsi="IBM Plex Mono" w:cs="IBM Plex Mono"/>
                <w:b w:val="0"/>
                <w:i w:val="0"/>
                <w:color w:val="5C6B79"/>
                <w:sz w:val="17"/>
                <w:caps w:val="true"/>
                <w:spacing w:val="20"/>
              </w:rPr>
              <w:t>REFERENCE</w:t>
            </w:r>
          </w:p>
        </w:tc>
        <w:tc>
          <w:tcPr>
            <w:tcW w:type="dxa" w:w="7031"/>
          </w:tcPr>
          <w:p>
            <w:pPr>
              <w:spacing w:after="40"/>
            </w:pPr>
            <w:r>
              <w:rPr>
                <w:rFonts w:ascii="Space Grotesk" w:hAnsi="Space Grotesk" w:cs="Space Grotesk"/>
                <w:b w:val="0"/>
                <w:i w:val="0"/>
                <w:color w:val="14202B"/>
                <w:sz w:val="21"/>
              </w:rPr>
              <w:t>OW-0000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IBM Plex Mono" w:hAnsi="IBM Plex Mono" w:cs="IBM Plex Mono"/>
                <w:b w:val="0"/>
                <w:i w:val="0"/>
                <w:color w:val="5C6B79"/>
                <w:sz w:val="17"/>
                <w:caps w:val="true"/>
                <w:spacing w:val="20"/>
              </w:rPr>
              <w:t>CONFIDENTIALITY</w:t>
            </w:r>
          </w:p>
        </w:tc>
        <w:tc>
          <w:tcPr>
            <w:tcW w:type="dxa" w:w="7031"/>
          </w:tcPr>
          <w:p>
            <w:pPr>
              <w:spacing w:after="40"/>
            </w:pPr>
            <w:r>
              <w:rPr>
                <w:rFonts w:ascii="Space Grotesk" w:hAnsi="Space Grotesk" w:cs="Space Grotesk"/>
                <w:b w:val="0"/>
                <w:i w:val="0"/>
                <w:color w:val="14202B"/>
                <w:sz w:val="21"/>
              </w:rPr>
              <w:t>Commercial in confidence</w:t>
            </w:r>
          </w:p>
        </w:tc>
      </w:tr>
    </w:tbl>
    <w:p>
      <w:r>
        <w:br w:type="page"/>
      </w:r>
    </w:p>
    <w:p>
      <w:pPr>
        <w:pStyle w:val="OWEyebrow"/>
      </w:pPr>
      <w:r>
        <w:t>Section</w:t>
      </w:r>
    </w:p>
    <w:p>
      <w:pPr>
        <w:pStyle w:val="OWHeading1"/>
      </w:pPr>
      <w:r>
        <w:t>How this template is built</w:t>
      </w:r>
    </w:p>
    <w:p>
      <w:pPr>
        <w:pStyle w:val="OWLead"/>
      </w:pPr>
      <w:r>
        <w:t>This page demonstrates every brand style in use. Duplicate the file, replace the copy, and keep the structure. The voice is plain, evidence-led, and number-first. We never oversell.</w:t>
      </w:r>
    </w:p>
    <w:p>
      <w:pPr>
        <w:pStyle w:val="OWHeading2"/>
      </w:pPr>
      <w:r>
        <w:t>Body and headings</w:t>
      </w:r>
    </w:p>
    <w:p>
      <w:r>
        <w:t>Body copy uses Space Grotesk at a comfortable measure with generous spacing. Headings are navy and tightly tracked. Labels and data use IBM Plex Mono. Sentences are separated with full stops and commas, never with a dash.</w:t>
      </w:r>
    </w:p>
    <w:p>
      <w:pPr>
        <w:pStyle w:val="OWHeading3"/>
      </w:pPr>
      <w:r>
        <w:t>A bulleted list</w:t>
      </w:r>
    </w:p>
    <w:p>
      <w:pPr>
        <w:spacing w:after="60"/>
        <w:ind w:left="340"/>
      </w:pPr>
      <w:r>
        <w:rPr>
          <w:rFonts w:ascii="Space Grotesk" w:hAnsi="Space Grotesk" w:cs="Space Grotesk"/>
          <w:b/>
          <w:i w:val="0"/>
          <w:color w:val="15727C"/>
          <w:sz w:val="21"/>
        </w:rPr>
        <w:t xml:space="preserve">→  </w:t>
      </w:r>
      <w:r>
        <w:rPr>
          <w:rFonts w:ascii="Space Grotesk" w:hAnsi="Space Grotesk" w:cs="Space Grotesk"/>
          <w:b w:val="0"/>
          <w:i w:val="0"/>
          <w:color w:val="14202B"/>
          <w:sz w:val="21"/>
        </w:rPr>
        <w:t>Lead with the outcome the reader cares about.</w:t>
      </w:r>
    </w:p>
    <w:p>
      <w:pPr>
        <w:spacing w:after="60"/>
        <w:ind w:left="340"/>
      </w:pPr>
      <w:r>
        <w:rPr>
          <w:rFonts w:ascii="Space Grotesk" w:hAnsi="Space Grotesk" w:cs="Space Grotesk"/>
          <w:b/>
          <w:i w:val="0"/>
          <w:color w:val="15727C"/>
          <w:sz w:val="21"/>
        </w:rPr>
        <w:t xml:space="preserve">→  </w:t>
      </w:r>
      <w:r>
        <w:rPr>
          <w:rFonts w:ascii="Space Grotesk" w:hAnsi="Space Grotesk" w:cs="Space Grotesk"/>
          <w:b w:val="0"/>
          <w:i w:val="0"/>
          <w:color w:val="14202B"/>
          <w:sz w:val="21"/>
        </w:rPr>
        <w:t>Keep each point to a single, concrete idea.</w:t>
      </w:r>
    </w:p>
    <w:p>
      <w:pPr>
        <w:spacing w:after="60"/>
        <w:ind w:left="340"/>
      </w:pPr>
      <w:r>
        <w:rPr>
          <w:rFonts w:ascii="Space Grotesk" w:hAnsi="Space Grotesk" w:cs="Space Grotesk"/>
          <w:b/>
          <w:i w:val="0"/>
          <w:color w:val="15727C"/>
          <w:sz w:val="21"/>
        </w:rPr>
        <w:t xml:space="preserve">→  </w:t>
      </w:r>
      <w:r>
        <w:rPr>
          <w:rFonts w:ascii="Space Grotesk" w:hAnsi="Space Grotesk" w:cs="Space Grotesk"/>
          <w:b w:val="0"/>
          <w:i w:val="0"/>
          <w:color w:val="14202B"/>
          <w:sz w:val="21"/>
        </w:rPr>
        <w:t>Use the arrow tick, not a default round bullet.</w:t>
      </w:r>
    </w:p>
    <w:p>
      <w:pPr>
        <w:pStyle w:val="OWHeading2"/>
      </w:pPr>
      <w:r>
        <w:t>Proof, stated number-first</w:t>
      </w:r>
    </w:p>
    <w:p>
      <w:pPr>
        <w:pStyle w:val="OWStatNumber"/>
      </w:pPr>
      <w:r>
        <w:t>3x</w:t>
      </w:r>
    </w:p>
    <w:p>
      <w:pPr>
        <w:pStyle w:val="OWStatLabel"/>
      </w:pPr>
      <w:r>
        <w:t>tender throughput, two-person team</w:t>
      </w:r>
    </w:p>
    <w:p>
      <w:pPr>
        <w:pStyle w:val="OWHeading3"/>
      </w:pPr>
      <w:r>
        <w:t>Callout / aside</w:t>
      </w:r>
    </w:p>
    <w:p>
      <w:pPr>
        <w:pStyle w:val="OWCallout"/>
        <w:shd w:val="clear" w:color="auto" w:fill="DCEDEF"/>
        <w:pBdr>
          <w:left w:val="single" w:sz="28" w:space="10" w:color="15727C"/>
        </w:pBdr>
      </w:pPr>
      <w:r>
        <w:t>Use a tinted callout for a key note. Teal for consultancy themes, terracotta for product themes.</w:t>
      </w:r>
    </w:p>
    <w:p>
      <w:pPr>
        <w:pStyle w:val="OWHeading3"/>
      </w:pPr>
      <w:r>
        <w:t>Pull quote</w:t>
      </w:r>
    </w:p>
    <w:p>
      <w:pPr>
        <w:pStyle w:val="OWPullQuote"/>
      </w:pPr>
      <w:r>
        <w:t>“They took us from one tender a month to three, without adding headcount.”</w:t>
      </w:r>
    </w:p>
    <w:p>
      <w:pPr>
        <w:pStyle w:val="OWAttribution"/>
      </w:pPr>
      <w:r>
        <w:t>Bid Director, Law enforcement client</w:t>
      </w:r>
    </w:p>
    <w:p>
      <w:pPr>
        <w:pStyle w:val="OWHeading2"/>
      </w:pPr>
      <w:r>
        <w:t>Table style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7"/>
        <w:gridCol w:w="3137"/>
        <w:gridCol w:w="3137"/>
      </w:tblGrid>
      <w:tr>
        <w:tc>
          <w:tcPr>
            <w:tcW w:type="dxa" w:w="2041"/>
            <w:shd w:val="clear" w:color="auto" w:fill="06395B"/>
          </w:tcPr>
          <w:p>
            <w:pPr>
              <w:spacing w:after="40"/>
            </w:pPr>
            <w:r>
              <w:rPr>
                <w:rFonts w:ascii="IBM Plex Mono" w:hAnsi="IBM Plex Mono" w:cs="IBM Plex Mono"/>
                <w:b w:val="0"/>
                <w:i w:val="0"/>
                <w:color w:val="FFFFFF"/>
                <w:sz w:val="16"/>
                <w:caps w:val="true"/>
                <w:spacing w:val="12"/>
              </w:rPr>
              <w:t>CAPABILITY</w:t>
            </w:r>
          </w:p>
        </w:tc>
        <w:tc>
          <w:tcPr>
            <w:tcW w:type="dxa" w:w="4650"/>
            <w:shd w:val="clear" w:color="auto" w:fill="06395B"/>
          </w:tcPr>
          <w:p>
            <w:pPr>
              <w:spacing w:after="40"/>
            </w:pPr>
            <w:r>
              <w:rPr>
                <w:rFonts w:ascii="IBM Plex Mono" w:hAnsi="IBM Plex Mono" w:cs="IBM Plex Mono"/>
                <w:b w:val="0"/>
                <w:i w:val="0"/>
                <w:color w:val="FFFFFF"/>
                <w:sz w:val="16"/>
                <w:caps w:val="true"/>
                <w:spacing w:val="12"/>
              </w:rPr>
              <w:t>WHAT IT DOES</w:t>
            </w:r>
          </w:p>
        </w:tc>
        <w:tc>
          <w:tcPr>
            <w:tcW w:type="dxa" w:w="2721"/>
            <w:shd w:val="clear" w:color="auto" w:fill="06395B"/>
          </w:tcPr>
          <w:p>
            <w:pPr>
              <w:spacing w:after="40"/>
            </w:pPr>
            <w:r>
              <w:rPr>
                <w:rFonts w:ascii="IBM Plex Mono" w:hAnsi="IBM Plex Mono" w:cs="IBM Plex Mono"/>
                <w:b w:val="0"/>
                <w:i w:val="0"/>
                <w:color w:val="FFFFFF"/>
                <w:sz w:val="16"/>
                <w:caps w:val="true"/>
                <w:spacing w:val="12"/>
              </w:rPr>
              <w:t>OUTCOME</w:t>
            </w:r>
          </w:p>
        </w:tc>
      </w:tr>
      <w:tr>
        <w:tc>
          <w:tcPr>
            <w:tcW w:type="dxa" w:w="2041"/>
            <w:tcBorders>
              <w:bottom w:val="single" w:sz="6" w:color="CDD5DC"/>
            </w:tcBorders>
          </w:tcPr>
          <w:p>
            <w:pPr>
              <w:spacing w:after="40"/>
            </w:pPr>
            <w:r>
              <w:rPr>
                <w:rFonts w:ascii="Space Grotesk" w:hAnsi="Space Grotesk" w:cs="Space Grotesk"/>
                <w:b/>
                <w:i w:val="0"/>
                <w:color w:val="14202B"/>
                <w:sz w:val="20"/>
              </w:rPr>
              <w:t>AI Advisory</w:t>
            </w:r>
          </w:p>
        </w:tc>
        <w:tc>
          <w:tcPr>
            <w:tcW w:type="dxa" w:w="4650"/>
            <w:tcBorders>
              <w:bottom w:val="single" w:sz="6" w:color="CDD5DC"/>
            </w:tcBorders>
          </w:tcPr>
          <w:p>
            <w:pPr>
              <w:spacing w:after="40"/>
            </w:pPr>
            <w:r>
              <w:rPr>
                <w:rFonts w:ascii="Space Grotesk" w:hAnsi="Space Grotesk" w:cs="Space Grotesk"/>
                <w:b w:val="0"/>
                <w:i w:val="0"/>
                <w:color w:val="5C6B79"/>
                <w:sz w:val="20"/>
              </w:rPr>
              <w:t>Where AI moves the needle</w:t>
            </w:r>
          </w:p>
        </w:tc>
        <w:tc>
          <w:tcPr>
            <w:tcW w:type="dxa" w:w="2721"/>
            <w:tcBorders>
              <w:bottom w:val="single" w:sz="6" w:color="CDD5DC"/>
            </w:tcBorders>
          </w:tcPr>
          <w:p>
            <w:pPr>
              <w:spacing w:after="40"/>
            </w:pPr>
            <w:r>
              <w:rPr>
                <w:rFonts w:ascii="Space Grotesk" w:hAnsi="Space Grotesk" w:cs="Space Grotesk"/>
                <w:b w:val="0"/>
                <w:i w:val="0"/>
                <w:color w:val="5C6B79"/>
                <w:sz w:val="20"/>
              </w:rPr>
              <w:t>A costed roadmap</w:t>
            </w:r>
          </w:p>
        </w:tc>
      </w:tr>
      <w:tr>
        <w:tc>
          <w:tcPr>
            <w:tcW w:type="dxa" w:w="2041"/>
            <w:shd w:val="clear" w:color="auto" w:fill="ECEFF2"/>
            <w:tcBorders>
              <w:bottom w:val="single" w:sz="6" w:color="CDD5DC"/>
            </w:tcBorders>
          </w:tcPr>
          <w:p>
            <w:pPr>
              <w:spacing w:after="40"/>
            </w:pPr>
            <w:r>
              <w:rPr>
                <w:rFonts w:ascii="Space Grotesk" w:hAnsi="Space Grotesk" w:cs="Space Grotesk"/>
                <w:b/>
                <w:i w:val="0"/>
                <w:color w:val="14202B"/>
                <w:sz w:val="20"/>
              </w:rPr>
              <w:t>Bid Support</w:t>
            </w:r>
          </w:p>
        </w:tc>
        <w:tc>
          <w:tcPr>
            <w:tcW w:type="dxa" w:w="4650"/>
            <w:shd w:val="clear" w:color="auto" w:fill="ECEFF2"/>
            <w:tcBorders>
              <w:bottom w:val="single" w:sz="6" w:color="CDD5DC"/>
            </w:tcBorders>
          </w:tcPr>
          <w:p>
            <w:pPr>
              <w:spacing w:after="40"/>
            </w:pPr>
            <w:r>
              <w:rPr>
                <w:rFonts w:ascii="Space Grotesk" w:hAnsi="Space Grotesk" w:cs="Space Grotesk"/>
                <w:b w:val="0"/>
                <w:i w:val="0"/>
                <w:color w:val="5C6B79"/>
                <w:sz w:val="20"/>
              </w:rPr>
              <w:t>Win strategy and response</w:t>
            </w:r>
          </w:p>
        </w:tc>
        <w:tc>
          <w:tcPr>
            <w:tcW w:type="dxa" w:w="2721"/>
            <w:shd w:val="clear" w:color="auto" w:fill="ECEFF2"/>
            <w:tcBorders>
              <w:bottom w:val="single" w:sz="6" w:color="CDD5DC"/>
            </w:tcBorders>
          </w:tcPr>
          <w:p>
            <w:pPr>
              <w:spacing w:after="40"/>
            </w:pPr>
            <w:r>
              <w:rPr>
                <w:rFonts w:ascii="Space Grotesk" w:hAnsi="Space Grotesk" w:cs="Space Grotesk"/>
                <w:b w:val="0"/>
                <w:i w:val="0"/>
                <w:color w:val="5C6B79"/>
                <w:sz w:val="20"/>
              </w:rPr>
              <w:t>More winnable bids</w:t>
            </w:r>
          </w:p>
        </w:tc>
      </w:tr>
      <w:tr>
        <w:tc>
          <w:tcPr>
            <w:tcW w:type="dxa" w:w="2041"/>
            <w:tcBorders>
              <w:bottom w:val="single" w:sz="6" w:color="CDD5DC"/>
            </w:tcBorders>
          </w:tcPr>
          <w:p>
            <w:pPr>
              <w:spacing w:after="40"/>
            </w:pPr>
            <w:r>
              <w:rPr>
                <w:rFonts w:ascii="Space Grotesk" w:hAnsi="Space Grotesk" w:cs="Space Grotesk"/>
                <w:b/>
                <w:i w:val="0"/>
                <w:color w:val="14202B"/>
                <w:sz w:val="20"/>
              </w:rPr>
              <w:t>OWL suite</w:t>
            </w:r>
          </w:p>
        </w:tc>
        <w:tc>
          <w:tcPr>
            <w:tcW w:type="dxa" w:w="4650"/>
            <w:tcBorders>
              <w:bottom w:val="single" w:sz="6" w:color="CDD5DC"/>
            </w:tcBorders>
          </w:tcPr>
          <w:p>
            <w:pPr>
              <w:spacing w:after="40"/>
            </w:pPr>
            <w:r>
              <w:rPr>
                <w:rFonts w:ascii="Space Grotesk" w:hAnsi="Space Grotesk" w:cs="Space Grotesk"/>
                <w:b w:val="0"/>
                <w:i w:val="0"/>
                <w:color w:val="5C6B79"/>
                <w:sz w:val="20"/>
              </w:rPr>
              <w:t>Software you run yourself</w:t>
            </w:r>
          </w:p>
        </w:tc>
        <w:tc>
          <w:tcPr>
            <w:tcW w:type="dxa" w:w="2721"/>
            <w:tcBorders>
              <w:bottom w:val="single" w:sz="6" w:color="CDD5DC"/>
            </w:tcBorders>
          </w:tcPr>
          <w:p>
            <w:pPr>
              <w:spacing w:after="40"/>
            </w:pPr>
            <w:r>
              <w:rPr>
                <w:rFonts w:ascii="Space Grotesk" w:hAnsi="Space Grotesk" w:cs="Space Grotesk"/>
                <w:b w:val="0"/>
                <w:i w:val="0"/>
                <w:color w:val="5C6B79"/>
                <w:sz w:val="20"/>
              </w:rPr>
              <w:t>Capacity that scales</w:t>
            </w:r>
          </w:p>
        </w:tc>
      </w:tr>
    </w:tbl>
    <w:p>
      <w:pPr>
        <w:spacing w:after="160"/>
      </w:pPr>
    </w:p>
    <w:p>
      <w:pPr>
        <w:pStyle w:val="OWHeading1"/>
      </w:pPr>
      <w:r>
        <w:t>Two doors, one team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DCEDEF"/>
            <w:tcMar>
              <w:top w:w="200" w:type="dxa"/>
              <w:bottom w:w="200" w:type="dxa"/>
              <w:start w:w="220" w:type="dxa"/>
              <w:end w:w="220" w:type="dxa"/>
            </w:tcMar>
          </w:tcPr>
          <w:p>
            <w:pPr>
              <w:spacing w:after="40"/>
            </w:pPr>
            <w:r>
              <w:rPr>
                <w:rFonts w:ascii="IBM Plex Mono" w:hAnsi="IBM Plex Mono" w:cs="IBM Plex Mono"/>
                <w:b w:val="0"/>
                <w:i w:val="0"/>
                <w:color w:val="15727C"/>
                <w:sz w:val="17"/>
                <w:caps w:val="true"/>
                <w:spacing w:val="20"/>
              </w:rPr>
              <w:t>Consultancy</w:t>
            </w:r>
          </w:p>
          <w:p>
            <w:pPr>
              <w:spacing w:after="40"/>
            </w:pPr>
            <w:r>
              <w:rPr>
                <w:rFonts w:ascii="Space Grotesk" w:hAnsi="Space Grotesk" w:cs="Space Grotesk"/>
                <w:b/>
                <w:i w:val="0"/>
                <w:color w:val="06395B"/>
                <w:sz w:val="26"/>
              </w:rPr>
              <w:t>Work with our team</w:t>
            </w:r>
          </w:p>
          <w:p>
            <w:pPr>
              <w:spacing w:after="80"/>
            </w:pPr>
            <w:r>
              <w:rPr>
                <w:rFonts w:ascii="Space Grotesk" w:hAnsi="Space Grotesk" w:cs="Space Grotesk"/>
                <w:b w:val="0"/>
                <w:i w:val="0"/>
                <w:color w:val="5C6B79"/>
                <w:sz w:val="20"/>
              </w:rPr>
              <w:t>Advisory, bid support, and bespoke tooling.</w:t>
            </w:r>
          </w:p>
          <w:p>
            <w:r>
              <w:rPr>
                <w:rFonts w:ascii="IBM Plex Mono" w:hAnsi="IBM Plex Mono" w:cs="IBM Plex Mono"/>
                <w:b w:val="0"/>
                <w:i w:val="0"/>
                <w:color w:val="15727C"/>
                <w:sz w:val="18"/>
              </w:rPr>
              <w:t>hello@outcomeworks.co.uk</w:t>
            </w:r>
          </w:p>
        </w:tc>
        <w:tc>
          <w:tcPr>
            <w:tcW w:type="dxa" w:w="4706"/>
            <w:shd w:val="clear" w:color="auto" w:fill="F6E6DE"/>
            <w:tcMar>
              <w:top w:w="200" w:type="dxa"/>
              <w:bottom w:w="200" w:type="dxa"/>
              <w:start w:w="220" w:type="dxa"/>
              <w:end w:w="220" w:type="dxa"/>
            </w:tcMar>
          </w:tcPr>
          <w:p>
            <w:pPr>
              <w:spacing w:after="40"/>
            </w:pPr>
            <w:r>
              <w:rPr>
                <w:rFonts w:ascii="IBM Plex Mono" w:hAnsi="IBM Plex Mono" w:cs="IBM Plex Mono"/>
                <w:b w:val="0"/>
                <w:i w:val="0"/>
                <w:color w:val="C2562F"/>
                <w:sz w:val="17"/>
                <w:caps w:val="true"/>
                <w:spacing w:val="20"/>
              </w:rPr>
              <w:t>Products</w:t>
            </w:r>
          </w:p>
          <w:p>
            <w:pPr>
              <w:spacing w:after="40"/>
            </w:pPr>
            <w:r>
              <w:rPr>
                <w:rFonts w:ascii="Space Grotesk" w:hAnsi="Space Grotesk" w:cs="Space Grotesk"/>
                <w:b/>
                <w:i w:val="0"/>
                <w:color w:val="06395B"/>
                <w:sz w:val="26"/>
              </w:rPr>
              <w:t>Run the OWL suite</w:t>
            </w:r>
          </w:p>
          <w:p>
            <w:pPr>
              <w:spacing w:after="80"/>
            </w:pPr>
            <w:r>
              <w:rPr>
                <w:rFonts w:ascii="Space Grotesk" w:hAnsi="Space Grotesk" w:cs="Space Grotesk"/>
                <w:b w:val="0"/>
                <w:i w:val="0"/>
                <w:color w:val="5C6B79"/>
                <w:sz w:val="20"/>
              </w:rPr>
              <w:t>Software you operate yourself, from day one.</w:t>
            </w:r>
          </w:p>
          <w:p>
            <w:r>
              <w:rPr>
                <w:rFonts w:ascii="IBM Plex Mono" w:hAnsi="IBM Plex Mono" w:cs="IBM Plex Mono"/>
                <w:b w:val="0"/>
                <w:i w:val="0"/>
                <w:color w:val="C2562F"/>
                <w:sz w:val="18"/>
              </w:rPr>
              <w:t>outcomeworks.co.uk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1906" w:h="16838"/>
      <w:pgMar w:top="1247" w:right="1247" w:bottom="1247" w:left="124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2" w:val="right"/>
      </w:tabs>
    </w:pPr>
    <w:r>
      <w:rPr>
        <w:rFonts w:ascii="IBM Plex Mono" w:hAnsi="IBM Plex Mono" w:cs="IBM Plex Mono"/>
        <w:b w:val="0"/>
        <w:i w:val="0"/>
        <w:color w:val="5C6B79"/>
        <w:sz w:val="15"/>
      </w:rPr>
      <w:t>Outcome Works Limited  ·  Public-sector &amp; enterprise procurement  ·  UK &amp; EU  ·  Commercial in confidence</w:t>
    </w:r>
    <w:r>
      <w:tab/>
    </w:r>
    <w:r>
      <w:rPr>
        <w:rFonts w:ascii="IBM Plex Mono" w:hAnsi="IBM Plex Mono" w:cs="IBM Plex Mono"/>
        <w:b w:val="0"/>
        <w:i w:val="0"/>
        <w:color w:val="5C6B7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2" w:val="right"/>
      </w:tabs>
      <w:pBdr>
        <w:bottom w:val="single" w:sz="6" w:space="6" w:color="179EB2"/>
      </w:pBdr>
    </w:pPr>
    <w:r>
      <w:drawing>
        <wp:inline xmlns:a="http://schemas.openxmlformats.org/drawingml/2006/main" xmlns:pic="http://schemas.openxmlformats.org/drawingml/2006/picture">
          <wp:extent cx="149182" cy="182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w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182" cy="18288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pace Grotesk" w:hAnsi="Space Grotesk" w:cs="Space Grotesk"/>
        <w:b/>
        <w:i w:val="0"/>
        <w:color w:val="06395B"/>
        <w:sz w:val="18"/>
      </w:rPr>
      <w:t xml:space="preserve">  Outcome Works</w:t>
    </w:r>
    <w:r>
      <w:rPr>
        <w:rFonts w:ascii="IBM Plex Mono" w:hAnsi="IBM Plex Mono" w:cs="IBM Plex Mono"/>
        <w:b w:val="0"/>
        <w:i w:val="0"/>
        <w:color w:val="5C6B79"/>
        <w:sz w:val="16"/>
        <w:caps w:val="true"/>
        <w:spacing w:val="15"/>
      </w:rPr>
      <w:tab/>
      <w:t>Document Title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7" w:lineRule="auto"/>
    </w:pPr>
    <w:rPr>
      <w:rFonts w:ascii="Space Grotesk" w:hAnsi="Space Grotesk" w:cs="Space Grotesk"/>
      <w:b w:val="0"/>
      <w:i w:val="0"/>
      <w:color w:val="1420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WTitle">
    <w:name w:val="OW Title"/>
    <w:basedOn w:val="Normal"/>
    <w:pPr>
      <w:spacing w:after="120"/>
    </w:pPr>
    <w:rPr>
      <w:rFonts w:ascii="Space Grotesk" w:hAnsi="Space Grotesk" w:cs="Space Grotesk"/>
      <w:b/>
      <w:i w:val="0"/>
      <w:color w:val="06395B"/>
      <w:sz w:val="64"/>
      <w:spacing w:val="-20"/>
    </w:rPr>
  </w:style>
  <w:style w:type="paragraph" w:customStyle="1" w:styleId="OWSubtitle">
    <w:name w:val="OW Subtitle"/>
    <w:basedOn w:val="Normal"/>
    <w:pPr>
      <w:spacing w:after="200"/>
    </w:pPr>
    <w:rPr>
      <w:rFonts w:ascii="Space Grotesk" w:hAnsi="Space Grotesk" w:cs="Space Grotesk"/>
      <w:b w:val="0"/>
      <w:i w:val="0"/>
      <w:color w:val="5C6B79"/>
      <w:sz w:val="28"/>
    </w:rPr>
  </w:style>
  <w:style w:type="paragraph" w:customStyle="1" w:styleId="OWEyebrow">
    <w:name w:val="OW Eyebrow"/>
    <w:basedOn w:val="Normal"/>
    <w:pPr>
      <w:spacing w:after="80"/>
    </w:pPr>
    <w:rPr>
      <w:rFonts w:ascii="IBM Plex Mono" w:hAnsi="IBM Plex Mono" w:cs="IBM Plex Mono"/>
      <w:b w:val="0"/>
      <w:i w:val="0"/>
      <w:color w:val="5C6B79"/>
      <w:sz w:val="17"/>
      <w:caps w:val="true"/>
      <w:spacing w:val="28"/>
    </w:rPr>
  </w:style>
  <w:style w:type="paragraph" w:customStyle="1" w:styleId="OWLead">
    <w:name w:val="OW Lead"/>
    <w:basedOn w:val="Normal"/>
    <w:pPr>
      <w:spacing w:after="240" w:line="336" w:lineRule="auto"/>
    </w:pPr>
    <w:rPr>
      <w:rFonts w:ascii="Space Grotesk" w:hAnsi="Space Grotesk" w:cs="Space Grotesk"/>
      <w:b w:val="0"/>
      <w:i w:val="0"/>
      <w:color w:val="5C6B79"/>
      <w:sz w:val="26"/>
    </w:rPr>
  </w:style>
  <w:style w:type="paragraph" w:customStyle="1" w:styleId="OWHeading1">
    <w:name w:val="OW Heading 1"/>
    <w:basedOn w:val="Normal"/>
    <w:pPr>
      <w:spacing w:before="360" w:after="120"/>
    </w:pPr>
    <w:rPr>
      <w:rFonts w:ascii="Space Grotesk" w:hAnsi="Space Grotesk" w:cs="Space Grotesk"/>
      <w:b/>
      <w:i w:val="0"/>
      <w:color w:val="06395B"/>
      <w:sz w:val="40"/>
      <w:spacing w:val="-12"/>
    </w:rPr>
  </w:style>
  <w:style w:type="paragraph" w:customStyle="1" w:styleId="OWHeading2">
    <w:name w:val="OW Heading 2"/>
    <w:basedOn w:val="Normal"/>
    <w:pPr>
      <w:spacing w:before="280" w:after="80"/>
    </w:pPr>
    <w:rPr>
      <w:rFonts w:ascii="Space Grotesk" w:hAnsi="Space Grotesk" w:cs="Space Grotesk"/>
      <w:b/>
      <w:i w:val="0"/>
      <w:color w:val="06395B"/>
      <w:sz w:val="30"/>
      <w:spacing w:val="-8"/>
    </w:rPr>
  </w:style>
  <w:style w:type="paragraph" w:customStyle="1" w:styleId="OWHeading3">
    <w:name w:val="OW Heading 3"/>
    <w:basedOn w:val="Normal"/>
    <w:pPr>
      <w:spacing w:before="200" w:after="60"/>
    </w:pPr>
    <w:rPr>
      <w:rFonts w:ascii="Space Grotesk" w:hAnsi="Space Grotesk" w:cs="Space Grotesk"/>
      <w:b/>
      <w:i w:val="0"/>
      <w:color w:val="15727C"/>
      <w:sz w:val="24"/>
    </w:rPr>
  </w:style>
  <w:style w:type="paragraph" w:customStyle="1" w:styleId="OWCaption">
    <w:name w:val="OW Caption"/>
    <w:basedOn w:val="Normal"/>
    <w:pPr>
      <w:spacing w:after="120"/>
    </w:pPr>
    <w:rPr>
      <w:rFonts w:ascii="IBM Plex Mono" w:hAnsi="IBM Plex Mono" w:cs="IBM Plex Mono"/>
      <w:b w:val="0"/>
      <w:i w:val="0"/>
      <w:color w:val="5C6B79"/>
      <w:sz w:val="17"/>
    </w:rPr>
  </w:style>
  <w:style w:type="paragraph" w:customStyle="1" w:styleId="OWStatNumber">
    <w:name w:val="OW Stat Number"/>
    <w:basedOn w:val="Normal"/>
    <w:pPr>
      <w:spacing w:after="0" w:line="240" w:lineRule="auto"/>
    </w:pPr>
    <w:rPr>
      <w:rFonts w:ascii="Space Grotesk" w:hAnsi="Space Grotesk" w:cs="Space Grotesk"/>
      <w:b/>
      <w:i w:val="0"/>
      <w:color w:val="06395B"/>
      <w:sz w:val="80"/>
      <w:spacing w:val="-30"/>
    </w:rPr>
  </w:style>
  <w:style w:type="paragraph" w:customStyle="1" w:styleId="OWStatLabel">
    <w:name w:val="OW Stat Label"/>
    <w:basedOn w:val="Normal"/>
    <w:pPr>
      <w:spacing w:after="160"/>
    </w:pPr>
    <w:rPr>
      <w:rFonts w:ascii="IBM Plex Mono" w:hAnsi="IBM Plex Mono" w:cs="IBM Plex Mono"/>
      <w:b w:val="0"/>
      <w:i w:val="0"/>
      <w:color w:val="5C6B79"/>
      <w:sz w:val="18"/>
      <w:caps w:val="true"/>
      <w:spacing w:val="20"/>
    </w:rPr>
  </w:style>
  <w:style w:type="paragraph" w:customStyle="1" w:styleId="OWCallout">
    <w:name w:val="OW Callout"/>
    <w:basedOn w:val="Normal"/>
    <w:pPr>
      <w:spacing w:before="120" w:after="120"/>
    </w:pPr>
    <w:rPr>
      <w:rFonts w:ascii="Space Grotesk" w:hAnsi="Space Grotesk" w:cs="Space Grotesk"/>
      <w:b w:val="0"/>
      <w:i w:val="0"/>
      <w:color w:val="14202B"/>
      <w:sz w:val="21"/>
    </w:rPr>
  </w:style>
  <w:style w:type="paragraph" w:customStyle="1" w:styleId="OWPullQuote">
    <w:name w:val="OW Pull Quote"/>
    <w:basedOn w:val="Normal"/>
    <w:pPr>
      <w:spacing w:after="40" w:line="312" w:lineRule="auto"/>
    </w:pPr>
    <w:rPr>
      <w:rFonts w:ascii="Space Grotesk" w:hAnsi="Space Grotesk" w:cs="Space Grotesk"/>
      <w:b w:val="0"/>
      <w:i w:val="0"/>
      <w:color w:val="06395B"/>
      <w:sz w:val="30"/>
    </w:rPr>
  </w:style>
  <w:style w:type="paragraph" w:customStyle="1" w:styleId="OWAttribution">
    <w:name w:val="OW Attribution"/>
    <w:basedOn w:val="Normal"/>
    <w:pPr>
      <w:spacing w:after="200"/>
    </w:pPr>
    <w:rPr>
      <w:rFonts w:ascii="IBM Plex Mono" w:hAnsi="IBM Plex Mono" w:cs="IBM Plex Mono"/>
      <w:b w:val="0"/>
      <w:i w:val="0"/>
      <w:color w:val="5C6B79"/>
      <w:sz w:val="17"/>
      <w:caps w:val="true"/>
      <w:spacing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