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55FDF" w14:textId="2554CEC9" w:rsidR="0068205A" w:rsidRPr="0068205A" w:rsidRDefault="00B313AB" w:rsidP="0068205A">
      <w:pPr>
        <w:spacing w:before="100" w:beforeAutospacing="1" w:after="100" w:afterAutospacing="1" w:line="240" w:lineRule="auto"/>
        <w:outlineLvl w:val="1"/>
        <w:rPr>
          <w:rFonts w:ascii="Calibri" w:eastAsia="Times New Roman" w:hAnsi="Calibri" w:cs="Calibri"/>
          <w:b/>
          <w:bCs/>
          <w:kern w:val="0"/>
          <w14:ligatures w14:val="none"/>
        </w:rPr>
      </w:pPr>
      <w:r w:rsidRPr="00374B6A">
        <w:rPr>
          <w:rFonts w:ascii="Calibri" w:eastAsia="Times New Roman" w:hAnsi="Calibri" w:cs="Calibri"/>
          <w:b/>
          <w:bCs/>
          <w:kern w:val="0"/>
          <w14:ligatures w14:val="none"/>
        </w:rPr>
        <w:t>Effect Size Measure: Risk Difference (Example)</w:t>
      </w:r>
    </w:p>
    <w:p w14:paraId="280BAB4E" w14:textId="70A188E1" w:rsidR="0068205A" w:rsidRPr="0068205A" w:rsidRDefault="0068205A" w:rsidP="0068205A">
      <w:p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b/>
          <w:bCs/>
          <w:kern w:val="0"/>
          <w14:ligatures w14:val="none"/>
        </w:rPr>
        <w:t>Title:</w:t>
      </w:r>
      <w:r w:rsidRPr="0068205A">
        <w:rPr>
          <w:rFonts w:ascii="Calibri" w:eastAsia="Times New Roman" w:hAnsi="Calibri" w:cs="Calibri"/>
          <w:kern w:val="0"/>
          <w14:ligatures w14:val="none"/>
        </w:rPr>
        <w:t xml:space="preserve"> </w:t>
      </w:r>
      <w:r w:rsidR="00B313AB" w:rsidRPr="00374B6A">
        <w:rPr>
          <w:rFonts w:ascii="Calibri" w:eastAsia="Times New Roman" w:hAnsi="Calibri" w:cs="Calibri"/>
          <w:kern w:val="0"/>
          <w14:ligatures w14:val="none"/>
        </w:rPr>
        <w:t>“</w:t>
      </w:r>
      <w:r w:rsidRPr="0068205A">
        <w:rPr>
          <w:rFonts w:ascii="Calibri" w:eastAsia="Times New Roman" w:hAnsi="Calibri" w:cs="Calibri"/>
          <w:kern w:val="0"/>
          <w14:ligatures w14:val="none"/>
        </w:rPr>
        <w:t>Optimal Medication for Glaucoma Intervention in Comparative Analysis</w:t>
      </w:r>
      <w:r w:rsidR="00B313AB" w:rsidRPr="00374B6A">
        <w:rPr>
          <w:rFonts w:ascii="Calibri" w:eastAsia="Times New Roman" w:hAnsi="Calibri" w:cs="Calibri"/>
          <w:kern w:val="0"/>
          <w14:ligatures w14:val="none"/>
        </w:rPr>
        <w:t xml:space="preserve"> (OPTIMA)”</w:t>
      </w:r>
    </w:p>
    <w:p w14:paraId="62B79923" w14:textId="77777777" w:rsidR="0068205A" w:rsidRPr="0068205A" w:rsidRDefault="0068205A" w:rsidP="0068205A">
      <w:pPr>
        <w:spacing w:before="100" w:beforeAutospacing="1" w:after="100" w:afterAutospacing="1" w:line="240" w:lineRule="auto"/>
        <w:outlineLvl w:val="2"/>
        <w:rPr>
          <w:rFonts w:ascii="Calibri" w:eastAsia="Times New Roman" w:hAnsi="Calibri" w:cs="Calibri"/>
          <w:b/>
          <w:bCs/>
          <w:kern w:val="0"/>
          <w14:ligatures w14:val="none"/>
        </w:rPr>
      </w:pPr>
      <w:r w:rsidRPr="0068205A">
        <w:rPr>
          <w:rFonts w:ascii="Calibri" w:eastAsia="Times New Roman" w:hAnsi="Calibri" w:cs="Calibri"/>
          <w:b/>
          <w:bCs/>
          <w:kern w:val="0"/>
          <w14:ligatures w14:val="none"/>
        </w:rPr>
        <w:t>Research Question</w:t>
      </w:r>
    </w:p>
    <w:p w14:paraId="387AD0B2" w14:textId="77777777" w:rsidR="0068205A" w:rsidRPr="0068205A" w:rsidRDefault="0068205A" w:rsidP="0068205A">
      <w:p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kern w:val="0"/>
          <w14:ligatures w14:val="none"/>
        </w:rPr>
        <w:t>In patients with primary open-angle glaucoma, does medication A reduce the risk of developing glaucoma progression compared to medication B?</w:t>
      </w:r>
    </w:p>
    <w:p w14:paraId="5AA5159A" w14:textId="77777777" w:rsidR="0068205A" w:rsidRPr="0068205A" w:rsidRDefault="0068205A" w:rsidP="0068205A">
      <w:pPr>
        <w:spacing w:before="100" w:beforeAutospacing="1" w:after="100" w:afterAutospacing="1" w:line="240" w:lineRule="auto"/>
        <w:outlineLvl w:val="2"/>
        <w:rPr>
          <w:rFonts w:ascii="Calibri" w:eastAsia="Times New Roman" w:hAnsi="Calibri" w:cs="Calibri"/>
          <w:b/>
          <w:bCs/>
          <w:kern w:val="0"/>
          <w14:ligatures w14:val="none"/>
        </w:rPr>
      </w:pPr>
      <w:r w:rsidRPr="0068205A">
        <w:rPr>
          <w:rFonts w:ascii="Calibri" w:eastAsia="Times New Roman" w:hAnsi="Calibri" w:cs="Calibri"/>
          <w:b/>
          <w:bCs/>
          <w:kern w:val="0"/>
          <w14:ligatures w14:val="none"/>
        </w:rPr>
        <w:t>Study Design and Methods</w:t>
      </w:r>
    </w:p>
    <w:p w14:paraId="0A3AA617" w14:textId="77777777" w:rsidR="0068205A" w:rsidRPr="0068205A" w:rsidRDefault="0068205A" w:rsidP="0068205A">
      <w:pPr>
        <w:spacing w:before="100" w:beforeAutospacing="1" w:after="100" w:afterAutospacing="1" w:line="240" w:lineRule="auto"/>
        <w:outlineLvl w:val="3"/>
        <w:rPr>
          <w:rFonts w:ascii="Calibri" w:eastAsia="Times New Roman" w:hAnsi="Calibri" w:cs="Calibri"/>
          <w:b/>
          <w:bCs/>
          <w:kern w:val="0"/>
          <w14:ligatures w14:val="none"/>
        </w:rPr>
      </w:pPr>
      <w:r w:rsidRPr="0068205A">
        <w:rPr>
          <w:rFonts w:ascii="Calibri" w:eastAsia="Times New Roman" w:hAnsi="Calibri" w:cs="Calibri"/>
          <w:b/>
          <w:bCs/>
          <w:kern w:val="0"/>
          <w14:ligatures w14:val="none"/>
        </w:rPr>
        <w:t>Clinical Research Study Design</w:t>
      </w:r>
    </w:p>
    <w:p w14:paraId="07027E7A" w14:textId="7151D72B" w:rsidR="0068205A" w:rsidRPr="0068205A" w:rsidRDefault="0068205A" w:rsidP="0068205A">
      <w:p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kern w:val="0"/>
          <w14:ligatures w14:val="none"/>
        </w:rPr>
        <w:t xml:space="preserve">This study is a randomized controlled trial (RCT). The study followed participants over </w:t>
      </w:r>
      <w:r w:rsidR="00B313AB" w:rsidRPr="00374B6A">
        <w:rPr>
          <w:rFonts w:ascii="Calibri" w:eastAsia="Times New Roman" w:hAnsi="Calibri" w:cs="Calibri"/>
          <w:kern w:val="0"/>
          <w14:ligatures w14:val="none"/>
        </w:rPr>
        <w:t>2</w:t>
      </w:r>
      <w:r w:rsidRPr="0068205A">
        <w:rPr>
          <w:rFonts w:ascii="Calibri" w:eastAsia="Times New Roman" w:hAnsi="Calibri" w:cs="Calibri"/>
          <w:kern w:val="0"/>
          <w14:ligatures w14:val="none"/>
        </w:rPr>
        <w:t xml:space="preserve"> </w:t>
      </w:r>
      <w:r w:rsidR="00B313AB" w:rsidRPr="00374B6A">
        <w:rPr>
          <w:rFonts w:ascii="Calibri" w:eastAsia="Times New Roman" w:hAnsi="Calibri" w:cs="Calibri"/>
          <w:kern w:val="0"/>
          <w14:ligatures w14:val="none"/>
        </w:rPr>
        <w:t>years,</w:t>
      </w:r>
      <w:r w:rsidRPr="0068205A">
        <w:rPr>
          <w:rFonts w:ascii="Calibri" w:eastAsia="Times New Roman" w:hAnsi="Calibri" w:cs="Calibri"/>
          <w:kern w:val="0"/>
          <w14:ligatures w14:val="none"/>
        </w:rPr>
        <w:t xml:space="preserve"> </w:t>
      </w:r>
      <w:r w:rsidR="00B313AB" w:rsidRPr="00374B6A">
        <w:rPr>
          <w:rFonts w:ascii="Calibri" w:eastAsia="Times New Roman" w:hAnsi="Calibri" w:cs="Calibri"/>
          <w:kern w:val="0"/>
          <w14:ligatures w14:val="none"/>
        </w:rPr>
        <w:t>utilizing</w:t>
      </w:r>
      <w:r w:rsidRPr="0068205A">
        <w:rPr>
          <w:rFonts w:ascii="Calibri" w:eastAsia="Times New Roman" w:hAnsi="Calibri" w:cs="Calibri"/>
          <w:kern w:val="0"/>
          <w14:ligatures w14:val="none"/>
        </w:rPr>
        <w:t xml:space="preserve"> regular follow-up visits, visual field tests, and optic nerve evaluation</w:t>
      </w:r>
      <w:r w:rsidR="00B313AB" w:rsidRPr="00374B6A">
        <w:rPr>
          <w:rFonts w:ascii="Calibri" w:eastAsia="Times New Roman" w:hAnsi="Calibri" w:cs="Calibri"/>
          <w:kern w:val="0"/>
          <w14:ligatures w14:val="none"/>
        </w:rPr>
        <w:t>s</w:t>
      </w:r>
      <w:r w:rsidRPr="0068205A">
        <w:rPr>
          <w:rFonts w:ascii="Calibri" w:eastAsia="Times New Roman" w:hAnsi="Calibri" w:cs="Calibri"/>
          <w:kern w:val="0"/>
          <w14:ligatures w14:val="none"/>
        </w:rPr>
        <w:t xml:space="preserve"> to assess glaucoma progression.</w:t>
      </w:r>
    </w:p>
    <w:p w14:paraId="05BAB1B1" w14:textId="77777777" w:rsidR="0068205A" w:rsidRPr="0068205A" w:rsidRDefault="0068205A" w:rsidP="0068205A">
      <w:pPr>
        <w:spacing w:before="100" w:beforeAutospacing="1" w:after="100" w:afterAutospacing="1" w:line="240" w:lineRule="auto"/>
        <w:outlineLvl w:val="3"/>
        <w:rPr>
          <w:rFonts w:ascii="Calibri" w:eastAsia="Times New Roman" w:hAnsi="Calibri" w:cs="Calibri"/>
          <w:b/>
          <w:bCs/>
          <w:kern w:val="0"/>
          <w14:ligatures w14:val="none"/>
        </w:rPr>
      </w:pPr>
      <w:r w:rsidRPr="0068205A">
        <w:rPr>
          <w:rFonts w:ascii="Calibri" w:eastAsia="Times New Roman" w:hAnsi="Calibri" w:cs="Calibri"/>
          <w:b/>
          <w:bCs/>
          <w:kern w:val="0"/>
          <w14:ligatures w14:val="none"/>
        </w:rPr>
        <w:t>Study Population</w:t>
      </w:r>
    </w:p>
    <w:p w14:paraId="663F7C96" w14:textId="11644D86" w:rsidR="0068205A" w:rsidRPr="0068205A" w:rsidRDefault="0068205A" w:rsidP="0068205A">
      <w:pPr>
        <w:numPr>
          <w:ilvl w:val="0"/>
          <w:numId w:val="2"/>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b/>
          <w:bCs/>
          <w:kern w:val="0"/>
          <w14:ligatures w14:val="none"/>
        </w:rPr>
        <w:t>Number of participants:</w:t>
      </w:r>
      <w:r w:rsidRPr="0068205A">
        <w:rPr>
          <w:rFonts w:ascii="Calibri" w:eastAsia="Times New Roman" w:hAnsi="Calibri" w:cs="Calibri"/>
          <w:kern w:val="0"/>
          <w14:ligatures w14:val="none"/>
        </w:rPr>
        <w:t xml:space="preserve"> The study population consists of 500 individuals aged 40 and above w</w:t>
      </w:r>
      <w:r w:rsidR="00B313AB" w:rsidRPr="00374B6A">
        <w:rPr>
          <w:rFonts w:ascii="Calibri" w:eastAsia="Times New Roman" w:hAnsi="Calibri" w:cs="Calibri"/>
          <w:kern w:val="0"/>
          <w14:ligatures w14:val="none"/>
        </w:rPr>
        <w:t>ho</w:t>
      </w:r>
      <w:r w:rsidRPr="0068205A">
        <w:rPr>
          <w:rFonts w:ascii="Calibri" w:eastAsia="Times New Roman" w:hAnsi="Calibri" w:cs="Calibri"/>
          <w:kern w:val="0"/>
          <w14:ligatures w14:val="none"/>
        </w:rPr>
        <w:t xml:space="preserve"> </w:t>
      </w:r>
      <w:r w:rsidR="00B313AB" w:rsidRPr="00374B6A">
        <w:rPr>
          <w:rFonts w:ascii="Calibri" w:eastAsia="Times New Roman" w:hAnsi="Calibri" w:cs="Calibri"/>
          <w:kern w:val="0"/>
          <w14:ligatures w14:val="none"/>
        </w:rPr>
        <w:t>have</w:t>
      </w:r>
      <w:r w:rsidRPr="0068205A">
        <w:rPr>
          <w:rFonts w:ascii="Calibri" w:eastAsia="Times New Roman" w:hAnsi="Calibri" w:cs="Calibri"/>
          <w:kern w:val="0"/>
          <w14:ligatures w14:val="none"/>
        </w:rPr>
        <w:t xml:space="preserve"> </w:t>
      </w:r>
      <w:r w:rsidR="00B313AB" w:rsidRPr="00374B6A">
        <w:rPr>
          <w:rFonts w:ascii="Calibri" w:eastAsia="Times New Roman" w:hAnsi="Calibri" w:cs="Calibri"/>
          <w:kern w:val="0"/>
          <w14:ligatures w14:val="none"/>
        </w:rPr>
        <w:t>been diagnosed</w:t>
      </w:r>
      <w:r w:rsidRPr="0068205A">
        <w:rPr>
          <w:rFonts w:ascii="Calibri" w:eastAsia="Times New Roman" w:hAnsi="Calibri" w:cs="Calibri"/>
          <w:kern w:val="0"/>
          <w14:ligatures w14:val="none"/>
        </w:rPr>
        <w:t xml:space="preserve"> </w:t>
      </w:r>
      <w:r w:rsidR="00B313AB" w:rsidRPr="00374B6A">
        <w:rPr>
          <w:rFonts w:ascii="Calibri" w:eastAsia="Times New Roman" w:hAnsi="Calibri" w:cs="Calibri"/>
          <w:kern w:val="0"/>
          <w14:ligatures w14:val="none"/>
        </w:rPr>
        <w:t>with</w:t>
      </w:r>
      <w:r w:rsidRPr="0068205A">
        <w:rPr>
          <w:rFonts w:ascii="Calibri" w:eastAsia="Times New Roman" w:hAnsi="Calibri" w:cs="Calibri"/>
          <w:kern w:val="0"/>
          <w14:ligatures w14:val="none"/>
        </w:rPr>
        <w:t xml:space="preserve"> primary open-angle glaucoma.</w:t>
      </w:r>
    </w:p>
    <w:p w14:paraId="2C9B638E" w14:textId="77777777" w:rsidR="0068205A" w:rsidRPr="0068205A" w:rsidRDefault="0068205A" w:rsidP="0068205A">
      <w:pPr>
        <w:numPr>
          <w:ilvl w:val="0"/>
          <w:numId w:val="2"/>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b/>
          <w:bCs/>
          <w:kern w:val="0"/>
          <w14:ligatures w14:val="none"/>
        </w:rPr>
        <w:t>Location of recruitment:</w:t>
      </w:r>
      <w:r w:rsidRPr="0068205A">
        <w:rPr>
          <w:rFonts w:ascii="Calibri" w:eastAsia="Times New Roman" w:hAnsi="Calibri" w:cs="Calibri"/>
          <w:kern w:val="0"/>
          <w14:ligatures w14:val="none"/>
        </w:rPr>
        <w:t xml:space="preserve"> Participants were recruited from ophthalmology clinics in a tertiary care center.</w:t>
      </w:r>
    </w:p>
    <w:p w14:paraId="604708FD" w14:textId="77777777" w:rsidR="0068205A" w:rsidRPr="0068205A" w:rsidRDefault="0068205A" w:rsidP="0068205A">
      <w:pPr>
        <w:numPr>
          <w:ilvl w:val="0"/>
          <w:numId w:val="2"/>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b/>
          <w:bCs/>
          <w:kern w:val="0"/>
          <w14:ligatures w14:val="none"/>
        </w:rPr>
        <w:t>Inclusion/exclusion criteria:</w:t>
      </w:r>
      <w:r w:rsidRPr="0068205A">
        <w:rPr>
          <w:rFonts w:ascii="Calibri" w:eastAsia="Times New Roman" w:hAnsi="Calibri" w:cs="Calibri"/>
          <w:kern w:val="0"/>
          <w14:ligatures w14:val="none"/>
        </w:rPr>
        <w:t xml:space="preserve"> New diagnosis of primary open-angle glaucoma without previous medical treatment.</w:t>
      </w:r>
    </w:p>
    <w:p w14:paraId="2030B9EA" w14:textId="77777777" w:rsidR="0068205A" w:rsidRPr="0068205A" w:rsidRDefault="0068205A" w:rsidP="0068205A">
      <w:pPr>
        <w:spacing w:before="100" w:beforeAutospacing="1" w:after="100" w:afterAutospacing="1" w:line="240" w:lineRule="auto"/>
        <w:outlineLvl w:val="3"/>
        <w:rPr>
          <w:rFonts w:ascii="Calibri" w:eastAsia="Times New Roman" w:hAnsi="Calibri" w:cs="Calibri"/>
          <w:b/>
          <w:bCs/>
          <w:kern w:val="0"/>
          <w14:ligatures w14:val="none"/>
        </w:rPr>
      </w:pPr>
      <w:r w:rsidRPr="0068205A">
        <w:rPr>
          <w:rFonts w:ascii="Calibri" w:eastAsia="Times New Roman" w:hAnsi="Calibri" w:cs="Calibri"/>
          <w:b/>
          <w:bCs/>
          <w:kern w:val="0"/>
          <w14:ligatures w14:val="none"/>
        </w:rPr>
        <w:t>Variables Under Study</w:t>
      </w:r>
    </w:p>
    <w:p w14:paraId="0858FDFC" w14:textId="77777777" w:rsidR="0068205A" w:rsidRPr="0068205A" w:rsidRDefault="0068205A" w:rsidP="0068205A">
      <w:pPr>
        <w:numPr>
          <w:ilvl w:val="0"/>
          <w:numId w:val="3"/>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b/>
          <w:bCs/>
          <w:kern w:val="0"/>
          <w14:ligatures w14:val="none"/>
        </w:rPr>
        <w:t>Independent variable (exposure):</w:t>
      </w:r>
      <w:r w:rsidRPr="0068205A">
        <w:rPr>
          <w:rFonts w:ascii="Calibri" w:eastAsia="Times New Roman" w:hAnsi="Calibri" w:cs="Calibri"/>
          <w:kern w:val="0"/>
          <w14:ligatures w14:val="none"/>
        </w:rPr>
        <w:t xml:space="preserve"> The intervention group (n=250) received medication A, while the control group (n=250) received medication B.</w:t>
      </w:r>
    </w:p>
    <w:p w14:paraId="591453F5" w14:textId="77777777" w:rsidR="0068205A" w:rsidRPr="0068205A" w:rsidRDefault="0068205A" w:rsidP="0068205A">
      <w:pPr>
        <w:numPr>
          <w:ilvl w:val="0"/>
          <w:numId w:val="3"/>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b/>
          <w:bCs/>
          <w:kern w:val="0"/>
          <w14:ligatures w14:val="none"/>
        </w:rPr>
        <w:t>Dependent variable (outcome):</w:t>
      </w:r>
      <w:r w:rsidRPr="0068205A">
        <w:rPr>
          <w:rFonts w:ascii="Calibri" w:eastAsia="Times New Roman" w:hAnsi="Calibri" w:cs="Calibri"/>
          <w:kern w:val="0"/>
          <w14:ligatures w14:val="none"/>
        </w:rPr>
        <w:t xml:space="preserve"> The dependent variable is the risk of developing glaucoma progression.</w:t>
      </w:r>
    </w:p>
    <w:p w14:paraId="7BE5CCAB" w14:textId="77777777" w:rsidR="0068205A" w:rsidRPr="0068205A" w:rsidRDefault="0068205A" w:rsidP="0068205A">
      <w:pPr>
        <w:numPr>
          <w:ilvl w:val="0"/>
          <w:numId w:val="3"/>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b/>
          <w:bCs/>
          <w:kern w:val="0"/>
          <w14:ligatures w14:val="none"/>
        </w:rPr>
        <w:t>Effect size measure:</w:t>
      </w:r>
      <w:r w:rsidRPr="0068205A">
        <w:rPr>
          <w:rFonts w:ascii="Calibri" w:eastAsia="Times New Roman" w:hAnsi="Calibri" w:cs="Calibri"/>
          <w:kern w:val="0"/>
          <w14:ligatures w14:val="none"/>
        </w:rPr>
        <w:t xml:space="preserve"> Risk difference in developing glaucoma progression.</w:t>
      </w:r>
    </w:p>
    <w:p w14:paraId="39E9C730" w14:textId="210E49E3" w:rsidR="0068205A" w:rsidRPr="0068205A" w:rsidRDefault="0068205A" w:rsidP="0068205A">
      <w:pPr>
        <w:numPr>
          <w:ilvl w:val="0"/>
          <w:numId w:val="3"/>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b/>
          <w:bCs/>
          <w:kern w:val="0"/>
          <w14:ligatures w14:val="none"/>
        </w:rPr>
        <w:t>Minimal Clinically Important Difference (MCID):</w:t>
      </w:r>
      <w:r w:rsidRPr="0068205A">
        <w:rPr>
          <w:rFonts w:ascii="Calibri" w:eastAsia="Times New Roman" w:hAnsi="Calibri" w:cs="Calibri"/>
          <w:kern w:val="0"/>
          <w14:ligatures w14:val="none"/>
        </w:rPr>
        <w:t xml:space="preserve"> </w:t>
      </w:r>
      <w:r w:rsidR="00B313AB" w:rsidRPr="00374B6A">
        <w:rPr>
          <w:rFonts w:ascii="Calibri" w:eastAsia="Times New Roman" w:hAnsi="Calibri" w:cs="Calibri"/>
          <w:kern w:val="0"/>
          <w14:ligatures w14:val="none"/>
        </w:rPr>
        <w:t>Before</w:t>
      </w:r>
      <w:r w:rsidRPr="0068205A">
        <w:rPr>
          <w:rFonts w:ascii="Calibri" w:eastAsia="Times New Roman" w:hAnsi="Calibri" w:cs="Calibri"/>
          <w:kern w:val="0"/>
          <w14:ligatures w14:val="none"/>
        </w:rPr>
        <w:t xml:space="preserve"> the study, the investigators surveyed a group of expert ophthalmologists and determined that a risk difference of 10% or more in the rate of </w:t>
      </w:r>
      <w:r w:rsidR="00B313AB" w:rsidRPr="00374B6A">
        <w:rPr>
          <w:rFonts w:ascii="Calibri" w:eastAsia="Times New Roman" w:hAnsi="Calibri" w:cs="Calibri"/>
          <w:kern w:val="0"/>
          <w14:ligatures w14:val="none"/>
        </w:rPr>
        <w:t>glaucoma</w:t>
      </w:r>
      <w:r w:rsidRPr="0068205A">
        <w:rPr>
          <w:rFonts w:ascii="Calibri" w:eastAsia="Times New Roman" w:hAnsi="Calibri" w:cs="Calibri"/>
          <w:kern w:val="0"/>
          <w14:ligatures w14:val="none"/>
        </w:rPr>
        <w:t xml:space="preserve"> </w:t>
      </w:r>
      <w:r w:rsidR="00B313AB" w:rsidRPr="00374B6A">
        <w:rPr>
          <w:rFonts w:ascii="Calibri" w:eastAsia="Times New Roman" w:hAnsi="Calibri" w:cs="Calibri"/>
          <w:kern w:val="0"/>
          <w14:ligatures w14:val="none"/>
        </w:rPr>
        <w:t>progression</w:t>
      </w:r>
      <w:r w:rsidRPr="0068205A">
        <w:rPr>
          <w:rFonts w:ascii="Calibri" w:eastAsia="Times New Roman" w:hAnsi="Calibri" w:cs="Calibri"/>
          <w:kern w:val="0"/>
          <w14:ligatures w14:val="none"/>
        </w:rPr>
        <w:t xml:space="preserve"> is </w:t>
      </w:r>
      <w:r w:rsidR="00B313AB" w:rsidRPr="00374B6A">
        <w:rPr>
          <w:rFonts w:ascii="Calibri" w:eastAsia="Times New Roman" w:hAnsi="Calibri" w:cs="Calibri"/>
          <w:kern w:val="0"/>
          <w14:ligatures w14:val="none"/>
        </w:rPr>
        <w:t xml:space="preserve">considered </w:t>
      </w:r>
      <w:r w:rsidRPr="0068205A">
        <w:rPr>
          <w:rFonts w:ascii="Calibri" w:eastAsia="Times New Roman" w:hAnsi="Calibri" w:cs="Calibri"/>
          <w:kern w:val="0"/>
          <w14:ligatures w14:val="none"/>
        </w:rPr>
        <w:t>clinically meaningful. Thus, the investigators declared the MCID for the risk difference for this study to be 10% or greater.</w:t>
      </w:r>
    </w:p>
    <w:p w14:paraId="588B5B12" w14:textId="77777777" w:rsidR="0068205A" w:rsidRPr="0068205A" w:rsidRDefault="0068205A" w:rsidP="0068205A">
      <w:pPr>
        <w:spacing w:before="100" w:beforeAutospacing="1" w:after="100" w:afterAutospacing="1" w:line="240" w:lineRule="auto"/>
        <w:outlineLvl w:val="2"/>
        <w:rPr>
          <w:rFonts w:ascii="Calibri" w:eastAsia="Times New Roman" w:hAnsi="Calibri" w:cs="Calibri"/>
          <w:b/>
          <w:bCs/>
          <w:kern w:val="0"/>
          <w14:ligatures w14:val="none"/>
        </w:rPr>
      </w:pPr>
      <w:r w:rsidRPr="0068205A">
        <w:rPr>
          <w:rFonts w:ascii="Calibri" w:eastAsia="Times New Roman" w:hAnsi="Calibri" w:cs="Calibri"/>
          <w:b/>
          <w:bCs/>
          <w:kern w:val="0"/>
          <w14:ligatures w14:val="none"/>
        </w:rPr>
        <w:t>Results</w:t>
      </w:r>
    </w:p>
    <w:p w14:paraId="7531AB2F" w14:textId="77777777" w:rsidR="0068205A" w:rsidRPr="0068205A" w:rsidRDefault="0068205A" w:rsidP="0068205A">
      <w:pPr>
        <w:spacing w:before="100" w:beforeAutospacing="1" w:after="100" w:afterAutospacing="1" w:line="240" w:lineRule="auto"/>
        <w:outlineLvl w:val="3"/>
        <w:rPr>
          <w:rFonts w:ascii="Calibri" w:eastAsia="Times New Roman" w:hAnsi="Calibri" w:cs="Calibri"/>
          <w:b/>
          <w:bCs/>
          <w:kern w:val="0"/>
          <w14:ligatures w14:val="none"/>
        </w:rPr>
      </w:pPr>
      <w:r w:rsidRPr="0068205A">
        <w:rPr>
          <w:rFonts w:ascii="Calibri" w:eastAsia="Times New Roman" w:hAnsi="Calibri" w:cs="Calibri"/>
          <w:b/>
          <w:bCs/>
          <w:kern w:val="0"/>
          <w14:ligatures w14:val="none"/>
        </w:rPr>
        <w:t>Point Estimate</w:t>
      </w:r>
    </w:p>
    <w:p w14:paraId="0D812EA0" w14:textId="77777777" w:rsidR="0068205A" w:rsidRPr="0068205A" w:rsidRDefault="0068205A" w:rsidP="0068205A">
      <w:p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kern w:val="0"/>
          <w14:ligatures w14:val="none"/>
        </w:rPr>
        <w:lastRenderedPageBreak/>
        <w:t xml:space="preserve">In the intervention group (medication A), the risk of glaucoma progression was 20% (50/250), while in the control group (medication B), the risk was 35% (88/250). Thus, the </w:t>
      </w:r>
      <w:r w:rsidRPr="0068205A">
        <w:rPr>
          <w:rFonts w:ascii="Calibri" w:eastAsia="Times New Roman" w:hAnsi="Calibri" w:cs="Calibri"/>
          <w:b/>
          <w:bCs/>
          <w:kern w:val="0"/>
          <w14:ligatures w14:val="none"/>
        </w:rPr>
        <w:t>risk difference in developing glaucoma progression was 15%</w:t>
      </w:r>
      <w:r w:rsidRPr="0068205A">
        <w:rPr>
          <w:rFonts w:ascii="Calibri" w:eastAsia="Times New Roman" w:hAnsi="Calibri" w:cs="Calibri"/>
          <w:kern w:val="0"/>
          <w14:ligatures w14:val="none"/>
        </w:rPr>
        <w:t xml:space="preserve"> (a reduction).</w:t>
      </w:r>
    </w:p>
    <w:p w14:paraId="36650726" w14:textId="6D29A642" w:rsidR="0068205A" w:rsidRPr="0068205A" w:rsidRDefault="00B313AB" w:rsidP="00B313AB">
      <w:pPr>
        <w:spacing w:before="100" w:beforeAutospacing="1" w:after="100" w:afterAutospacing="1" w:line="240" w:lineRule="auto"/>
        <w:outlineLvl w:val="3"/>
        <w:rPr>
          <w:rFonts w:ascii="Calibri" w:eastAsia="Times New Roman" w:hAnsi="Calibri" w:cs="Calibri"/>
          <w:kern w:val="0"/>
          <w14:ligatures w14:val="none"/>
        </w:rPr>
      </w:pPr>
      <w:r w:rsidRPr="00374B6A">
        <w:rPr>
          <w:rFonts w:ascii="Calibri" w:eastAsia="Times New Roman" w:hAnsi="Calibri" w:cs="Calibri"/>
          <w:b/>
          <w:bCs/>
          <w:kern w:val="0"/>
          <w14:ligatures w14:val="none"/>
        </w:rPr>
        <w:t xml:space="preserve">95% </w:t>
      </w:r>
      <w:r w:rsidR="0068205A" w:rsidRPr="0068205A">
        <w:rPr>
          <w:rFonts w:ascii="Calibri" w:eastAsia="Times New Roman" w:hAnsi="Calibri" w:cs="Calibri"/>
          <w:b/>
          <w:bCs/>
          <w:kern w:val="0"/>
          <w14:ligatures w14:val="none"/>
        </w:rPr>
        <w:t>Confidence Interval</w:t>
      </w:r>
      <w:r w:rsidRPr="00374B6A">
        <w:rPr>
          <w:rFonts w:ascii="Calibri" w:eastAsia="Times New Roman" w:hAnsi="Calibri" w:cs="Calibri"/>
          <w:b/>
          <w:bCs/>
          <w:kern w:val="0"/>
          <w14:ligatures w14:val="none"/>
        </w:rPr>
        <w:t>:</w:t>
      </w:r>
      <w:r w:rsidR="0068205A" w:rsidRPr="0068205A">
        <w:rPr>
          <w:rFonts w:ascii="Calibri" w:eastAsia="Times New Roman" w:hAnsi="Calibri" w:cs="Calibri"/>
          <w:kern w:val="0"/>
          <w14:ligatures w14:val="none"/>
        </w:rPr>
        <w:t xml:space="preserve"> 8% to 22%</w:t>
      </w:r>
    </w:p>
    <w:p w14:paraId="36E77F45" w14:textId="2D722923" w:rsidR="0068205A" w:rsidRPr="0068205A" w:rsidRDefault="0068205A" w:rsidP="00B313AB">
      <w:pPr>
        <w:spacing w:before="100" w:beforeAutospacing="1" w:after="100" w:afterAutospacing="1" w:line="240" w:lineRule="auto"/>
        <w:outlineLvl w:val="3"/>
        <w:rPr>
          <w:rFonts w:ascii="Calibri" w:eastAsia="Times New Roman" w:hAnsi="Calibri" w:cs="Calibri"/>
          <w:kern w:val="0"/>
          <w14:ligatures w14:val="none"/>
        </w:rPr>
      </w:pPr>
      <w:r w:rsidRPr="0068205A">
        <w:rPr>
          <w:rFonts w:ascii="Calibri" w:eastAsia="Times New Roman" w:hAnsi="Calibri" w:cs="Calibri"/>
          <w:b/>
          <w:bCs/>
          <w:kern w:val="0"/>
          <w14:ligatures w14:val="none"/>
        </w:rPr>
        <w:t>p-Value</w:t>
      </w:r>
      <w:r w:rsidR="00B313AB" w:rsidRPr="00374B6A">
        <w:rPr>
          <w:rFonts w:ascii="Calibri" w:eastAsia="Times New Roman" w:hAnsi="Calibri" w:cs="Calibri"/>
          <w:b/>
          <w:bCs/>
          <w:kern w:val="0"/>
          <w14:ligatures w14:val="none"/>
        </w:rPr>
        <w:t xml:space="preserve">: </w:t>
      </w:r>
      <w:r w:rsidRPr="0068205A">
        <w:rPr>
          <w:rFonts w:ascii="Calibri" w:eastAsia="Times New Roman" w:hAnsi="Calibri" w:cs="Calibri"/>
          <w:b/>
          <w:bCs/>
          <w:kern w:val="0"/>
          <w14:ligatures w14:val="none"/>
        </w:rPr>
        <w:t>p &lt; 0.001</w:t>
      </w:r>
    </w:p>
    <w:p w14:paraId="6A0A3CAD" w14:textId="77777777" w:rsidR="0068205A" w:rsidRPr="0068205A" w:rsidRDefault="0068205A" w:rsidP="0068205A">
      <w:pPr>
        <w:spacing w:before="100" w:beforeAutospacing="1" w:after="100" w:afterAutospacing="1" w:line="240" w:lineRule="auto"/>
        <w:outlineLvl w:val="2"/>
        <w:rPr>
          <w:rFonts w:ascii="Calibri" w:eastAsia="Times New Roman" w:hAnsi="Calibri" w:cs="Calibri"/>
          <w:b/>
          <w:bCs/>
          <w:kern w:val="0"/>
          <w14:ligatures w14:val="none"/>
        </w:rPr>
      </w:pPr>
      <w:r w:rsidRPr="0068205A">
        <w:rPr>
          <w:rFonts w:ascii="Calibri" w:eastAsia="Times New Roman" w:hAnsi="Calibri" w:cs="Calibri"/>
          <w:b/>
          <w:bCs/>
          <w:kern w:val="0"/>
          <w14:ligatures w14:val="none"/>
        </w:rPr>
        <w:t>Discussion</w:t>
      </w:r>
    </w:p>
    <w:p w14:paraId="25C6A50C" w14:textId="77777777" w:rsidR="0068205A" w:rsidRPr="0068205A" w:rsidRDefault="0068205A" w:rsidP="0068205A">
      <w:pPr>
        <w:spacing w:before="100" w:beforeAutospacing="1" w:after="100" w:afterAutospacing="1" w:line="240" w:lineRule="auto"/>
        <w:outlineLvl w:val="3"/>
        <w:rPr>
          <w:rFonts w:ascii="Calibri" w:eastAsia="Times New Roman" w:hAnsi="Calibri" w:cs="Calibri"/>
          <w:b/>
          <w:bCs/>
          <w:kern w:val="0"/>
          <w14:ligatures w14:val="none"/>
        </w:rPr>
      </w:pPr>
      <w:r w:rsidRPr="0068205A">
        <w:rPr>
          <w:rFonts w:ascii="Calibri" w:eastAsia="Times New Roman" w:hAnsi="Calibri" w:cs="Calibri"/>
          <w:b/>
          <w:bCs/>
          <w:kern w:val="0"/>
          <w14:ligatures w14:val="none"/>
        </w:rPr>
        <w:t>Interpretation of Results</w:t>
      </w:r>
    </w:p>
    <w:p w14:paraId="50B67BEC" w14:textId="77777777" w:rsidR="0068205A" w:rsidRPr="0068205A" w:rsidRDefault="0068205A" w:rsidP="0068205A">
      <w:pPr>
        <w:numPr>
          <w:ilvl w:val="0"/>
          <w:numId w:val="4"/>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kern w:val="0"/>
          <w14:ligatures w14:val="none"/>
        </w:rPr>
        <w:t>The results of this study indicate that medication A is associated with a significantly lower risk of glaucoma progression compared to medication B. The 15% absolute risk reduction in glaucoma progression is noteworthy and clinically relevant.</w:t>
      </w:r>
    </w:p>
    <w:p w14:paraId="03BD0047" w14:textId="77777777" w:rsidR="0068205A" w:rsidRPr="0068205A" w:rsidRDefault="0068205A" w:rsidP="0068205A">
      <w:pPr>
        <w:numPr>
          <w:ilvl w:val="0"/>
          <w:numId w:val="4"/>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kern w:val="0"/>
          <w14:ligatures w14:val="none"/>
        </w:rPr>
        <w:t>The confidence interval (8% to 22%) suggests that the estimate is reasonably precise.</w:t>
      </w:r>
    </w:p>
    <w:p w14:paraId="04C05AB8" w14:textId="2D64F155" w:rsidR="0068205A" w:rsidRPr="0068205A" w:rsidRDefault="0068205A" w:rsidP="0068205A">
      <w:pPr>
        <w:numPr>
          <w:ilvl w:val="0"/>
          <w:numId w:val="4"/>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kern w:val="0"/>
          <w14:ligatures w14:val="none"/>
        </w:rPr>
        <w:t>The lower bound of the CI (8%) is slightly less than the MCID value of 10%</w:t>
      </w:r>
      <w:r w:rsidR="00B313AB" w:rsidRPr="00374B6A">
        <w:rPr>
          <w:rFonts w:ascii="Calibri" w:eastAsia="Times New Roman" w:hAnsi="Calibri" w:cs="Calibri"/>
          <w:kern w:val="0"/>
          <w14:ligatures w14:val="none"/>
        </w:rPr>
        <w:t>.</w:t>
      </w:r>
      <w:r w:rsidRPr="0068205A">
        <w:rPr>
          <w:rFonts w:ascii="Calibri" w:eastAsia="Times New Roman" w:hAnsi="Calibri" w:cs="Calibri"/>
          <w:kern w:val="0"/>
          <w14:ligatures w14:val="none"/>
        </w:rPr>
        <w:t xml:space="preserve"> </w:t>
      </w:r>
      <w:r w:rsidR="00B313AB" w:rsidRPr="00374B6A">
        <w:rPr>
          <w:rFonts w:ascii="Calibri" w:eastAsia="Times New Roman" w:hAnsi="Calibri" w:cs="Calibri"/>
          <w:kern w:val="0"/>
          <w14:ligatures w14:val="none"/>
        </w:rPr>
        <w:t>T</w:t>
      </w:r>
      <w:r w:rsidRPr="0068205A">
        <w:rPr>
          <w:rFonts w:ascii="Calibri" w:eastAsia="Times New Roman" w:hAnsi="Calibri" w:cs="Calibri"/>
          <w:kern w:val="0"/>
          <w14:ligatures w14:val="none"/>
        </w:rPr>
        <w:t>hus</w:t>
      </w:r>
      <w:r w:rsidR="00B313AB" w:rsidRPr="00374B6A">
        <w:rPr>
          <w:rFonts w:ascii="Calibri" w:eastAsia="Times New Roman" w:hAnsi="Calibri" w:cs="Calibri"/>
          <w:kern w:val="0"/>
          <w14:ligatures w14:val="none"/>
        </w:rPr>
        <w:t>,</w:t>
      </w:r>
      <w:r w:rsidRPr="0068205A">
        <w:rPr>
          <w:rFonts w:ascii="Calibri" w:eastAsia="Times New Roman" w:hAnsi="Calibri" w:cs="Calibri"/>
          <w:kern w:val="0"/>
          <w14:ligatures w14:val="none"/>
        </w:rPr>
        <w:t xml:space="preserve"> the investigators cannot conclude with certainty that medication A is definitively clinically </w:t>
      </w:r>
      <w:r w:rsidR="00B313AB" w:rsidRPr="00374B6A">
        <w:rPr>
          <w:rFonts w:ascii="Calibri" w:eastAsia="Times New Roman" w:hAnsi="Calibri" w:cs="Calibri"/>
          <w:kern w:val="0"/>
          <w14:ligatures w14:val="none"/>
        </w:rPr>
        <w:t>superio</w:t>
      </w:r>
      <w:r w:rsidRPr="0068205A">
        <w:rPr>
          <w:rFonts w:ascii="Calibri" w:eastAsia="Times New Roman" w:hAnsi="Calibri" w:cs="Calibri"/>
          <w:kern w:val="0"/>
          <w14:ligatures w14:val="none"/>
        </w:rPr>
        <w:t>r t</w:t>
      </w:r>
      <w:r w:rsidR="00B313AB" w:rsidRPr="00374B6A">
        <w:rPr>
          <w:rFonts w:ascii="Calibri" w:eastAsia="Times New Roman" w:hAnsi="Calibri" w:cs="Calibri"/>
          <w:kern w:val="0"/>
          <w14:ligatures w14:val="none"/>
        </w:rPr>
        <w:t>o</w:t>
      </w:r>
      <w:r w:rsidRPr="0068205A">
        <w:rPr>
          <w:rFonts w:ascii="Calibri" w:eastAsia="Times New Roman" w:hAnsi="Calibri" w:cs="Calibri"/>
          <w:kern w:val="0"/>
          <w14:ligatures w14:val="none"/>
        </w:rPr>
        <w:t xml:space="preserve"> medication B. However, the preponderance of values for the risk difference</w:t>
      </w:r>
      <w:r w:rsidR="00B313AB" w:rsidRPr="00374B6A">
        <w:rPr>
          <w:rFonts w:ascii="Calibri" w:eastAsia="Times New Roman" w:hAnsi="Calibri" w:cs="Calibri"/>
          <w:kern w:val="0"/>
          <w14:ligatures w14:val="none"/>
        </w:rPr>
        <w:t>,</w:t>
      </w:r>
      <w:r w:rsidRPr="0068205A">
        <w:rPr>
          <w:rFonts w:ascii="Calibri" w:eastAsia="Times New Roman" w:hAnsi="Calibri" w:cs="Calibri"/>
          <w:kern w:val="0"/>
          <w14:ligatures w14:val="none"/>
        </w:rPr>
        <w:t xml:space="preserve"> contained within the lower and upper bound</w:t>
      </w:r>
      <w:r w:rsidR="00B313AB" w:rsidRPr="00374B6A">
        <w:rPr>
          <w:rFonts w:ascii="Calibri" w:eastAsia="Times New Roman" w:hAnsi="Calibri" w:cs="Calibri"/>
          <w:kern w:val="0"/>
          <w14:ligatures w14:val="none"/>
        </w:rPr>
        <w:t>s</w:t>
      </w:r>
      <w:r w:rsidRPr="0068205A">
        <w:rPr>
          <w:rFonts w:ascii="Calibri" w:eastAsia="Times New Roman" w:hAnsi="Calibri" w:cs="Calibri"/>
          <w:kern w:val="0"/>
          <w14:ligatures w14:val="none"/>
        </w:rPr>
        <w:t xml:space="preserve"> of the 95% CI</w:t>
      </w:r>
      <w:r w:rsidR="00B313AB" w:rsidRPr="00374B6A">
        <w:rPr>
          <w:rFonts w:ascii="Calibri" w:eastAsia="Times New Roman" w:hAnsi="Calibri" w:cs="Calibri"/>
          <w:kern w:val="0"/>
          <w14:ligatures w14:val="none"/>
        </w:rPr>
        <w:t>,</w:t>
      </w:r>
      <w:r w:rsidRPr="0068205A">
        <w:rPr>
          <w:rFonts w:ascii="Calibri" w:eastAsia="Times New Roman" w:hAnsi="Calibri" w:cs="Calibri"/>
          <w:kern w:val="0"/>
          <w14:ligatures w14:val="none"/>
        </w:rPr>
        <w:t xml:space="preserve"> do</w:t>
      </w:r>
      <w:r w:rsidR="00B313AB" w:rsidRPr="00374B6A">
        <w:rPr>
          <w:rFonts w:ascii="Calibri" w:eastAsia="Times New Roman" w:hAnsi="Calibri" w:cs="Calibri"/>
          <w:kern w:val="0"/>
          <w14:ligatures w14:val="none"/>
        </w:rPr>
        <w:t>es</w:t>
      </w:r>
      <w:r w:rsidRPr="0068205A">
        <w:rPr>
          <w:rFonts w:ascii="Calibri" w:eastAsia="Times New Roman" w:hAnsi="Calibri" w:cs="Calibri"/>
          <w:kern w:val="0"/>
          <w14:ligatures w14:val="none"/>
        </w:rPr>
        <w:t xml:space="preserve"> suggest that medication A is better than medication B</w:t>
      </w:r>
      <w:r w:rsidR="00B313AB" w:rsidRPr="00374B6A">
        <w:rPr>
          <w:rFonts w:ascii="Calibri" w:eastAsia="Times New Roman" w:hAnsi="Calibri" w:cs="Calibri"/>
          <w:kern w:val="0"/>
          <w14:ligatures w14:val="none"/>
        </w:rPr>
        <w:t xml:space="preserve"> by an amount considered clinically meaningful</w:t>
      </w:r>
      <w:r w:rsidRPr="0068205A">
        <w:rPr>
          <w:rFonts w:ascii="Calibri" w:eastAsia="Times New Roman" w:hAnsi="Calibri" w:cs="Calibri"/>
          <w:kern w:val="0"/>
          <w14:ligatures w14:val="none"/>
        </w:rPr>
        <w:t>.</w:t>
      </w:r>
    </w:p>
    <w:p w14:paraId="6264FDCA" w14:textId="77777777" w:rsidR="0068205A" w:rsidRPr="0068205A" w:rsidRDefault="0068205A" w:rsidP="0068205A">
      <w:pPr>
        <w:spacing w:before="100" w:beforeAutospacing="1" w:after="100" w:afterAutospacing="1" w:line="240" w:lineRule="auto"/>
        <w:outlineLvl w:val="3"/>
        <w:rPr>
          <w:rFonts w:ascii="Calibri" w:eastAsia="Times New Roman" w:hAnsi="Calibri" w:cs="Calibri"/>
          <w:b/>
          <w:bCs/>
          <w:kern w:val="0"/>
          <w14:ligatures w14:val="none"/>
        </w:rPr>
      </w:pPr>
      <w:r w:rsidRPr="0068205A">
        <w:rPr>
          <w:rFonts w:ascii="Calibri" w:eastAsia="Times New Roman" w:hAnsi="Calibri" w:cs="Calibri"/>
          <w:b/>
          <w:bCs/>
          <w:kern w:val="0"/>
          <w14:ligatures w14:val="none"/>
        </w:rPr>
        <w:t>Implications of Results</w:t>
      </w:r>
    </w:p>
    <w:p w14:paraId="57690A05" w14:textId="4449F0F8" w:rsidR="0068205A" w:rsidRPr="0068205A" w:rsidRDefault="0068205A" w:rsidP="0068205A">
      <w:p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kern w:val="0"/>
          <w14:ligatures w14:val="none"/>
        </w:rPr>
        <w:t xml:space="preserve">Assuming there is no </w:t>
      </w:r>
      <w:r w:rsidR="00B313AB" w:rsidRPr="00374B6A">
        <w:rPr>
          <w:rFonts w:ascii="Calibri" w:eastAsia="Times New Roman" w:hAnsi="Calibri" w:cs="Calibri"/>
          <w:kern w:val="0"/>
          <w14:ligatures w14:val="none"/>
        </w:rPr>
        <w:t>significan</w:t>
      </w:r>
      <w:r w:rsidRPr="0068205A">
        <w:rPr>
          <w:rFonts w:ascii="Calibri" w:eastAsia="Times New Roman" w:hAnsi="Calibri" w:cs="Calibri"/>
          <w:kern w:val="0"/>
          <w14:ligatures w14:val="none"/>
        </w:rPr>
        <w:t>t difference in cost or adverse effects, medication A</w:t>
      </w:r>
      <w:r w:rsidR="00B313AB" w:rsidRPr="00374B6A">
        <w:rPr>
          <w:rFonts w:ascii="Calibri" w:eastAsia="Times New Roman" w:hAnsi="Calibri" w:cs="Calibri"/>
          <w:kern w:val="0"/>
          <w14:ligatures w14:val="none"/>
        </w:rPr>
        <w:t xml:space="preserve"> should be considered </w:t>
      </w:r>
      <w:r w:rsidR="00B313AB" w:rsidRPr="00374B6A">
        <w:rPr>
          <w:rFonts w:ascii="Calibri" w:eastAsia="Times New Roman" w:hAnsi="Calibri" w:cs="Calibri"/>
          <w:kern w:val="0"/>
          <w14:ligatures w14:val="none"/>
        </w:rPr>
        <w:t xml:space="preserve">over medication B </w:t>
      </w:r>
      <w:r w:rsidR="00B313AB" w:rsidRPr="00374B6A">
        <w:rPr>
          <w:rFonts w:ascii="Calibri" w:eastAsia="Times New Roman" w:hAnsi="Calibri" w:cs="Calibri"/>
          <w:kern w:val="0"/>
          <w14:ligatures w14:val="none"/>
        </w:rPr>
        <w:t xml:space="preserve">for the treatment of patients with newly diagnosed open-angle glaucoma, </w:t>
      </w:r>
      <w:r w:rsidR="00B313AB" w:rsidRPr="00374B6A">
        <w:rPr>
          <w:rFonts w:ascii="Calibri" w:eastAsia="Times New Roman" w:hAnsi="Calibri" w:cs="Calibri"/>
          <w:kern w:val="0"/>
          <w14:ligatures w14:val="none"/>
        </w:rPr>
        <w:t>to</w:t>
      </w:r>
      <w:r w:rsidR="00B313AB" w:rsidRPr="00374B6A">
        <w:rPr>
          <w:rFonts w:ascii="Calibri" w:eastAsia="Times New Roman" w:hAnsi="Calibri" w:cs="Calibri"/>
          <w:kern w:val="0"/>
          <w14:ligatures w14:val="none"/>
        </w:rPr>
        <w:t xml:space="preserve"> </w:t>
      </w:r>
      <w:r w:rsidR="00B313AB" w:rsidRPr="00374B6A">
        <w:rPr>
          <w:rFonts w:ascii="Calibri" w:eastAsia="Times New Roman" w:hAnsi="Calibri" w:cs="Calibri"/>
          <w:kern w:val="0"/>
          <w14:ligatures w14:val="none"/>
        </w:rPr>
        <w:t>prevent</w:t>
      </w:r>
      <w:r w:rsidR="00B313AB" w:rsidRPr="00374B6A">
        <w:rPr>
          <w:rFonts w:ascii="Calibri" w:eastAsia="Times New Roman" w:hAnsi="Calibri" w:cs="Calibri"/>
          <w:kern w:val="0"/>
          <w14:ligatures w14:val="none"/>
        </w:rPr>
        <w:t xml:space="preserve"> glaucoma progression.</w:t>
      </w:r>
    </w:p>
    <w:p w14:paraId="73B24146" w14:textId="77777777" w:rsidR="0068205A" w:rsidRPr="0068205A" w:rsidRDefault="0068205A" w:rsidP="0068205A">
      <w:pPr>
        <w:spacing w:before="100" w:beforeAutospacing="1" w:after="100" w:afterAutospacing="1" w:line="240" w:lineRule="auto"/>
        <w:outlineLvl w:val="3"/>
        <w:rPr>
          <w:rFonts w:ascii="Calibri" w:eastAsia="Times New Roman" w:hAnsi="Calibri" w:cs="Calibri"/>
          <w:b/>
          <w:bCs/>
          <w:kern w:val="0"/>
          <w14:ligatures w14:val="none"/>
        </w:rPr>
      </w:pPr>
      <w:r w:rsidRPr="0068205A">
        <w:rPr>
          <w:rFonts w:ascii="Calibri" w:eastAsia="Times New Roman" w:hAnsi="Calibri" w:cs="Calibri"/>
          <w:b/>
          <w:bCs/>
          <w:kern w:val="0"/>
          <w14:ligatures w14:val="none"/>
        </w:rPr>
        <w:t>Recommendations for Future Research</w:t>
      </w:r>
    </w:p>
    <w:p w14:paraId="0D2AFD1E" w14:textId="09CD1FF0" w:rsidR="00374B6A" w:rsidRPr="00374B6A" w:rsidRDefault="00374B6A" w:rsidP="00374B6A">
      <w:pPr>
        <w:spacing w:after="0" w:line="240" w:lineRule="auto"/>
        <w:rPr>
          <w:rFonts w:ascii="Calibri" w:eastAsia="Times New Roman" w:hAnsi="Calibri" w:cs="Calibri"/>
          <w:kern w:val="0"/>
          <w14:ligatures w14:val="none"/>
        </w:rPr>
      </w:pPr>
      <w:r w:rsidRPr="00374B6A">
        <w:rPr>
          <w:rFonts w:ascii="Calibri" w:eastAsia="Times New Roman" w:hAnsi="Calibri" w:cs="Calibri"/>
          <w:kern w:val="0"/>
          <w14:ligatures w14:val="none"/>
        </w:rPr>
        <w:t xml:space="preserve">While the lower bound of the confidence interval (8%) is slightly less than the MCID value of 10%, </w:t>
      </w:r>
      <w:r w:rsidRPr="00374B6A">
        <w:rPr>
          <w:rFonts w:ascii="Calibri" w:eastAsia="Times New Roman" w:hAnsi="Calibri" w:cs="Calibri"/>
          <w:kern w:val="0"/>
          <w14:ligatures w14:val="none"/>
        </w:rPr>
        <w:t>most</w:t>
      </w:r>
      <w:r w:rsidRPr="00374B6A">
        <w:rPr>
          <w:rFonts w:ascii="Calibri" w:eastAsia="Times New Roman" w:hAnsi="Calibri" w:cs="Calibri"/>
          <w:kern w:val="0"/>
          <w14:ligatures w14:val="none"/>
        </w:rPr>
        <w:t xml:space="preserve"> values within the 95% CI suggest that Medication A is clinically better than Medication B. If </w:t>
      </w:r>
      <w:r w:rsidRPr="00374B6A">
        <w:rPr>
          <w:rFonts w:ascii="Calibri" w:eastAsia="Times New Roman" w:hAnsi="Calibri" w:cs="Calibri"/>
          <w:kern w:val="0"/>
          <w14:ligatures w14:val="none"/>
        </w:rPr>
        <w:t xml:space="preserve">the investigators interpret these results as </w:t>
      </w:r>
      <w:r w:rsidRPr="00374B6A">
        <w:rPr>
          <w:rFonts w:ascii="Calibri" w:eastAsia="Times New Roman" w:hAnsi="Calibri" w:cs="Calibri"/>
          <w:kern w:val="0"/>
          <w14:ligatures w14:val="none"/>
        </w:rPr>
        <w:t>indeterminate or require further validation, the following strategies can strengthen evidence</w:t>
      </w:r>
      <w:r w:rsidRPr="00374B6A">
        <w:rPr>
          <w:rFonts w:ascii="Calibri" w:eastAsia="Times New Roman" w:hAnsi="Calibri" w:cs="Calibri"/>
          <w:kern w:val="0"/>
          <w14:ligatures w14:val="none"/>
        </w:rPr>
        <w:t>:</w:t>
      </w:r>
    </w:p>
    <w:p w14:paraId="438DCA63" w14:textId="77777777" w:rsidR="00374B6A" w:rsidRPr="0068205A" w:rsidRDefault="00374B6A" w:rsidP="00374B6A">
      <w:pPr>
        <w:numPr>
          <w:ilvl w:val="0"/>
          <w:numId w:val="5"/>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b/>
          <w:bCs/>
          <w:kern w:val="0"/>
          <w14:ligatures w14:val="none"/>
        </w:rPr>
        <w:t>Conduct Additional Research with Increased Sample Size:</w:t>
      </w:r>
      <w:r w:rsidRPr="0068205A">
        <w:rPr>
          <w:rFonts w:ascii="Calibri" w:eastAsia="Times New Roman" w:hAnsi="Calibri" w:cs="Calibri"/>
          <w:kern w:val="0"/>
          <w14:ligatures w14:val="none"/>
        </w:rPr>
        <w:t xml:space="preserve"> To obtain more precise estimates of the effect size, conduct the study with a larger sample size. This approach enables authors and readers to be more certain of where the </w:t>
      </w:r>
      <w:r w:rsidRPr="00374B6A">
        <w:rPr>
          <w:rFonts w:ascii="Calibri" w:eastAsia="Times New Roman" w:hAnsi="Calibri" w:cs="Calibri"/>
          <w:kern w:val="0"/>
          <w14:ligatures w14:val="none"/>
        </w:rPr>
        <w:t>actual</w:t>
      </w:r>
      <w:r w:rsidRPr="0068205A">
        <w:rPr>
          <w:rFonts w:ascii="Calibri" w:eastAsia="Times New Roman" w:hAnsi="Calibri" w:cs="Calibri"/>
          <w:kern w:val="0"/>
          <w14:ligatures w14:val="none"/>
        </w:rPr>
        <w:t xml:space="preserve"> effect size value lies and whether the results are compatible with clinically meaningful effects. However, resource constraints, such as funding, time, and </w:t>
      </w:r>
      <w:r w:rsidRPr="00374B6A">
        <w:rPr>
          <w:rFonts w:ascii="Calibri" w:eastAsia="Times New Roman" w:hAnsi="Calibri" w:cs="Calibri"/>
          <w:kern w:val="0"/>
          <w14:ligatures w14:val="none"/>
        </w:rPr>
        <w:t>participant</w:t>
      </w:r>
      <w:r w:rsidRPr="0068205A">
        <w:rPr>
          <w:rFonts w:ascii="Calibri" w:eastAsia="Times New Roman" w:hAnsi="Calibri" w:cs="Calibri"/>
          <w:kern w:val="0"/>
          <w14:ligatures w14:val="none"/>
        </w:rPr>
        <w:t xml:space="preserve"> </w:t>
      </w:r>
      <w:r w:rsidRPr="00374B6A">
        <w:rPr>
          <w:rFonts w:ascii="Calibri" w:eastAsia="Times New Roman" w:hAnsi="Calibri" w:cs="Calibri"/>
          <w:kern w:val="0"/>
          <w14:ligatures w14:val="none"/>
        </w:rPr>
        <w:t>availability</w:t>
      </w:r>
      <w:r w:rsidRPr="0068205A">
        <w:rPr>
          <w:rFonts w:ascii="Calibri" w:eastAsia="Times New Roman" w:hAnsi="Calibri" w:cs="Calibri"/>
          <w:kern w:val="0"/>
          <w14:ligatures w14:val="none"/>
        </w:rPr>
        <w:t>, should be considered.</w:t>
      </w:r>
    </w:p>
    <w:p w14:paraId="3199FE8C" w14:textId="77777777" w:rsidR="00374B6A" w:rsidRPr="0068205A" w:rsidRDefault="00374B6A" w:rsidP="00374B6A">
      <w:pPr>
        <w:numPr>
          <w:ilvl w:val="0"/>
          <w:numId w:val="5"/>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b/>
          <w:bCs/>
          <w:kern w:val="0"/>
          <w14:ligatures w14:val="none"/>
        </w:rPr>
        <w:t xml:space="preserve">Improve Study Quality </w:t>
      </w:r>
      <w:r w:rsidRPr="00374B6A">
        <w:rPr>
          <w:rFonts w:ascii="Calibri" w:eastAsia="Times New Roman" w:hAnsi="Calibri" w:cs="Calibri"/>
          <w:b/>
          <w:bCs/>
          <w:kern w:val="0"/>
          <w14:ligatures w14:val="none"/>
        </w:rPr>
        <w:t>by</w:t>
      </w:r>
      <w:r w:rsidRPr="0068205A">
        <w:rPr>
          <w:rFonts w:ascii="Calibri" w:eastAsia="Times New Roman" w:hAnsi="Calibri" w:cs="Calibri"/>
          <w:b/>
          <w:bCs/>
          <w:kern w:val="0"/>
          <w14:ligatures w14:val="none"/>
        </w:rPr>
        <w:t xml:space="preserve"> </w:t>
      </w:r>
      <w:r w:rsidRPr="00374B6A">
        <w:rPr>
          <w:rFonts w:ascii="Calibri" w:eastAsia="Times New Roman" w:hAnsi="Calibri" w:cs="Calibri"/>
          <w:b/>
          <w:bCs/>
          <w:kern w:val="0"/>
          <w14:ligatures w14:val="none"/>
        </w:rPr>
        <w:t>Reducing</w:t>
      </w:r>
      <w:r w:rsidRPr="0068205A">
        <w:rPr>
          <w:rFonts w:ascii="Calibri" w:eastAsia="Times New Roman" w:hAnsi="Calibri" w:cs="Calibri"/>
          <w:b/>
          <w:bCs/>
          <w:kern w:val="0"/>
          <w14:ligatures w14:val="none"/>
        </w:rPr>
        <w:t xml:space="preserve"> Error:</w:t>
      </w:r>
      <w:r w:rsidRPr="0068205A">
        <w:rPr>
          <w:rFonts w:ascii="Calibri" w:eastAsia="Times New Roman" w:hAnsi="Calibri" w:cs="Calibri"/>
          <w:kern w:val="0"/>
          <w14:ligatures w14:val="none"/>
        </w:rPr>
        <w:t xml:space="preserve"> Enhance the reliability and precision of effect size estimates by </w:t>
      </w:r>
      <w:r w:rsidRPr="00374B6A">
        <w:rPr>
          <w:rFonts w:ascii="Calibri" w:eastAsia="Times New Roman" w:hAnsi="Calibri" w:cs="Calibri"/>
          <w:kern w:val="0"/>
          <w14:ligatures w14:val="none"/>
        </w:rPr>
        <w:t>minimiz</w:t>
      </w:r>
      <w:r w:rsidRPr="0068205A">
        <w:rPr>
          <w:rFonts w:ascii="Calibri" w:eastAsia="Times New Roman" w:hAnsi="Calibri" w:cs="Calibri"/>
          <w:kern w:val="0"/>
          <w14:ligatures w14:val="none"/>
        </w:rPr>
        <w:t xml:space="preserve">ing both random and systematic errors. Adherence to Good Clinical Practice (GCP) guidelines is </w:t>
      </w:r>
      <w:r w:rsidRPr="00374B6A">
        <w:rPr>
          <w:rFonts w:ascii="Calibri" w:eastAsia="Times New Roman" w:hAnsi="Calibri" w:cs="Calibri"/>
          <w:kern w:val="0"/>
          <w14:ligatures w14:val="none"/>
        </w:rPr>
        <w:t xml:space="preserve">a highly effective strategy for promoting </w:t>
      </w:r>
      <w:r w:rsidRPr="00374B6A">
        <w:rPr>
          <w:rFonts w:ascii="Calibri" w:eastAsia="Times New Roman" w:hAnsi="Calibri" w:cs="Calibri"/>
          <w:kern w:val="0"/>
          <w14:ligatures w14:val="none"/>
        </w:rPr>
        <w:lastRenderedPageBreak/>
        <w:t>standardized processes, ensuring data quality, enhancing patient safety, and ensuring rigorous</w:t>
      </w:r>
      <w:r w:rsidRPr="0068205A">
        <w:rPr>
          <w:rFonts w:ascii="Calibri" w:eastAsia="Times New Roman" w:hAnsi="Calibri" w:cs="Calibri"/>
          <w:kern w:val="0"/>
          <w14:ligatures w14:val="none"/>
        </w:rPr>
        <w:t xml:space="preserve"> oversight.</w:t>
      </w:r>
    </w:p>
    <w:p w14:paraId="7BC71EBE" w14:textId="77777777" w:rsidR="00374B6A" w:rsidRPr="0068205A" w:rsidRDefault="00374B6A" w:rsidP="00374B6A">
      <w:pPr>
        <w:numPr>
          <w:ilvl w:val="0"/>
          <w:numId w:val="5"/>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b/>
          <w:bCs/>
          <w:kern w:val="0"/>
          <w14:ligatures w14:val="none"/>
        </w:rPr>
        <w:t>Improve Methodological Quality and Rigor:</w:t>
      </w:r>
      <w:r w:rsidRPr="0068205A">
        <w:rPr>
          <w:rFonts w:ascii="Calibri" w:eastAsia="Times New Roman" w:hAnsi="Calibri" w:cs="Calibri"/>
          <w:kern w:val="0"/>
          <w14:ligatures w14:val="none"/>
        </w:rPr>
        <w:t xml:space="preserve"> Enhance the study design via randomization, blinding, and control of confounding variables to address uncertainties in indeterminate study outcomes. These enhancements are critical for reducing bias and increasing the reliability of results.</w:t>
      </w:r>
    </w:p>
    <w:p w14:paraId="20F34FB8" w14:textId="77777777" w:rsidR="00374B6A" w:rsidRPr="0068205A" w:rsidRDefault="00374B6A" w:rsidP="00374B6A">
      <w:pPr>
        <w:numPr>
          <w:ilvl w:val="0"/>
          <w:numId w:val="5"/>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b/>
          <w:bCs/>
          <w:kern w:val="0"/>
          <w14:ligatures w14:val="none"/>
        </w:rPr>
        <w:t>Reduce Variability in Measurement:</w:t>
      </w:r>
      <w:r w:rsidRPr="0068205A">
        <w:rPr>
          <w:rFonts w:ascii="Calibri" w:eastAsia="Times New Roman" w:hAnsi="Calibri" w:cs="Calibri"/>
          <w:kern w:val="0"/>
          <w14:ligatures w14:val="none"/>
        </w:rPr>
        <w:t xml:space="preserve"> Standardize measurements through methods like Standard Operating Procedure (SOP) manuals, validated assessments, and calibrated instruments. Additionally, evaluate the sensitivity and specificity of measurement tools to ensure they can detect clinically significant changes.</w:t>
      </w:r>
    </w:p>
    <w:p w14:paraId="31460084" w14:textId="77777777" w:rsidR="00374B6A" w:rsidRPr="0068205A" w:rsidRDefault="00374B6A" w:rsidP="00374B6A">
      <w:pPr>
        <w:numPr>
          <w:ilvl w:val="0"/>
          <w:numId w:val="5"/>
        </w:numPr>
        <w:spacing w:before="100" w:beforeAutospacing="1" w:after="100" w:afterAutospacing="1" w:line="240" w:lineRule="auto"/>
        <w:rPr>
          <w:rFonts w:ascii="Calibri" w:eastAsia="Times New Roman" w:hAnsi="Calibri" w:cs="Calibri"/>
          <w:kern w:val="0"/>
          <w14:ligatures w14:val="none"/>
        </w:rPr>
      </w:pPr>
      <w:r w:rsidRPr="0068205A">
        <w:rPr>
          <w:rFonts w:ascii="Calibri" w:eastAsia="Times New Roman" w:hAnsi="Calibri" w:cs="Calibri"/>
          <w:b/>
          <w:bCs/>
          <w:kern w:val="0"/>
          <w14:ligatures w14:val="none"/>
        </w:rPr>
        <w:t>Pursue an Adaptive Trial Design:</w:t>
      </w:r>
      <w:r w:rsidRPr="0068205A">
        <w:rPr>
          <w:rFonts w:ascii="Calibri" w:eastAsia="Times New Roman" w:hAnsi="Calibri" w:cs="Calibri"/>
          <w:kern w:val="0"/>
          <w14:ligatures w14:val="none"/>
        </w:rPr>
        <w:t xml:space="preserve"> Adaptive trial designs allow for modifications to the study protocol based on interim data analysis, providing a flexible approach to refining research as it progresses and potentially resolving areas of uncertainty.</w:t>
      </w:r>
    </w:p>
    <w:p w14:paraId="2AEA9AE3" w14:textId="77777777" w:rsidR="00374B6A" w:rsidRPr="00374B6A" w:rsidRDefault="00374B6A" w:rsidP="00374B6A">
      <w:pPr>
        <w:spacing w:after="0" w:line="240" w:lineRule="auto"/>
        <w:rPr>
          <w:rFonts w:ascii="Calibri" w:eastAsia="Times New Roman" w:hAnsi="Calibri" w:cs="Calibri"/>
          <w:kern w:val="0"/>
          <w14:ligatures w14:val="none"/>
        </w:rPr>
      </w:pPr>
    </w:p>
    <w:p w14:paraId="396E6F3C" w14:textId="0F54CA69" w:rsidR="00374B6A" w:rsidRPr="00374B6A" w:rsidRDefault="00374B6A" w:rsidP="00374B6A">
      <w:pPr>
        <w:spacing w:after="0" w:line="240" w:lineRule="auto"/>
        <w:rPr>
          <w:rFonts w:ascii="Calibri" w:eastAsia="Times New Roman" w:hAnsi="Calibri" w:cs="Calibri"/>
          <w:kern w:val="0"/>
          <w14:ligatures w14:val="none"/>
        </w:rPr>
      </w:pPr>
      <w:r w:rsidRPr="00374B6A">
        <w:rPr>
          <w:rFonts w:ascii="Calibri" w:eastAsia="Times New Roman" w:hAnsi="Calibri" w:cs="Calibri"/>
          <w:kern w:val="0"/>
          <w14:ligatures w14:val="none"/>
        </w:rPr>
        <w:t xml:space="preserve">Else if the investigators interpret these results as definitive, </w:t>
      </w:r>
      <w:r w:rsidRPr="00374B6A">
        <w:rPr>
          <w:rFonts w:ascii="Calibri" w:hAnsi="Calibri" w:cs="Calibri"/>
          <w:color w:val="000000" w:themeColor="text1"/>
        </w:rPr>
        <w:t xml:space="preserve">where the overall difference between groups is large, and the confidence interval around the effect size is narrow </w:t>
      </w:r>
      <w:r w:rsidRPr="00374B6A">
        <w:rPr>
          <w:rFonts w:ascii="Calibri" w:hAnsi="Calibri" w:cs="Calibri"/>
          <w:color w:val="000000" w:themeColor="text1"/>
        </w:rPr>
        <w:t xml:space="preserve">and nearly all is above the MCID, the following strategies should be considered: </w:t>
      </w:r>
    </w:p>
    <w:p w14:paraId="654BC1B5" w14:textId="73684D1B" w:rsidR="00374B6A" w:rsidRPr="00374B6A" w:rsidRDefault="00374B6A" w:rsidP="00374B6A">
      <w:pPr>
        <w:pStyle w:val="ListParagraph"/>
        <w:numPr>
          <w:ilvl w:val="0"/>
          <w:numId w:val="8"/>
        </w:numPr>
        <w:spacing w:after="0" w:line="240" w:lineRule="auto"/>
        <w:ind w:left="720"/>
        <w:rPr>
          <w:rFonts w:ascii="Calibri" w:hAnsi="Calibri" w:cs="Calibri"/>
          <w:color w:val="000000" w:themeColor="text1"/>
        </w:rPr>
      </w:pPr>
      <w:r w:rsidRPr="00374B6A">
        <w:rPr>
          <w:rFonts w:ascii="Calibri" w:hAnsi="Calibri" w:cs="Calibri"/>
          <w:b/>
          <w:bCs/>
          <w:color w:val="000000" w:themeColor="text1"/>
        </w:rPr>
        <w:t>Progress to Dissemination &amp; Implementation (D&amp;I):</w:t>
      </w:r>
      <w:r w:rsidRPr="00374B6A">
        <w:rPr>
          <w:rFonts w:ascii="Calibri" w:hAnsi="Calibri" w:cs="Calibri"/>
          <w:color w:val="000000" w:themeColor="text1"/>
        </w:rPr>
        <w:t xml:space="preserve"> Move towards disseminating and implementing the intervention into real-world clinical practice. This involves translating research findings into practical applications and addressing the challenges associated with the adoption of evidence-based interventions in healthcare settings.</w:t>
      </w:r>
    </w:p>
    <w:p w14:paraId="265318B1" w14:textId="77777777" w:rsidR="00374B6A" w:rsidRPr="00374B6A" w:rsidRDefault="00374B6A" w:rsidP="00374B6A">
      <w:pPr>
        <w:pStyle w:val="ListParagraph"/>
        <w:numPr>
          <w:ilvl w:val="0"/>
          <w:numId w:val="8"/>
        </w:numPr>
        <w:spacing w:after="0" w:line="240" w:lineRule="auto"/>
        <w:ind w:left="720"/>
        <w:rPr>
          <w:rFonts w:ascii="Calibri" w:hAnsi="Calibri" w:cs="Calibri"/>
          <w:color w:val="000000" w:themeColor="text1"/>
        </w:rPr>
      </w:pPr>
      <w:r w:rsidRPr="00374B6A">
        <w:rPr>
          <w:rFonts w:ascii="Calibri" w:hAnsi="Calibri" w:cs="Calibri"/>
          <w:b/>
          <w:bCs/>
          <w:color w:val="000000" w:themeColor="text1"/>
        </w:rPr>
        <w:t xml:space="preserve">Create a Multidisciplinary Team: </w:t>
      </w:r>
      <w:r w:rsidRPr="00374B6A">
        <w:rPr>
          <w:rFonts w:ascii="Calibri" w:hAnsi="Calibri" w:cs="Calibri"/>
          <w:color w:val="000000" w:themeColor="text1"/>
        </w:rPr>
        <w:t xml:space="preserve">Assemble a multidisciplinary team of investigators and health-service researchers with diverse expertise to comprehensively address the multifaceted challenges of dissemination and implementation. This may include clinicians, implementation scientists, health economists, and other relevant stakeholders. Although facilitating the coordination and communication across various professions can be challenging, the end results obtained by a heterogenous team can be deeply informative. </w:t>
      </w:r>
    </w:p>
    <w:p w14:paraId="5CE71345" w14:textId="77777777" w:rsidR="00374B6A" w:rsidRPr="00374B6A" w:rsidRDefault="00374B6A" w:rsidP="00374B6A">
      <w:pPr>
        <w:pStyle w:val="ListParagraph"/>
        <w:numPr>
          <w:ilvl w:val="0"/>
          <w:numId w:val="8"/>
        </w:numPr>
        <w:spacing w:after="0" w:line="240" w:lineRule="auto"/>
        <w:ind w:left="720"/>
        <w:rPr>
          <w:rFonts w:ascii="Calibri" w:hAnsi="Calibri" w:cs="Calibri"/>
          <w:color w:val="000000" w:themeColor="text1"/>
        </w:rPr>
      </w:pPr>
      <w:r w:rsidRPr="00374B6A">
        <w:rPr>
          <w:rFonts w:ascii="Calibri" w:hAnsi="Calibri" w:cs="Calibri"/>
          <w:b/>
          <w:bCs/>
          <w:color w:val="000000" w:themeColor="text1"/>
        </w:rPr>
        <w:t xml:space="preserve">Implement Health System-Level Interventions: </w:t>
      </w:r>
      <w:r w:rsidRPr="00374B6A">
        <w:rPr>
          <w:rFonts w:ascii="Calibri" w:hAnsi="Calibri" w:cs="Calibri"/>
          <w:color w:val="000000" w:themeColor="text1"/>
        </w:rPr>
        <w:t>Explore interventions at the health system level to facilitate the integration of the successful intervention into routine clinical practice. This involves collaborating with healthcare administrators and policymakers at an organizational level as well as addressing potential resistance (established practices, cultural norms) to change.</w:t>
      </w:r>
    </w:p>
    <w:p w14:paraId="27DB1728" w14:textId="77777777" w:rsidR="00374B6A" w:rsidRPr="00374B6A" w:rsidRDefault="00374B6A" w:rsidP="00374B6A">
      <w:pPr>
        <w:pStyle w:val="ListParagraph"/>
        <w:numPr>
          <w:ilvl w:val="0"/>
          <w:numId w:val="8"/>
        </w:numPr>
        <w:spacing w:after="0" w:line="240" w:lineRule="auto"/>
        <w:ind w:left="720"/>
        <w:rPr>
          <w:rFonts w:ascii="Calibri" w:hAnsi="Calibri" w:cs="Calibri"/>
          <w:b/>
          <w:bCs/>
          <w:color w:val="000000" w:themeColor="text1"/>
        </w:rPr>
      </w:pPr>
      <w:r w:rsidRPr="00374B6A">
        <w:rPr>
          <w:rFonts w:ascii="Calibri" w:eastAsia="Times New Roman" w:hAnsi="Calibri" w:cs="Calibri"/>
          <w:b/>
          <w:bCs/>
          <w:color w:val="000000" w:themeColor="text1"/>
        </w:rPr>
        <w:t>Adapt and Tailor:</w:t>
      </w:r>
      <w:r w:rsidRPr="00374B6A">
        <w:rPr>
          <w:rFonts w:ascii="Calibri" w:eastAsia="Times New Roman" w:hAnsi="Calibri" w:cs="Calibri"/>
          <w:color w:val="000000" w:themeColor="text1"/>
        </w:rPr>
        <w:t xml:space="preserve"> Refine the process of customizing interventions to different populations by systematically developing, testing, and refining adaptations. Document how each modification is made to maintain the core elements of the intervention while ensuring its effectiveness across diverse settings and populations.</w:t>
      </w:r>
    </w:p>
    <w:p w14:paraId="1B143240" w14:textId="77777777" w:rsidR="00374B6A" w:rsidRPr="00374B6A" w:rsidRDefault="00374B6A" w:rsidP="00374B6A">
      <w:pPr>
        <w:pStyle w:val="ListParagraph"/>
        <w:numPr>
          <w:ilvl w:val="0"/>
          <w:numId w:val="8"/>
        </w:numPr>
        <w:spacing w:after="0" w:line="240" w:lineRule="auto"/>
        <w:ind w:left="720"/>
        <w:rPr>
          <w:rFonts w:ascii="Calibri" w:hAnsi="Calibri" w:cs="Calibri"/>
        </w:rPr>
      </w:pPr>
      <w:r w:rsidRPr="00374B6A">
        <w:rPr>
          <w:rFonts w:ascii="Calibri" w:hAnsi="Calibri" w:cs="Calibri"/>
          <w:b/>
          <w:bCs/>
        </w:rPr>
        <w:t>Investigate Alternative Delivery Modes</w:t>
      </w:r>
      <w:r w:rsidRPr="00374B6A">
        <w:rPr>
          <w:rFonts w:ascii="Calibri" w:hAnsi="Calibri" w:cs="Calibri"/>
        </w:rPr>
        <w:t xml:space="preserve">: Explore the feasibility and effectiveness of delivering the intervention through alternative modes such as telehealth, digital platforms, or mobile applications. This can expand the reach of the intervention and increase accessibility for a larger population. </w:t>
      </w:r>
    </w:p>
    <w:p w14:paraId="70D8771F" w14:textId="77777777" w:rsidR="00374B6A" w:rsidRPr="00374B6A" w:rsidRDefault="00374B6A" w:rsidP="00374B6A">
      <w:pPr>
        <w:pStyle w:val="ListParagraph"/>
        <w:numPr>
          <w:ilvl w:val="0"/>
          <w:numId w:val="8"/>
        </w:numPr>
        <w:spacing w:after="0" w:line="240" w:lineRule="auto"/>
        <w:ind w:left="720"/>
        <w:rPr>
          <w:rFonts w:ascii="Calibri" w:hAnsi="Calibri" w:cs="Calibri"/>
        </w:rPr>
      </w:pPr>
      <w:r w:rsidRPr="00374B6A">
        <w:rPr>
          <w:rFonts w:ascii="Calibri" w:eastAsia="Times New Roman" w:hAnsi="Calibri" w:cs="Calibri"/>
          <w:b/>
          <w:bCs/>
        </w:rPr>
        <w:t>Pursue Policy Impact Studies:</w:t>
      </w:r>
      <w:r w:rsidRPr="00374B6A">
        <w:rPr>
          <w:rFonts w:ascii="Calibri" w:eastAsia="Times New Roman" w:hAnsi="Calibri" w:cs="Calibri"/>
        </w:rPr>
        <w:t xml:space="preserve"> Investigate how your findings can inform and influence healthcare policy and practice at a systemic level. For positive results, this involves </w:t>
      </w:r>
      <w:r w:rsidRPr="00374B6A">
        <w:rPr>
          <w:rFonts w:ascii="Calibri" w:eastAsia="Times New Roman" w:hAnsi="Calibri" w:cs="Calibri"/>
        </w:rPr>
        <w:lastRenderedPageBreak/>
        <w:t>analyzing how the effective intervention can be integrated into existing healthcare systems, potentially leading to the development of new guidelines or the enhancement of current practices. Engage with policymakers to advocate for evidence-based changes that leverage your findings to improve patient outcomes and system efficiency. Examine the broader implications of adopting this intervention in practice, considering aspects like healthcare access, quality, and economic impacts.</w:t>
      </w:r>
    </w:p>
    <w:p w14:paraId="24682127" w14:textId="77777777" w:rsidR="00A61638" w:rsidRPr="00374B6A" w:rsidRDefault="00A61638">
      <w:pPr>
        <w:rPr>
          <w:rFonts w:ascii="Calibri" w:hAnsi="Calibri" w:cs="Calibri"/>
        </w:rPr>
      </w:pPr>
    </w:p>
    <w:sectPr w:rsidR="00A61638" w:rsidRPr="00374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CBD"/>
    <w:multiLevelType w:val="multilevel"/>
    <w:tmpl w:val="3F78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D21F8"/>
    <w:multiLevelType w:val="multilevel"/>
    <w:tmpl w:val="D42C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A3B94"/>
    <w:multiLevelType w:val="multilevel"/>
    <w:tmpl w:val="C2E0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62F90"/>
    <w:multiLevelType w:val="hybridMultilevel"/>
    <w:tmpl w:val="DD8850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9FE4246"/>
    <w:multiLevelType w:val="hybridMultilevel"/>
    <w:tmpl w:val="A4B8AAC2"/>
    <w:lvl w:ilvl="0" w:tplc="4EDE16D0">
      <w:start w:val="1"/>
      <w:numFmt w:val="bullet"/>
      <w:lvlText w:val=""/>
      <w:lvlJc w:val="left"/>
      <w:pPr>
        <w:ind w:left="720" w:hanging="360"/>
      </w:pPr>
      <w:rPr>
        <w:rFonts w:ascii="Symbol" w:hAnsi="Symbol" w:hint="default"/>
      </w:rPr>
    </w:lvl>
    <w:lvl w:ilvl="1" w:tplc="8500B10E">
      <w:start w:val="1"/>
      <w:numFmt w:val="bullet"/>
      <w:lvlText w:val="o"/>
      <w:lvlJc w:val="left"/>
      <w:pPr>
        <w:ind w:left="1440" w:hanging="360"/>
      </w:pPr>
      <w:rPr>
        <w:rFonts w:ascii="Courier New" w:hAnsi="Courier New" w:hint="default"/>
      </w:rPr>
    </w:lvl>
    <w:lvl w:ilvl="2" w:tplc="FD08A594">
      <w:start w:val="1"/>
      <w:numFmt w:val="bullet"/>
      <w:lvlText w:val=""/>
      <w:lvlJc w:val="left"/>
      <w:pPr>
        <w:ind w:left="2160" w:hanging="360"/>
      </w:pPr>
      <w:rPr>
        <w:rFonts w:ascii="Wingdings" w:hAnsi="Wingdings" w:hint="default"/>
      </w:rPr>
    </w:lvl>
    <w:lvl w:ilvl="3" w:tplc="AE9C493C">
      <w:start w:val="1"/>
      <w:numFmt w:val="bullet"/>
      <w:lvlText w:val=""/>
      <w:lvlJc w:val="left"/>
      <w:pPr>
        <w:ind w:left="2880" w:hanging="360"/>
      </w:pPr>
      <w:rPr>
        <w:rFonts w:ascii="Symbol" w:hAnsi="Symbol" w:hint="default"/>
      </w:rPr>
    </w:lvl>
    <w:lvl w:ilvl="4" w:tplc="F6A24F62">
      <w:start w:val="1"/>
      <w:numFmt w:val="bullet"/>
      <w:lvlText w:val="o"/>
      <w:lvlJc w:val="left"/>
      <w:pPr>
        <w:ind w:left="3600" w:hanging="360"/>
      </w:pPr>
      <w:rPr>
        <w:rFonts w:ascii="Courier New" w:hAnsi="Courier New" w:hint="default"/>
      </w:rPr>
    </w:lvl>
    <w:lvl w:ilvl="5" w:tplc="B99644B6">
      <w:start w:val="1"/>
      <w:numFmt w:val="bullet"/>
      <w:lvlText w:val=""/>
      <w:lvlJc w:val="left"/>
      <w:pPr>
        <w:ind w:left="4320" w:hanging="360"/>
      </w:pPr>
      <w:rPr>
        <w:rFonts w:ascii="Wingdings" w:hAnsi="Wingdings" w:hint="default"/>
      </w:rPr>
    </w:lvl>
    <w:lvl w:ilvl="6" w:tplc="6A6E7BD0">
      <w:start w:val="1"/>
      <w:numFmt w:val="bullet"/>
      <w:lvlText w:val=""/>
      <w:lvlJc w:val="left"/>
      <w:pPr>
        <w:ind w:left="5040" w:hanging="360"/>
      </w:pPr>
      <w:rPr>
        <w:rFonts w:ascii="Symbol" w:hAnsi="Symbol" w:hint="default"/>
      </w:rPr>
    </w:lvl>
    <w:lvl w:ilvl="7" w:tplc="78D04E5A">
      <w:start w:val="1"/>
      <w:numFmt w:val="bullet"/>
      <w:lvlText w:val="o"/>
      <w:lvlJc w:val="left"/>
      <w:pPr>
        <w:ind w:left="5760" w:hanging="360"/>
      </w:pPr>
      <w:rPr>
        <w:rFonts w:ascii="Courier New" w:hAnsi="Courier New" w:hint="default"/>
      </w:rPr>
    </w:lvl>
    <w:lvl w:ilvl="8" w:tplc="52C27524">
      <w:start w:val="1"/>
      <w:numFmt w:val="bullet"/>
      <w:lvlText w:val=""/>
      <w:lvlJc w:val="left"/>
      <w:pPr>
        <w:ind w:left="6480" w:hanging="360"/>
      </w:pPr>
      <w:rPr>
        <w:rFonts w:ascii="Wingdings" w:hAnsi="Wingdings" w:hint="default"/>
      </w:rPr>
    </w:lvl>
  </w:abstractNum>
  <w:abstractNum w:abstractNumId="5" w15:restartNumberingAfterBreak="0">
    <w:nsid w:val="5B9116AD"/>
    <w:multiLevelType w:val="multilevel"/>
    <w:tmpl w:val="65C6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2019E"/>
    <w:multiLevelType w:val="multilevel"/>
    <w:tmpl w:val="6EA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F44EB0"/>
    <w:multiLevelType w:val="multilevel"/>
    <w:tmpl w:val="0258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826669">
    <w:abstractNumId w:val="2"/>
  </w:num>
  <w:num w:numId="2" w16cid:durableId="1510750787">
    <w:abstractNumId w:val="7"/>
  </w:num>
  <w:num w:numId="3" w16cid:durableId="1580868182">
    <w:abstractNumId w:val="5"/>
  </w:num>
  <w:num w:numId="4" w16cid:durableId="629633982">
    <w:abstractNumId w:val="0"/>
  </w:num>
  <w:num w:numId="5" w16cid:durableId="1846629024">
    <w:abstractNumId w:val="1"/>
  </w:num>
  <w:num w:numId="6" w16cid:durableId="1240866098">
    <w:abstractNumId w:val="6"/>
  </w:num>
  <w:num w:numId="7" w16cid:durableId="1319262904">
    <w:abstractNumId w:val="4"/>
  </w:num>
  <w:num w:numId="8" w16cid:durableId="1863586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05A"/>
    <w:rsid w:val="00012C4D"/>
    <w:rsid w:val="00040973"/>
    <w:rsid w:val="0009718A"/>
    <w:rsid w:val="000C12C4"/>
    <w:rsid w:val="0012352C"/>
    <w:rsid w:val="00191F39"/>
    <w:rsid w:val="00374ADD"/>
    <w:rsid w:val="00374B6A"/>
    <w:rsid w:val="0037564A"/>
    <w:rsid w:val="003F6DA6"/>
    <w:rsid w:val="004C5292"/>
    <w:rsid w:val="00590DFA"/>
    <w:rsid w:val="005E00FE"/>
    <w:rsid w:val="0068205A"/>
    <w:rsid w:val="00742750"/>
    <w:rsid w:val="007536F9"/>
    <w:rsid w:val="00765AE2"/>
    <w:rsid w:val="007D08A0"/>
    <w:rsid w:val="008A6970"/>
    <w:rsid w:val="00962979"/>
    <w:rsid w:val="00A15940"/>
    <w:rsid w:val="00A61638"/>
    <w:rsid w:val="00A94127"/>
    <w:rsid w:val="00B313AB"/>
    <w:rsid w:val="00B81114"/>
    <w:rsid w:val="00B92A27"/>
    <w:rsid w:val="00BB41D7"/>
    <w:rsid w:val="00D33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9BD04"/>
  <w15:chartTrackingRefBased/>
  <w15:docId w15:val="{B87F7BD5-3116-594B-84CD-244B3C379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2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2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82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2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2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82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05A"/>
    <w:rPr>
      <w:rFonts w:eastAsiaTheme="majorEastAsia" w:cstheme="majorBidi"/>
      <w:color w:val="272727" w:themeColor="text1" w:themeTint="D8"/>
    </w:rPr>
  </w:style>
  <w:style w:type="paragraph" w:styleId="Title">
    <w:name w:val="Title"/>
    <w:basedOn w:val="Normal"/>
    <w:next w:val="Normal"/>
    <w:link w:val="TitleChar"/>
    <w:uiPriority w:val="10"/>
    <w:qFormat/>
    <w:rsid w:val="00682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05A"/>
    <w:pPr>
      <w:spacing w:before="160"/>
      <w:jc w:val="center"/>
    </w:pPr>
    <w:rPr>
      <w:i/>
      <w:iCs/>
      <w:color w:val="404040" w:themeColor="text1" w:themeTint="BF"/>
    </w:rPr>
  </w:style>
  <w:style w:type="character" w:customStyle="1" w:styleId="QuoteChar">
    <w:name w:val="Quote Char"/>
    <w:basedOn w:val="DefaultParagraphFont"/>
    <w:link w:val="Quote"/>
    <w:uiPriority w:val="29"/>
    <w:rsid w:val="0068205A"/>
    <w:rPr>
      <w:i/>
      <w:iCs/>
      <w:color w:val="404040" w:themeColor="text1" w:themeTint="BF"/>
    </w:rPr>
  </w:style>
  <w:style w:type="paragraph" w:styleId="ListParagraph">
    <w:name w:val="List Paragraph"/>
    <w:basedOn w:val="Normal"/>
    <w:uiPriority w:val="34"/>
    <w:qFormat/>
    <w:rsid w:val="0068205A"/>
    <w:pPr>
      <w:ind w:left="720"/>
      <w:contextualSpacing/>
    </w:pPr>
  </w:style>
  <w:style w:type="character" w:styleId="IntenseEmphasis">
    <w:name w:val="Intense Emphasis"/>
    <w:basedOn w:val="DefaultParagraphFont"/>
    <w:uiPriority w:val="21"/>
    <w:qFormat/>
    <w:rsid w:val="0068205A"/>
    <w:rPr>
      <w:i/>
      <w:iCs/>
      <w:color w:val="0F4761" w:themeColor="accent1" w:themeShade="BF"/>
    </w:rPr>
  </w:style>
  <w:style w:type="paragraph" w:styleId="IntenseQuote">
    <w:name w:val="Intense Quote"/>
    <w:basedOn w:val="Normal"/>
    <w:next w:val="Normal"/>
    <w:link w:val="IntenseQuoteChar"/>
    <w:uiPriority w:val="30"/>
    <w:qFormat/>
    <w:rsid w:val="00682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05A"/>
    <w:rPr>
      <w:i/>
      <w:iCs/>
      <w:color w:val="0F4761" w:themeColor="accent1" w:themeShade="BF"/>
    </w:rPr>
  </w:style>
  <w:style w:type="character" w:styleId="IntenseReference">
    <w:name w:val="Intense Reference"/>
    <w:basedOn w:val="DefaultParagraphFont"/>
    <w:uiPriority w:val="32"/>
    <w:qFormat/>
    <w:rsid w:val="0068205A"/>
    <w:rPr>
      <w:b/>
      <w:bCs/>
      <w:smallCaps/>
      <w:color w:val="0F4761" w:themeColor="accent1" w:themeShade="BF"/>
      <w:spacing w:val="5"/>
    </w:rPr>
  </w:style>
  <w:style w:type="paragraph" w:styleId="NormalWeb">
    <w:name w:val="Normal (Web)"/>
    <w:basedOn w:val="Normal"/>
    <w:uiPriority w:val="99"/>
    <w:semiHidden/>
    <w:unhideWhenUsed/>
    <w:rsid w:val="006820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20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1164</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Piccirillo, Jay</dc:creator>
  <cp:keywords/>
  <dc:description/>
  <cp:lastModifiedBy>Piccirillo, Jay</cp:lastModifiedBy>
  <cp:revision>1</cp:revision>
  <dcterms:created xsi:type="dcterms:W3CDTF">2025-10-07T09:54:00Z</dcterms:created>
  <dcterms:modified xsi:type="dcterms:W3CDTF">2025-10-07T10:59:00Z</dcterms:modified>
</cp:coreProperties>
</file>