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4000" w:after="0"/>
        <w:jc w:val="start"/>
        <w:rPr/>
      </w:pPr>
      <w:r>
        <w:rPr/>
      </w:r>
    </w:p>
    <w:p>
      <w:pPr>
        <w:pStyle w:val="Normal"/>
        <w:bidi w:val="0"/>
        <w:jc w:val="center"/>
        <w:rPr>
          <w:rFonts w:ascii="Georgia" w:hAnsi="Georgia" w:eastAsia="Georgia" w:cs="Georgia"/>
          <w:b/>
          <w:bCs/>
          <w:sz w:val="52"/>
          <w:szCs w:val="52"/>
        </w:rPr>
      </w:pPr>
      <w:r>
        <w:rPr>
          <w:rFonts w:eastAsia="Georgia" w:cs="Georgia"/>
          <w:b/>
          <w:bCs/>
          <w:sz w:val="52"/>
          <w:szCs w:val="52"/>
        </w:rPr>
        <w:t>GENESIS, SCIENCE, AND THE HUMAN SOUL</w:t>
      </w:r>
    </w:p>
    <w:p>
      <w:pPr>
        <w:pStyle w:val="Normal"/>
        <w:bidi w:val="0"/>
        <w:spacing w:before="300" w:after="0"/>
        <w:jc w:val="center"/>
        <w:rPr>
          <w:rFonts w:ascii="Georgia" w:hAnsi="Georgia" w:eastAsia="Georgia" w:cs="Georgia"/>
          <w:sz w:val="32"/>
          <w:szCs w:val="32"/>
        </w:rPr>
      </w:pPr>
      <w:r>
        <w:rPr>
          <w:rFonts w:eastAsia="Georgia" w:cs="Georgia"/>
          <w:sz w:val="32"/>
          <w:szCs w:val="32"/>
        </w:rPr>
        <w:t>Reconciling Catholic Teaching on Human Origins</w:t>
      </w:r>
    </w:p>
    <w:p>
      <w:pPr>
        <w:pStyle w:val="Normal"/>
        <w:bidi w:val="0"/>
        <w:spacing w:before="200" w:after="0"/>
        <w:jc w:val="center"/>
        <w:rPr>
          <w:rFonts w:ascii="Georgia" w:hAnsi="Georgia" w:eastAsia="Georgia" w:cs="Georgia"/>
          <w:sz w:val="32"/>
          <w:szCs w:val="32"/>
        </w:rPr>
      </w:pPr>
      <w:r>
        <w:rPr>
          <w:rFonts w:eastAsia="Georgia" w:cs="Georgia"/>
          <w:sz w:val="32"/>
          <w:szCs w:val="32"/>
        </w:rPr>
        <w:t>with Modern Genetics, Paleoanthropology, and the Fossil Record</w:t>
      </w:r>
    </w:p>
    <w:p>
      <w:pPr>
        <w:pStyle w:val="Normal"/>
        <w:bidi w:val="0"/>
        <w:spacing w:before="600" w:after="0"/>
        <w:jc w:val="center"/>
        <w:rPr>
          <w:rFonts w:ascii="Georgia" w:hAnsi="Georgia" w:eastAsia="Georgia" w:cs="Georgia"/>
          <w:i/>
          <w:i/>
          <w:iCs/>
          <w:sz w:val="28"/>
          <w:szCs w:val="28"/>
        </w:rPr>
      </w:pPr>
      <w:r>
        <w:rPr>
          <w:rFonts w:eastAsia="Georgia" w:cs="Georgia"/>
          <w:i/>
          <w:iCs/>
          <w:sz w:val="28"/>
          <w:szCs w:val="28"/>
        </w:rPr>
        <w:t>A Working Synthesis</w:t>
      </w:r>
    </w:p>
    <w:p>
      <w:pPr>
        <w:pStyle w:val="Normal"/>
        <w:bidi w:val="0"/>
        <w:spacing w:before="400" w:after="0"/>
        <w:jc w:val="center"/>
        <w:rPr>
          <w:rFonts w:ascii="Georgia" w:hAnsi="Georgia" w:eastAsia="Georgia" w:cs="Georgia"/>
          <w:sz w:val="24"/>
          <w:szCs w:val="24"/>
        </w:rPr>
      </w:pPr>
      <w:r>
        <w:rPr>
          <w:rFonts w:eastAsia="Georgia" w:cs="Georgia"/>
          <w:sz w:val="24"/>
          <w:szCs w:val="24"/>
        </w:rPr>
        <w:t>A Biblical view of Creation, read through the full witness of Scripture,</w:t>
      </w:r>
    </w:p>
    <w:p>
      <w:pPr>
        <w:pStyle w:val="Normal"/>
        <w:bidi w:val="0"/>
        <w:spacing w:before="100" w:after="0"/>
        <w:jc w:val="center"/>
        <w:rPr>
          <w:rFonts w:ascii="Georgia" w:hAnsi="Georgia" w:eastAsia="Georgia" w:cs="Georgia"/>
          <w:sz w:val="24"/>
          <w:szCs w:val="24"/>
        </w:rPr>
      </w:pPr>
      <w:r>
        <w:rPr>
          <w:rFonts w:eastAsia="Georgia" w:cs="Georgia"/>
          <w:sz w:val="24"/>
          <w:szCs w:val="24"/>
        </w:rPr>
        <w:t>the teachings of the Catholic Church, and the evidence of God’s creation itself</w:t>
      </w:r>
    </w:p>
    <w:p>
      <w:pPr>
        <w:pStyle w:val="Normal"/>
        <w:bidi w:val="0"/>
        <w:spacing w:before="2000" w:after="0"/>
        <w:jc w:val="center"/>
        <w:rPr>
          <w:rFonts w:ascii="Georgia" w:hAnsi="Georgia" w:eastAsia="Georgia" w:cs="Georgia"/>
          <w:sz w:val="24"/>
          <w:szCs w:val="24"/>
        </w:rPr>
      </w:pPr>
      <w:r>
        <w:rPr>
          <w:rFonts w:eastAsia="Georgia" w:cs="Georgia"/>
          <w:sz w:val="24"/>
          <w:szCs w:val="24"/>
        </w:rPr>
        <w:t>2026</w:t>
      </w:r>
    </w:p>
    <w:p>
      <w:pPr>
        <w:pStyle w:val="Normal"/>
        <w:bidi w:val="0"/>
        <w:jc w:val="start"/>
        <w:rPr/>
      </w:pPr>
      <w:r>
        <w:rPr/>
      </w:r>
      <w:r>
        <w:br w:type="page"/>
      </w:r>
    </w:p>
    <w:p>
      <w:pPr>
        <w:pStyle w:val="Normal"/>
        <w:bidi w:val="0"/>
        <w:spacing w:before="0" w:after="600"/>
        <w:jc w:val="center"/>
        <w:rPr>
          <w:rFonts w:ascii="Georgia" w:hAnsi="Georgia" w:eastAsia="Georgia" w:cs="Georgia"/>
          <w:b/>
          <w:bCs/>
          <w:sz w:val="28"/>
          <w:szCs w:val="28"/>
        </w:rPr>
      </w:pPr>
      <w:r>
        <w:rPr>
          <w:rFonts w:eastAsia="Georgia" w:cs="Georgia"/>
          <w:b/>
          <w:bCs/>
          <w:sz w:val="28"/>
          <w:szCs w:val="28"/>
        </w:rPr>
        <w:t>THE ARGUMENT IN ONE SENTENCE</w:t>
      </w:r>
    </w:p>
    <w:p>
      <w:pPr>
        <w:pStyle w:val="Normal"/>
        <w:bidi w:val="0"/>
        <w:spacing w:lineRule="exact" w:line="276" w:before="0" w:after="200"/>
        <w:jc w:val="start"/>
        <w:rPr>
          <w:rFonts w:ascii="Georgia" w:hAnsi="Georgia" w:eastAsia="Georgia" w:cs="Georgia"/>
          <w:i/>
          <w:i/>
          <w:iCs/>
          <w:sz w:val="24"/>
          <w:szCs w:val="24"/>
        </w:rPr>
      </w:pPr>
      <w:r>
        <w:rPr>
          <w:rFonts w:eastAsia="Georgia" w:cs="Georgia"/>
          <w:i/>
          <w:iCs/>
          <w:sz w:val="24"/>
          <w:szCs w:val="24"/>
        </w:rPr>
        <w:t>Adam and Eve were real, ensouled by God, ancestors of all humanity—and the scientific evidence for deep time, genetics, and the fossil record does not contradict this, because Catholic teaching defines what happened theologically while leaving the natural history open.</w:t>
      </w:r>
    </w:p>
    <w:p>
      <w:pPr>
        <w:pStyle w:val="Normal"/>
        <w:bidi w:val="0"/>
        <w:spacing w:before="600" w:after="400"/>
        <w:jc w:val="center"/>
        <w:rPr>
          <w:rFonts w:ascii="Georgia" w:hAnsi="Georgia" w:eastAsia="Georgia" w:cs="Georgia"/>
          <w:b/>
          <w:bCs/>
          <w:sz w:val="28"/>
          <w:szCs w:val="28"/>
        </w:rPr>
      </w:pPr>
      <w:r>
        <w:rPr>
          <w:rFonts w:eastAsia="Georgia" w:cs="Georgia"/>
          <w:b/>
          <w:bCs/>
          <w:sz w:val="28"/>
          <w:szCs w:val="28"/>
        </w:rPr>
        <w:t>THE ARGUMENT IN BRIEF</w:t>
      </w:r>
    </w:p>
    <w:p>
      <w:pPr>
        <w:pStyle w:val="Normal"/>
        <w:bidi w:val="0"/>
        <w:spacing w:lineRule="exact" w:line="276" w:before="0" w:after="200"/>
        <w:jc w:val="start"/>
        <w:rPr/>
      </w:pPr>
      <w:r>
        <w:rPr>
          <w:rFonts w:eastAsia="Georgia" w:cs="Georgia"/>
          <w:i/>
          <w:iCs/>
          <w:sz w:val="24"/>
          <w:szCs w:val="24"/>
        </w:rPr>
        <w:t>Adam and Eve were real, ensouled by God, ancestors of all humanity—and the scientific evidence for deep time, genetics, and the fossil record does not contradict this, because Catholic teaching defines what happened theologically while leaving the natural history open.</w:t>
      </w:r>
      <w:r>
        <w:rPr>
          <w:rFonts w:eastAsia="Georgia" w:cs="Georgia"/>
          <w:sz w:val="24"/>
          <w:szCs w:val="24"/>
        </w:rPr>
        <w:t xml:space="preserve"> That is the core claim of this document. Here is how it works: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Catholic Church requires belief in a real Adam and Eve, a real Fall, and the direct creation of every human soul by God. She does not require belief in a young earth, nor does she require belief in an old one. The age of the earth is not defined by any council, encyclical (a formal papal teaching letter addressed to the whole Church), or ex cathedra statement (a solemn papal definition invoking the full weight of papal infallibility). Both positions are permitted; neither is heretical.</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document argues that the scientific evidence for deep time—ice cores, tree rings, coral reefs, continental drift, genetics—is substantial and convergent, and that it is very difficult to set aside without invoking ad hoc miracles that raise their own theological problems. At the same time, it argues that the theological claims of the Church—a real first couple, a real ensoulment, a real Fall, real original sin transmitted to all descendants—are non-negotiable and must be preserved in any faithful synthesis.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proposed framework: God prepared a biological substrate over deep time—hominids increasingly resembling modern humans in body but lacking rational souls. At a specific moment—between 750,000 and 1,000,000 years ago—God ensouled two of these hominids, making them the first true human beings: Adam and Eve. Their descendants, bearing rational souls, grew through normal reproduction (including sibling marriage in the earliest generations, as Catholic theology already permits). Recent genetic research has shown that the mechanisms of immune-system gene diversification—balancing selection, gene conversion, and deep time—are sufficient to generate the vast diversity we observe from an initial pair at these timescales. The later interbreeding between long-separated human populations (Neanderthals, Denisovans, and modern Homo sapiens) was a family reunion—descendants of Adam reconnecting after hundreds of thousands of years apart. This accounts for genetic diversity without abandoning monogenism, explains the fossil record without denying theology, and preserves every dogmatic requirement the Church has defined.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framework is not a proof. It is a working synthesis—an attempt to show that faith and science are not at war, and that a Catholic can look honestly at the evidence of God’s creation without fearing what it reveals.</w:t>
      </w:r>
    </w:p>
    <w:p>
      <w:pPr>
        <w:pStyle w:val="Normal"/>
        <w:bidi w:val="0"/>
        <w:jc w:val="start"/>
        <w:rPr/>
      </w:pPr>
      <w:r>
        <w:rPr/>
      </w:r>
      <w:r>
        <w:br w:type="page"/>
      </w:r>
    </w:p>
    <w:p>
      <w:pPr>
        <w:pStyle w:val="Normal"/>
        <w:bidi w:val="0"/>
        <w:spacing w:before="0" w:after="400"/>
        <w:jc w:val="center"/>
        <w:rPr>
          <w:rFonts w:ascii="Georgia" w:hAnsi="Georgia" w:eastAsia="Georgia" w:cs="Georgia"/>
          <w:b/>
          <w:bCs/>
          <w:sz w:val="32"/>
          <w:szCs w:val="32"/>
        </w:rPr>
      </w:pPr>
      <w:r>
        <w:rPr>
          <w:rFonts w:eastAsia="Georgia" w:cs="Georgia"/>
          <w:b/>
          <w:bCs/>
          <w:sz w:val="32"/>
          <w:szCs w:val="32"/>
        </w:rPr>
        <w:t>TABLE OF CONTENTS</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 The Problem and the Promise</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2: The Case for a Young Earth—Stated Fairly</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3: The Crux—Why This Document Parts Ways with the Young Earth Position</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4: Existing Models—Their Strengths and Limitations</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5: Augros and Stanciu—The New Biology and Latent Potential</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6: The Hominid Family Tree—Who Are These Cousins?</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7: The Synthesis—A Proposed Framework</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8: The Cain and Abel Problem</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9: Original Sin and the Nature of the Fall</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10: The Flood and the Memory of Near-Extinction</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11: The Genetic Diversity Problem—An Honest Examination</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12: The Hard Problem of Consciousness—The Strongest Argument</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13: What a Scientist Would Say—An Honest Assessment</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14: The Framework Summarized</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Chapter 15: Acknowledged Weaknesses and Open Questions</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References and Further Reading</w:t>
      </w:r>
    </w:p>
    <w:p>
      <w:pPr>
        <w:pStyle w:val="Normal"/>
        <w:bidi w:val="0"/>
        <w:spacing w:before="80" w:after="80"/>
        <w:ind w:start="360"/>
        <w:jc w:val="start"/>
        <w:rPr>
          <w:rFonts w:ascii="Georgia" w:hAnsi="Georgia" w:eastAsia="Georgia" w:cs="Georgia"/>
          <w:sz w:val="24"/>
          <w:szCs w:val="24"/>
        </w:rPr>
      </w:pPr>
      <w:r>
        <w:rPr>
          <w:rFonts w:eastAsia="Georgia" w:cs="Georgia"/>
          <w:sz w:val="24"/>
          <w:szCs w:val="24"/>
        </w:rPr>
        <w:t>Index of Key Terms and Persons</w:t>
      </w:r>
    </w:p>
    <w:p>
      <w:pPr>
        <w:pStyle w:val="Normal"/>
        <w:bidi w:val="0"/>
        <w:jc w:val="start"/>
        <w:rPr/>
      </w:pPr>
      <w:r>
        <w:rPr/>
      </w:r>
      <w:r>
        <w:br w:type="page"/>
      </w:r>
    </w:p>
    <w:p>
      <w:pPr>
        <w:pStyle w:val="Heading1"/>
        <w:bidi w:val="0"/>
        <w:spacing w:before="0" w:after="200"/>
        <w:jc w:val="start"/>
        <w:rPr/>
      </w:pPr>
      <w:r>
        <w:rPr/>
        <w:t>Chapter 1: The Problem and the Promise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For centuries, the opening chapters of Genesis have stood at the center of a seemingly irreconcilable conflict between faith and science. On one side, Catholic teaching holds that Adam and Eve were real, historical individuals—the first true humans, from whom every human being descends, and through whom original sin entered the world. On the other side, modern genetics, paleoanthropology (the study of ancient human ancestors through fossils and archaeology), and the fossil record present a picture of human origins that appears to challenge these claims at every turn: populations of thousands, not a single pair; timescales of hundreds of thousands of years, not six thousand; a branching family tree of hominid species (the broader family of upright-walking primates that includes modern humans and our extinct relatives like Neanderthals), not a single created couple in a garden.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document attempts something ambitious but, we believe, intellectually honest: a synthesis that takes both Catholic theology and modern science seriously, without reducing either to the other. It is not a proof. It is not a catechism. It is a working framework—an attempt to show that the apparent contradictions between Genesis and the fossil record are not as absolute as either side often assumes, and that a coherent account of human origins can honor both the theological requirements of the Church and the empirical discoveries of science.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 word about what this document is and is not. This is a Biblical view of creation. It affirms everything that Genesis teaches: that God is the Creator of all things visible and invisible, that He created the heavens and the earth, that He created man in His own image, that Adam and Eve were real historical persons, that original sin is real and transmitted through descent, and that every human soul is created directly by God. It does not treat Genesis as myth, metaphor, or outdated pre-scientific literature. It treats Genesis as divinely inspired Sacred Scripture that reveals truths about God, creation, and the human person that science alone cannot discover. Where it departs from some readings of Genesis is in asking what the sacred author intended to teach and how the Church has understood that teaching across two millennia—a question that, as we will see, the Church Fathers themselves did not answer unanimously. Readers who hold a young earth position should know that this document takes their arguments seriously, tries to present them at their strongest, and explains in detail why it ultimately takes a different path. But it does so from a shared foundation: the absolute authority of Scripture, the binding teachings of the Catholic Church, and the conviction that all truth—whether discovered in the Bible or in the Book of Nature—comes from the same God and cannot ultimately contradict itself.</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framework presented here draws on the work of numerous scholars—computational biologist S. Joshua Swamidass, philosopher Kenneth Kemp, physicist and philosopher George Stanciu and Robert Augros, theologian William Lane Craig, and others—while departing from each of them in significant ways. Where weaknesses exist, they are acknowledged. Where the evidence is ambiguous, we say so. The goal is not to start or win an argument but to present both positions at their strongest and let the reader see where the evidence leads.</w:t>
      </w:r>
    </w:p>
    <w:p>
      <w:pPr>
        <w:pStyle w:val="Normal"/>
        <w:bidi w:val="0"/>
        <w:spacing w:lineRule="exact" w:line="276" w:before="0" w:after="200"/>
        <w:jc w:val="start"/>
        <w:rPr/>
      </w:pPr>
      <w:r>
        <w:rPr>
          <w:rFonts w:eastAsia="Georgia" w:cs="Georgia"/>
          <w:sz w:val="24"/>
          <w:szCs w:val="24"/>
        </w:rPr>
        <w:t xml:space="preserve">A word about the spirit of this inquiry. Pope St. John Paul II, in his encyclical </w:t>
      </w:r>
      <w:hyperlink r:id="rId2">
        <w:r>
          <w:rPr>
            <w:rStyle w:val="ListLabel10"/>
            <w:rFonts w:eastAsia="Georgia" w:cs="Georgia"/>
            <w:i/>
            <w:iCs/>
            <w:color w:val="0563C1"/>
            <w:sz w:val="24"/>
            <w:szCs w:val="24"/>
            <w:u w:val="single"/>
          </w:rPr>
          <w:t>Fides et Ratio</w:t>
        </w:r>
      </w:hyperlink>
      <w:r>
        <w:rPr>
          <w:rFonts w:eastAsia="Georgia" w:cs="Georgia"/>
          <w:sz w:val="24"/>
          <w:szCs w:val="24"/>
        </w:rPr>
        <w:t xml:space="preserve"> (1998), described faith and reason as “like two wings on which the human spirit rises to the contemplation of truth.”</w:t>
      </w:r>
      <w:r>
        <w:rPr>
          <w:rStyle w:val="FootnoteReference"/>
        </w:rPr>
        <w:footnoteReference w:id="2"/>
      </w:r>
      <w:r>
        <w:rPr>
          <w:rFonts w:eastAsia="Georgia" w:cs="Georgia"/>
          <w:sz w:val="24"/>
          <w:szCs w:val="24"/>
        </w:rPr>
        <w:t xml:space="preserve"> The encyclical warns against two opposite errors that are directly relevant to the debate over human origins. The first is fideism—the position that faith alone is sufficient and that reason is irrelevant or dangerous to belief. The second is rationalism or scientism—the position that empirical science is the only valid path to knowledge, and that what science cannot measure does not exist. The Church rejects both. This document is written in the conviction that faith needs reason and reason needs faith—and that all sides of this debate sometimes forget this. Within the Church, the young earth advocate who dismisses radiometric dating, the fossil record, and the genetic evidence can appear—to old earth Catholics and proponents—to have set reason aside in the name of a particular reading of Genesis, abandoning the Catholic intellectual tradition that produced Albertus Magnus (the Dominican friar whose thirteenth-century work in natural science earned him the title Doctor Universalis), Gregor Mendel (the Augustinian monk who founded modern genetics), and Georges Lemaître (the Catholic priest who first proposed what became the Big Bang theory). The old earth advocate who treats the early chapters of Genesis as dispensable poetry, or who speaks of Adam and Eve as though their historical reality is a quaint embarrassment, can appear—to young earth Catholics—to have surrendered the faith to the reigning scientific consensus, keeping the label “Catholic” while quietly emptying it of content. Both perceptions contain some truth. Both are sometimes unfair. And beyond the Church, the scientist or philosopher who dismisses the possibility of an immaterial soul, or who insists that consciousness must ultimately reduce to physics, has not followed the evidence to its conclusion but has adopted a philosophical assumption that the scientific method itself cannot justify. As Chapter 12 of this document will argue, the hard problem of consciousness is not a gap waiting to be filled by future research; it is an explanatory boundary that materialism cannot cross. If this document succeeds, it will be because it takes both wings seriously—honoring the full witness of Scripture and the binding teachings of the Church while also honoring the evidence that God has written into His own creation, and offering to the honest inquirer outside the faith a reason to consider that the Catholic account of the human person answers questions that science alone has trouble framing.</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What follows is structured as an exploration. Each section takes a major question—the age of the earth, the origin of Adam and Eve, the genetic diversity problem, the identity of the “other people” in Genesis, the nature of Neanderthals and Denisovans, the origin of consciousness—and works through the evidence, the objections, and the possibilities. The tone is intended to be readable rather than academic, though the substance is drawn from serious scholarship and peer-reviewed science.</w:t>
      </w:r>
    </w:p>
    <w:p>
      <w:pPr>
        <w:pStyle w:val="Normal"/>
        <w:bidi w:val="0"/>
        <w:jc w:val="start"/>
        <w:rPr/>
      </w:pPr>
      <w:r>
        <w:rPr/>
      </w:r>
      <w:r>
        <w:br w:type="page"/>
      </w:r>
    </w:p>
    <w:p>
      <w:pPr>
        <w:pStyle w:val="Heading1"/>
        <w:bidi w:val="0"/>
        <w:spacing w:before="0" w:after="200"/>
        <w:jc w:val="start"/>
        <w:rPr/>
      </w:pPr>
      <w:r>
        <w:rPr/>
        <w:t>Chapter 2: The Case for a Young Earth—Stated Fairly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Any serious discussion of human origins must begin with the age of the earth. The young earth position has deep roots in Christian history and is held sincerely by many faithful believers today. It deserves to be stated at its strongest before this document explains why it takes a different path.</w:t>
      </w:r>
    </w:p>
    <w:p>
      <w:pPr>
        <w:pStyle w:val="Normal"/>
        <w:bidi w:val="0"/>
        <w:spacing w:lineRule="exact" w:line="276" w:before="0" w:after="200"/>
        <w:jc w:val="start"/>
        <w:rPr/>
      </w:pPr>
      <w:r>
        <w:rPr>
          <w:rFonts w:eastAsia="Georgia" w:cs="Georgia"/>
          <w:sz w:val="24"/>
          <w:szCs w:val="24"/>
        </w:rPr>
        <w:t xml:space="preserve">First, the most natural reading of Genesis 1 describes six days of creation. The Hebrew word </w:t>
      </w:r>
      <w:r>
        <w:rPr>
          <w:rFonts w:eastAsia="Georgia" w:cs="Georgia"/>
          <w:i/>
          <w:iCs/>
          <w:sz w:val="24"/>
          <w:szCs w:val="24"/>
        </w:rPr>
        <w:t>yom</w:t>
      </w:r>
      <w:r>
        <w:rPr>
          <w:rFonts w:eastAsia="Georgia" w:cs="Georgia"/>
          <w:sz w:val="24"/>
          <w:szCs w:val="24"/>
        </w:rPr>
        <w:t xml:space="preserve"> is used with the formula “there was evening and there was morning, the Xth day”—a construction that, everywhere else in the Old Testament, refers to an ordinary calendar day. </w:t>
      </w:r>
      <w:hyperlink r:id="rId3">
        <w:r>
          <w:rPr>
            <w:rStyle w:val="ListLabel11"/>
            <w:rFonts w:eastAsia="Georgia" w:cs="Georgia"/>
            <w:b/>
            <w:bCs/>
            <w:color w:val="0563C1"/>
            <w:sz w:val="24"/>
            <w:szCs w:val="24"/>
            <w:u w:val="single"/>
          </w:rPr>
          <w:t>Exodus 20:11</w:t>
        </w:r>
      </w:hyperlink>
      <w:r>
        <w:rPr>
          <w:rFonts w:eastAsia="Georgia" w:cs="Georgia"/>
          <w:sz w:val="24"/>
          <w:szCs w:val="24"/>
        </w:rPr>
        <w:t xml:space="preserve"> (NABRE) grounds the Sabbath commandment in this six-day pattern: “For in six days the Lord made heaven and earth, the sea, and all that is in them, and rested on the seventh day.” Young earth advocates argue that if the days of Genesis are not literal days, this commandment loses its grounding—the pattern of six days of work followed by one day of rest only makes sense, they contend, if God actually worked for six ordinary days and rested on the seventh.</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Second, the genealogies of Genesis 5 and 11 provide specific ages for each patriarch, and when added together they yield a timeline of approximately six thousand years from Adam to Christ. While some scholars argue for gaps in these genealogies, the inclusion of precise ages (Adam was 130 when Seth was born, Seth was 105 when Enosh was born, and so forth) makes gap theories more difficult to sustain than in genealogies that merely list names.</w:t>
      </w:r>
    </w:p>
    <w:p>
      <w:pPr>
        <w:pStyle w:val="Normal"/>
        <w:bidi w:val="0"/>
        <w:spacing w:lineRule="exact" w:line="276" w:before="0" w:after="200"/>
        <w:jc w:val="start"/>
        <w:rPr/>
      </w:pPr>
      <w:r>
        <w:rPr>
          <w:rFonts w:eastAsia="Georgia" w:cs="Georgia"/>
          <w:sz w:val="24"/>
          <w:szCs w:val="24"/>
        </w:rPr>
        <w:t>Third, Jesus himself spoke of the creation of humanity at “the beginning” (</w:t>
      </w:r>
      <w:hyperlink r:id="rId4">
        <w:r>
          <w:rPr>
            <w:rStyle w:val="ListLabel11"/>
            <w:rFonts w:eastAsia="Georgia" w:cs="Georgia"/>
            <w:b/>
            <w:bCs/>
            <w:color w:val="0563C1"/>
            <w:sz w:val="24"/>
            <w:szCs w:val="24"/>
            <w:u w:val="single"/>
          </w:rPr>
          <w:t>Mk 10:6</w:t>
        </w:r>
      </w:hyperlink>
      <w:r>
        <w:rPr>
          <w:rFonts w:eastAsia="Georgia" w:cs="Georgia"/>
          <w:sz w:val="24"/>
          <w:szCs w:val="24"/>
        </w:rPr>
        <w:t xml:space="preserve">; </w:t>
      </w:r>
      <w:hyperlink r:id="rId5">
        <w:r>
          <w:rPr>
            <w:rStyle w:val="ListLabel11"/>
            <w:rFonts w:eastAsia="Georgia" w:cs="Georgia"/>
            <w:b/>
            <w:bCs/>
            <w:color w:val="0563C1"/>
            <w:sz w:val="24"/>
            <w:szCs w:val="24"/>
            <w:u w:val="single"/>
          </w:rPr>
          <w:t>13:19</w:t>
        </w:r>
      </w:hyperlink>
      <w:r>
        <w:rPr>
          <w:rFonts w:eastAsia="Georgia" w:cs="Georgia"/>
          <w:sz w:val="24"/>
          <w:szCs w:val="24"/>
        </w:rPr>
        <w:t>, NABRE), which young earth advocates argue is difficult to reconcile with humanity appearing only in the last fraction of a percent of cosmic history. If humans arrived 13.8 billion years into a 13.8-billion-year-old universe, that is not “the beginning” in any natural sense of the word.</w:t>
      </w:r>
    </w:p>
    <w:p>
      <w:pPr>
        <w:pStyle w:val="Normal"/>
        <w:bidi w:val="0"/>
        <w:spacing w:lineRule="exact" w:line="276" w:before="0" w:after="200"/>
        <w:jc w:val="start"/>
        <w:rPr/>
      </w:pPr>
      <w:r>
        <w:rPr>
          <w:rFonts w:eastAsia="Georgia" w:cs="Georgia"/>
          <w:sz w:val="24"/>
          <w:szCs w:val="24"/>
        </w:rPr>
        <w:t xml:space="preserve">Fourth, and most philosophically sophisticated, is the argument from Thomistic metaphysics—the philosophical system of Saint Thomas Aquinas (1225–1274), the Catholic Church’s most influential philosopher and theologian, whose framework remains the foundation of Catholic intellectual life. Aquinas defined creation as not a change but a simple emanation of being out of nothing—it is instantaneous, supernatural, and involves no secondary causes. If God creates, He creates immediately and completely. A tree that God creates does not begin as a seed; Adam does not begin as an infant. God creates mature, fully functioning realities. This is the “mature creation” argument, formalized by the naturalist Philip Henry Gosse in his 1857 work </w:t>
      </w:r>
      <w:r>
        <w:rPr>
          <w:rFonts w:eastAsia="Georgia" w:cs="Georgia"/>
          <w:i/>
          <w:iCs/>
          <w:sz w:val="24"/>
          <w:szCs w:val="24"/>
        </w:rPr>
        <w:t>Omphalos</w:t>
      </w:r>
      <w:r>
        <w:rPr>
          <w:rFonts w:eastAsia="Georgia" w:cs="Georgia"/>
          <w:sz w:val="24"/>
          <w:szCs w:val="24"/>
        </w:rPr>
        <w:t xml:space="preserve"> (Greek for “navel”—the question being whether Adam, who was never born, had a navel).</w:t>
      </w:r>
      <w:r>
        <w:rPr>
          <w:rStyle w:val="FootnoteReference"/>
        </w:rPr>
        <w:footnoteReference w:id="3"/>
      </w:r>
      <w:r>
        <w:rPr>
          <w:rFonts w:eastAsia="Georgia" w:cs="Georgia"/>
          <w:sz w:val="24"/>
          <w:szCs w:val="24"/>
        </w:rPr>
        <w:t xml:space="preserve"> Gosse argued that God necessarily created a world with the </w:t>
      </w:r>
      <w:r>
        <w:rPr>
          <w:rFonts w:eastAsia="Georgia" w:cs="Georgia"/>
          <w:i/>
          <w:iCs/>
          <w:sz w:val="24"/>
          <w:szCs w:val="24"/>
        </w:rPr>
        <w:t>appearance</w:t>
      </w:r>
      <w:r>
        <w:rPr>
          <w:rFonts w:eastAsia="Georgia" w:cs="Georgia"/>
          <w:sz w:val="24"/>
          <w:szCs w:val="24"/>
        </w:rPr>
        <w:t xml:space="preserve"> of age, because a functioning world requires pre-existing conditions: trees need rings, soil needs organic matter, rivers need erosion patterns, and light from distant stars must already be in transit. The appearance of age is not deception but a necessary feature of mature creation. We will return to this argument below, because while it is internally consistent, it raises a serious theological difficulty that deserves careful examination.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an internally consistent argument. If one accepts its premises, it cannot be empirically disproven. There would be no observable difference between a universe created six thousand years ago with the appearance of 13.8 billion years of history and a universe that is actually 13.8 billion years old. As Gosse himself recognized, every scientific conclusion about the earth’s past would remain the same—only the question of whether that past was real or “projected in the mind of God” would differ.</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Fifth, young earth advocates point to what they consider anomalies in radiometric dating. They argue that the assumptions underlying these methods—constant decay rates, known initial conditions, closed systems—cannot be verified for events in the unobserved past. The RATE (Radioisotopes and the Age of The Earth) research project, funded by the Institute for Creation Research and the Creation Research Society, reported findings of carbon-14 (a radioactive isotope of carbon that decays over time and is used to date organic material up to about 50,000 years old) in coal and diamonds that, under standard assumptions, should contain none. They also reported helium retention in zircon crystals (extremely hard, naturally occurring minerals that trap radioactive elements and their decay products, making them useful as geological clocks) at levels they argued were inconsistent with billions of years of radioactive decay.</w:t>
      </w:r>
    </w:p>
    <w:p>
      <w:pPr>
        <w:pStyle w:val="Normal"/>
        <w:bidi w:val="0"/>
        <w:spacing w:lineRule="exact" w:line="276" w:before="0" w:after="200"/>
        <w:jc w:val="start"/>
        <w:rPr/>
      </w:pPr>
      <w:r>
        <w:rPr>
          <w:rFonts w:eastAsia="Georgia" w:cs="Georgia"/>
          <w:sz w:val="24"/>
          <w:szCs w:val="24"/>
        </w:rPr>
        <w:t>Sixth, the earth’s magnetic field has been measured to be decaying. Thomas G. Barnes, a physicist, argued in 1973 that if this decay is exponential and has been constant, the field would have been impossibly strong more than about 10,000 years ago—consistent with a young earth.</w:t>
      </w:r>
      <w:r>
        <w:rPr>
          <w:rStyle w:val="FootnoteReference"/>
        </w:rPr>
        <w:footnoteReference w:id="4"/>
      </w:r>
      <w:r>
        <w:rPr>
          <w:rFonts w:eastAsia="Georgia" w:cs="Georgia"/>
          <w:sz w:val="24"/>
          <w:szCs w:val="24"/>
        </w:rPr>
        <w:t xml:space="preserve"> This argument was influential among young earth advocates for decades.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Seventh, some young earth advocates point to “polystrate fossils”—tree trunks and other structures that extend vertically through multiple geological strata. If each stratum represents millions of years of deposition, how could a tree trunk remain upright and intact while being slowly buried over eons? This, they argue, suggests rapid deposition consistent with a global flood rather than gradual accumulation over millions of years.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Eighth, and perhaps the most far-reaching argument, is the claim that the physical constants and natural rates we observe today were not always constant. Young earth advocates argue that processes like the speed of light, radioactive decay, stalactite growth, and geological deposition may have operated at vastly different rates in the past—rendering all uniformitarian dating methods unreliable. If light traveled much faster in the early universe, it could have crossed 13.8 billion light-years in only a few thousand years. If radioactive decay was dramatically accelerated during or shortly after Creation Week, radiometric dates of billions of years would be artifacts of that acceleration, not evidence of actual deep time.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argument has real teeth, because science itself provides examples of processes that turn out to be non-uniform. Stalactites and stalagmites are commonly said to grow at rates of roughly one inch per century—yet dramatically faster growth has been documented in specific conditions. Stalactites have been observed forming on concrete structures, bridge underpasses, and mine ceilings in mere years or decades, sometimes growing several inches in under a decade when mineral-rich water flows rapidly through porous material. If growth rates can vary this dramatically for speleothems, the argument goes, why should we assume constancy for other processes?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White Cliffs of Dover, one of England’s most iconic geological formations, provide another example young earth advocates cite. The cliffs are composed of chalk—the compressed remains of trillions of microscopic marine organisms called coccolithophores (single-celled algae, smaller than the width of a human hair, that build tiny shells out of calcium carbonate—the same mineral found in limestone and seashells). Standard geology holds that this chalk was deposited over tens of millions of years during the Late Cretaceous period, roughly 100 to 66 million years ago, when a warm shallow sea covered much of what is now southern England. The cliffs stand up to 110 meters tall and stretch for miles along the English Channel. Young earth advocates argue that catastrophic conditions—such as massive algal blooms triggered by volcanic activity during the Genesis Flood—could have produced and deposited vast quantities of coccolithophore remains in a much shorter time, perhaps weeks or months rather than millions of years. Coccolithophore blooms are observable today: satellite imagery regularly captures blooms covering thousands of square kilometers of ocean surface. If a global catastrophe triggered sustained, massive blooms while simultaneously depositing sediment, the argument goes, the chalk could have accumulated rapidly.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Finally, young earth advocates point to the history of science itself as evidence that “settled science” can be overturned. Copernicus displaced the earth from the center of the cosmos; Kepler refined the model with his laws of planetary motion; Galileo championed it and was famously punished by the Church for doing so. Einstein replaced Newtonian physics with relativity, demonstrating that space, time, and even the speed of light’s relationship to matter were not what centuries of physics had assumed. If the greatest scientific frameworks in history have been overturned by new evidence, why should we treat the current consensus on the earth’s age as beyond revision? Science, they argue, is a method for revising assumptions—and the assumption of uniformity across billions of years is the biggest unverified assumption of all.</w:t>
      </w:r>
    </w:p>
    <w:p>
      <w:pPr>
        <w:pStyle w:val="Heading2"/>
        <w:bidi w:val="0"/>
        <w:spacing w:before="280" w:after="160"/>
        <w:jc w:val="start"/>
        <w:rPr/>
      </w:pPr>
      <w:r>
        <w:rPr/>
        <w:t>Why Some Catholics Argue Young Earth Belief Is Required</w:t>
      </w:r>
    </w:p>
    <w:p>
      <w:pPr>
        <w:pStyle w:val="Normal"/>
        <w:bidi w:val="0"/>
        <w:spacing w:lineRule="exact" w:line="276" w:before="0" w:after="200"/>
        <w:jc w:val="start"/>
        <w:rPr/>
      </w:pPr>
      <w:r>
        <w:rPr>
          <w:rFonts w:eastAsia="Georgia" w:cs="Georgia"/>
          <w:sz w:val="24"/>
          <w:szCs w:val="24"/>
        </w:rPr>
        <w:t>The strongest case for a young earth within Catholicism does not come from the Protestant fundamentalist tradition but from a distinctly Catholic argument rooted in the Church Fathers, ecumenical councils, and Thomistic metaphysics. The most prominent advocate of this position is the Kolbe Center for the Study of Creation, founded in 2000 and directed by Hugh Owen.</w:t>
      </w:r>
      <w:r>
        <w:rPr>
          <w:rStyle w:val="FootnoteReference"/>
        </w:rPr>
        <w:footnoteReference w:id="5"/>
      </w:r>
      <w:r>
        <w:rPr>
          <w:rFonts w:eastAsia="Georgia" w:cs="Georgia"/>
          <w:sz w:val="24"/>
          <w:szCs w:val="24"/>
        </w:rPr>
        <w:t xml:space="preserve"> Their arguments deserve serious engagement, because they appeal to sources that every Catholic must take seriously.</w:t>
      </w:r>
    </w:p>
    <w:p>
      <w:pPr>
        <w:pStyle w:val="Normal"/>
        <w:bidi w:val="0"/>
        <w:spacing w:lineRule="exact" w:line="276" w:before="0" w:after="200"/>
        <w:jc w:val="start"/>
        <w:rPr/>
      </w:pPr>
      <w:r>
        <w:rPr>
          <w:rFonts w:eastAsia="Georgia" w:cs="Georgia"/>
          <w:b/>
          <w:bCs/>
          <w:sz w:val="24"/>
          <w:szCs w:val="24"/>
        </w:rPr>
        <w:t xml:space="preserve">The Church Fathers Argument. </w:t>
      </w:r>
      <w:r>
        <w:rPr>
          <w:rFonts w:eastAsia="Georgia" w:cs="Georgia"/>
          <w:sz w:val="24"/>
          <w:szCs w:val="24"/>
        </w:rPr>
        <w:t xml:space="preserve">The Kolbe Center argues that every Apostle, Father, and Doctor of the Church upheld a young earth chronology derived from Genesis. They challenge opponents to “show us a single statement from a Church Father who taught that God used long periods of time in the creation of the material universe.” This matters because the First Vatican Council, </w:t>
      </w:r>
      <w:hyperlink r:id="rId6">
        <w:r>
          <w:rPr>
            <w:rStyle w:val="ListLabel10"/>
            <w:rFonts w:eastAsia="Georgia" w:cs="Georgia"/>
            <w:i/>
            <w:iCs/>
            <w:color w:val="0563C1"/>
            <w:sz w:val="24"/>
            <w:szCs w:val="24"/>
            <w:u w:val="single"/>
          </w:rPr>
          <w:t>Dei Filius</w:t>
        </w:r>
      </w:hyperlink>
      <w:hyperlink r:id="rId7">
        <w:r>
          <w:rPr>
            <w:rStyle w:val="ListLabel12"/>
            <w:rFonts w:eastAsia="Georgia" w:cs="Georgia"/>
            <w:color w:val="0563C1"/>
            <w:sz w:val="24"/>
            <w:szCs w:val="24"/>
            <w:u w:val="single"/>
          </w:rPr>
          <w:t>, Chapter 2</w:t>
        </w:r>
      </w:hyperlink>
      <w:r>
        <w:rPr>
          <w:rFonts w:eastAsia="Georgia" w:cs="Georgia"/>
          <w:sz w:val="24"/>
          <w:szCs w:val="24"/>
        </w:rPr>
        <w:t>, teaches that Scripture must be interpreted “according to that sense which Holy Mother Church has held and holds” and “in accordance with the unanimous consent of the Fathers.” If the Fathers unanimously taught a young earth, a Catholic might be bound to accept it.</w:t>
      </w:r>
    </w:p>
    <w:p>
      <w:pPr>
        <w:pStyle w:val="Normal"/>
        <w:bidi w:val="0"/>
        <w:spacing w:lineRule="exact" w:line="276" w:before="0" w:after="200"/>
        <w:jc w:val="start"/>
        <w:rPr/>
      </w:pPr>
      <w:r>
        <w:rPr>
          <w:rFonts w:eastAsia="Georgia" w:cs="Georgia"/>
          <w:b/>
          <w:bCs/>
          <w:sz w:val="24"/>
          <w:szCs w:val="24"/>
        </w:rPr>
        <w:t xml:space="preserve">The Fourth Lateran Council Argument. </w:t>
      </w:r>
      <w:r>
        <w:rPr>
          <w:rFonts w:eastAsia="Georgia" w:cs="Georgia"/>
          <w:sz w:val="24"/>
          <w:szCs w:val="24"/>
        </w:rPr>
        <w:t xml:space="preserve">The Kolbe Center and the Catholic Origins apostolate argue that the Fourth Lateran Council (1215), in its </w:t>
      </w:r>
      <w:r>
        <w:rPr>
          <w:rFonts w:eastAsia="Georgia" w:cs="Georgia"/>
          <w:i/>
          <w:iCs/>
          <w:sz w:val="24"/>
          <w:szCs w:val="24"/>
        </w:rPr>
        <w:t>Firmiter</w:t>
      </w:r>
      <w:r>
        <w:rPr>
          <w:rFonts w:eastAsia="Georgia" w:cs="Georgia"/>
          <w:sz w:val="24"/>
          <w:szCs w:val="24"/>
        </w:rPr>
        <w:t xml:space="preserve"> constitution, dogmatically defined fiat creation. The key Latin text reads: </w:t>
      </w:r>
      <w:r>
        <w:rPr>
          <w:rFonts w:eastAsia="Georgia" w:cs="Georgia"/>
          <w:i/>
          <w:iCs/>
          <w:sz w:val="24"/>
          <w:szCs w:val="24"/>
        </w:rPr>
        <w:t>Deus… sua omnipotenti virtute simul ab initio temporis utramque de nihilo condidit creaturam</w:t>
      </w:r>
      <w:r>
        <w:rPr>
          <w:rFonts w:eastAsia="Georgia" w:cs="Georgia"/>
          <w:sz w:val="24"/>
          <w:szCs w:val="24"/>
        </w:rPr>
        <w:t xml:space="preserve"> (“God… by His own omnipotent power at once from the beginning of time created each creature from nothing”). Young earth advocates read </w:t>
      </w:r>
      <w:r>
        <w:rPr>
          <w:rFonts w:eastAsia="Georgia" w:cs="Georgia"/>
          <w:i/>
          <w:iCs/>
          <w:sz w:val="24"/>
          <w:szCs w:val="24"/>
        </w:rPr>
        <w:t>simul</w:t>
      </w:r>
      <w:r>
        <w:rPr>
          <w:rFonts w:eastAsia="Georgia" w:cs="Georgia"/>
          <w:sz w:val="24"/>
          <w:szCs w:val="24"/>
        </w:rPr>
        <w:t xml:space="preserve"> as “simultaneously” and </w:t>
      </w:r>
      <w:r>
        <w:rPr>
          <w:rFonts w:eastAsia="Georgia" w:cs="Georgia"/>
          <w:i/>
          <w:iCs/>
          <w:sz w:val="24"/>
          <w:szCs w:val="24"/>
        </w:rPr>
        <w:t>ab initio temporis</w:t>
      </w:r>
      <w:r>
        <w:rPr>
          <w:rFonts w:eastAsia="Georgia" w:cs="Georgia"/>
          <w:sz w:val="24"/>
          <w:szCs w:val="24"/>
        </w:rPr>
        <w:t xml:space="preserve"> as “from the beginning of time,” concluding that creation was instantaneous and occurred at the very start of time—allowing no room for billions of years. Saint Lawrence of Brindisi (1559–1619), a Doctor of the Church, read the text this way, as did the Flemish Jesuit exegete Cornelius a Lapide (1567–1637).</w:t>
      </w:r>
    </w:p>
    <w:p>
      <w:pPr>
        <w:pStyle w:val="Normal"/>
        <w:bidi w:val="0"/>
        <w:spacing w:lineRule="exact" w:line="276" w:before="0" w:after="200"/>
        <w:jc w:val="start"/>
        <w:rPr/>
      </w:pPr>
      <w:r>
        <w:rPr>
          <w:rFonts w:eastAsia="Georgia" w:cs="Georgia"/>
          <w:b/>
          <w:bCs/>
          <w:sz w:val="24"/>
          <w:szCs w:val="24"/>
        </w:rPr>
        <w:t xml:space="preserve">The Creation-Providence Framework. </w:t>
      </w:r>
      <w:r>
        <w:rPr>
          <w:rFonts w:eastAsia="Georgia" w:cs="Georgia"/>
          <w:sz w:val="24"/>
          <w:szCs w:val="24"/>
        </w:rPr>
        <w:t>Hugh Owen argues that all arguments for an old earth assume a “naturalistic-uniformitarian framework” inherited from Enlightenment philosophers, which was rejected by all the Church Fathers. The Fathers instead embraced what Owen calls a “Creation-Providence Framework,” in which the entire work of creation was supernatural, and the natural order only began when creation was complete. Therefore, natural processes cannot be extrapolated backward to determine the age of creation. Owen rejects the label “Young Earth Creationist” in favor of “DRAC”—“Divinely-Revealed-Age-Catholic”—framing his position as the default Catholic position held by the Fathers, not a modern innovation.</w:t>
      </w:r>
    </w:p>
    <w:p>
      <w:pPr>
        <w:pStyle w:val="Normal"/>
        <w:bidi w:val="0"/>
        <w:spacing w:lineRule="exact" w:line="276" w:before="0" w:after="200"/>
        <w:jc w:val="start"/>
        <w:rPr/>
      </w:pPr>
      <w:r>
        <w:rPr>
          <w:rFonts w:eastAsia="Georgia" w:cs="Georgia"/>
          <w:b/>
          <w:bCs/>
          <w:sz w:val="24"/>
          <w:szCs w:val="24"/>
        </w:rPr>
        <w:t xml:space="preserve">The Cana Wine Analogy. </w:t>
      </w:r>
      <w:r>
        <w:rPr>
          <w:rFonts w:eastAsia="Georgia" w:cs="Georgia"/>
          <w:sz w:val="24"/>
          <w:szCs w:val="24"/>
        </w:rPr>
        <w:t>The Kolbe Center draws a parallel to Jesus turning water into wine at Cana (</w:t>
      </w:r>
      <w:hyperlink r:id="rId8">
        <w:r>
          <w:rPr>
            <w:rStyle w:val="ListLabel11"/>
            <w:rFonts w:eastAsia="Georgia" w:cs="Georgia"/>
            <w:b/>
            <w:bCs/>
            <w:color w:val="0563C1"/>
            <w:sz w:val="24"/>
            <w:szCs w:val="24"/>
            <w:u w:val="single"/>
          </w:rPr>
          <w:t>John 2:1–11</w:t>
        </w:r>
      </w:hyperlink>
      <w:r>
        <w:rPr>
          <w:rFonts w:eastAsia="Georgia" w:cs="Georgia"/>
          <w:sz w:val="24"/>
          <w:szCs w:val="24"/>
        </w:rPr>
        <w:t>). The wine had all the chemical markers of having gone through a long natural process of fermentation and aging—yet it was created instantaneously by divine power. Just as we can only know the true age of the Cana wine from the testimony of Scripture (not from chemical analysis), we can only know the true age of the cosmos from Genesis. This is essentially a more theologically grounded version of the Omphalos argument.</w:t>
      </w:r>
    </w:p>
    <w:p>
      <w:pPr>
        <w:pStyle w:val="Normal"/>
        <w:bidi w:val="0"/>
        <w:spacing w:lineRule="exact" w:line="276" w:before="0" w:after="200"/>
        <w:jc w:val="start"/>
        <w:rPr/>
      </w:pPr>
      <w:r>
        <w:rPr>
          <w:rFonts w:eastAsia="Georgia" w:cs="Georgia"/>
          <w:sz w:val="24"/>
          <w:szCs w:val="24"/>
        </w:rPr>
        <w:t xml:space="preserve">These are real arguments, held by serious Catholics, grounded in genuine sources. They deserve honest engagement rather than dismissal—and they will receive it in the next chapter. The case for a young earth is stronger than many old-earth advocates acknowledge. The reader should sit with these arguments before moving on, because the framework we propose in the rest of this document takes the young earth position seriously precisely because it </w:t>
      </w:r>
      <w:r>
        <w:rPr>
          <w:rFonts w:eastAsia="Georgia" w:cs="Georgia"/>
          <w:i/>
          <w:iCs/>
          <w:sz w:val="24"/>
          <w:szCs w:val="24"/>
        </w:rPr>
        <w:t>is</w:t>
      </w:r>
      <w:r>
        <w:rPr>
          <w:rFonts w:eastAsia="Georgia" w:cs="Georgia"/>
          <w:sz w:val="24"/>
          <w:szCs w:val="24"/>
        </w:rPr>
        <w:t xml:space="preserve"> serious.</w:t>
      </w:r>
    </w:p>
    <w:p>
      <w:pPr>
        <w:pStyle w:val="Normal"/>
        <w:bidi w:val="0"/>
        <w:jc w:val="start"/>
        <w:rPr/>
      </w:pPr>
      <w:r>
        <w:rPr/>
      </w:r>
      <w:r>
        <w:br w:type="page"/>
      </w:r>
    </w:p>
    <w:p>
      <w:pPr>
        <w:pStyle w:val="Heading1"/>
        <w:bidi w:val="0"/>
        <w:spacing w:before="0" w:after="200"/>
        <w:jc w:val="start"/>
        <w:rPr/>
      </w:pPr>
      <w:r>
        <w:rPr/>
        <w:t>Chapter 3: The Crux—Why This Document Parts Ways with the Young Earth Position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previous chapter tried to state the case for a young earth at its strongest. This chapter explains why, despite those arguments, we believe the young earth position faces difficulties it cannot fully resolve—not only because of the scientific evidence (though it is substantial), but because of a tension with dogmatic Catholic teaching that has not yet received adequate attention from either side.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But first, an essential clarification.</w:t>
      </w:r>
    </w:p>
    <w:p>
      <w:pPr>
        <w:pStyle w:val="Heading2"/>
        <w:bidi w:val="0"/>
        <w:spacing w:before="280" w:after="160"/>
        <w:jc w:val="start"/>
        <w:rPr/>
      </w:pPr>
      <w:r>
        <w:rPr/>
        <w:t>Can a Catholic Hold a Young Earth Position?</w:t>
      </w:r>
    </w:p>
    <w:p>
      <w:pPr>
        <w:pStyle w:val="Normal"/>
        <w:bidi w:val="0"/>
        <w:spacing w:lineRule="exact" w:line="276" w:before="0" w:after="200"/>
        <w:jc w:val="start"/>
        <w:rPr/>
      </w:pPr>
      <w:r>
        <w:rPr>
          <w:rFonts w:eastAsia="Georgia" w:cs="Georgia"/>
          <w:b/>
          <w:bCs/>
          <w:sz w:val="24"/>
          <w:szCs w:val="24"/>
        </w:rPr>
        <w:t>Yes.</w:t>
      </w:r>
      <w:r>
        <w:rPr>
          <w:rFonts w:eastAsia="Georgia" w:cs="Georgia"/>
          <w:sz w:val="24"/>
          <w:szCs w:val="24"/>
        </w:rPr>
        <w:t xml:space="preserve"> The Catholic Church does not require belief in an old earth, and a Catholic who holds a young earth position is not in heresy. This must be stated clearly, because intellectual honesty demands it. The question of the earth’s age is not defined by any ecumenical council, papal encyclical, or ex cathedra statement. Ludwig Ott’s </w:t>
      </w:r>
      <w:r>
        <w:rPr>
          <w:rFonts w:eastAsia="Georgia" w:cs="Georgia"/>
          <w:i/>
          <w:iCs/>
          <w:sz w:val="24"/>
          <w:szCs w:val="24"/>
        </w:rPr>
        <w:t>Fundamentals of Catholic Dogma</w:t>
      </w:r>
      <w:r>
        <w:rPr>
          <w:rFonts w:eastAsia="Georgia" w:cs="Georgia"/>
          <w:sz w:val="24"/>
          <w:szCs w:val="24"/>
        </w:rPr>
        <w:t xml:space="preserve"> does not list the earth’s age among the </w:t>
      </w:r>
      <w:r>
        <w:rPr>
          <w:rFonts w:eastAsia="Georgia" w:cs="Georgia"/>
          <w:i/>
          <w:iCs/>
          <w:sz w:val="24"/>
          <w:szCs w:val="24"/>
        </w:rPr>
        <w:t>de fide</w:t>
      </w:r>
      <w:r>
        <w:rPr>
          <w:rFonts w:eastAsia="Georgia" w:cs="Georgia"/>
          <w:sz w:val="24"/>
          <w:szCs w:val="24"/>
        </w:rPr>
        <w:t xml:space="preserve"> (divinely revealed) teachings of the Church. The Pontifical Biblical Commission (1909) explicitly ruled that the word </w:t>
      </w:r>
      <w:r>
        <w:rPr>
          <w:rFonts w:eastAsia="Georgia" w:cs="Georgia"/>
          <w:i/>
          <w:iCs/>
          <w:sz w:val="24"/>
          <w:szCs w:val="24"/>
        </w:rPr>
        <w:t>yom</w:t>
      </w:r>
      <w:r>
        <w:rPr>
          <w:rFonts w:eastAsia="Georgia" w:cs="Georgia"/>
          <w:sz w:val="24"/>
          <w:szCs w:val="24"/>
        </w:rPr>
        <w:t xml:space="preserve"> in Genesis may be understood either as a literal day or as “a certain space of time”—and that this question “may be the subject of free discussion among exegetes.”</w:t>
      </w:r>
      <w:r>
        <w:rPr>
          <w:rStyle w:val="FootnoteReference"/>
        </w:rPr>
        <w:footnoteReference w:id="6"/>
      </w:r>
      <w:r>
        <w:rPr>
          <w:rFonts w:eastAsia="Georgia" w:cs="Georgia"/>
          <w:sz w:val="24"/>
          <w:szCs w:val="24"/>
        </w:rPr>
        <w:t xml:space="preserve"> Catholic Answers, the most prominent Catholic apologetics organization, states plainly: “The Catholic Church does not have a teaching about the theory of evolution or the extinction of the dinosaurs. You can be a faithful Catholic and deny or accept evolution.”</w:t>
      </w:r>
      <w:r>
        <w:rPr>
          <w:rStyle w:val="FootnoteReference"/>
        </w:rPr>
        <w:footnoteReference w:id="7"/>
      </w:r>
    </w:p>
    <w:p>
      <w:pPr>
        <w:pStyle w:val="Normal"/>
        <w:bidi w:val="0"/>
        <w:spacing w:lineRule="exact" w:line="276" w:before="0" w:after="200"/>
        <w:jc w:val="start"/>
        <w:rPr/>
      </w:pPr>
      <w:r>
        <w:rPr>
          <w:rFonts w:eastAsia="Georgia" w:cs="Georgia"/>
          <w:sz w:val="24"/>
          <w:szCs w:val="24"/>
        </w:rPr>
        <w:t xml:space="preserve">What the Church </w:t>
      </w:r>
      <w:r>
        <w:rPr>
          <w:rFonts w:eastAsia="Georgia" w:cs="Georgia"/>
          <w:i/>
          <w:iCs/>
          <w:sz w:val="24"/>
          <w:szCs w:val="24"/>
        </w:rPr>
        <w:t>does</w:t>
      </w:r>
      <w:r>
        <w:rPr>
          <w:rFonts w:eastAsia="Georgia" w:cs="Georgia"/>
          <w:sz w:val="24"/>
          <w:szCs w:val="24"/>
        </w:rPr>
        <w:t xml:space="preserve"> require is that certain theological truths be upheld regardless of one’s position on the earth’s age: that God is Creator, that Adam and Eve were real individuals, that all humans descend from them, that original sin is transmitted through generation, and that every human soul is directly created by God. A young earth Catholic who affirms all of these is fully within the bounds of Catholic orthodoxy.</w:t>
      </w:r>
    </w:p>
    <w:p>
      <w:pPr>
        <w:pStyle w:val="Normal"/>
        <w:bidi w:val="0"/>
        <w:spacing w:lineRule="exact" w:line="276" w:before="0" w:after="200"/>
        <w:jc w:val="start"/>
        <w:rPr/>
      </w:pPr>
      <w:r>
        <w:rPr>
          <w:rFonts w:eastAsia="Georgia" w:cs="Georgia"/>
          <w:sz w:val="24"/>
          <w:szCs w:val="24"/>
        </w:rPr>
        <w:t xml:space="preserve">Our argument is not that the young earth position is heretical. It is that it is </w:t>
      </w:r>
      <w:r>
        <w:rPr>
          <w:rFonts w:eastAsia="Georgia" w:cs="Georgia"/>
          <w:i/>
          <w:iCs/>
          <w:sz w:val="24"/>
          <w:szCs w:val="24"/>
        </w:rPr>
        <w:t>untenable</w:t>
      </w:r>
      <w:r>
        <w:rPr>
          <w:rFonts w:eastAsia="Georgia" w:cs="Georgia"/>
          <w:sz w:val="24"/>
          <w:szCs w:val="24"/>
        </w:rPr>
        <w:t>—that it requires accepting consequences that stand in tension with other things the Church teaches, and that the weight of evidence—both scientific and theological—points in the other direction. The distinction between “permitted” and “prudent” matters here. A position can be theologically permissible and still be one that the evidence counsels against holding.</w:t>
      </w:r>
    </w:p>
    <w:p>
      <w:pPr>
        <w:pStyle w:val="Heading2"/>
        <w:bidi w:val="0"/>
        <w:spacing w:before="280" w:after="160"/>
        <w:jc w:val="start"/>
        <w:rPr/>
      </w:pPr>
      <w:r>
        <w:rPr/>
        <w:t>The Scientific Evidence for Deep Time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Before turning to the theological argument, it is worth noting that the scientific evidence for deep time extends far beyond starlight and radiometric dating. Multiple independent lines of evidence converge, each using different physical processes, and their agreement is what gives the case its cumulative force.</w:t>
      </w:r>
    </w:p>
    <w:p>
      <w:pPr>
        <w:pStyle w:val="Normal"/>
        <w:bidi w:val="0"/>
        <w:spacing w:lineRule="exact" w:line="276" w:before="0" w:after="200"/>
        <w:jc w:val="start"/>
        <w:rPr/>
      </w:pPr>
      <w:r>
        <w:rPr>
          <w:rFonts w:eastAsia="Georgia" w:cs="Georgia"/>
          <w:sz w:val="24"/>
          <w:szCs w:val="24"/>
        </w:rPr>
        <w:t>Ice cores drilled in Greenland and Antarctica contain annual layers—visible as alternating light and dark bands caused by seasonal variation in snowfall, dust content, and chemistry. The EPICA core from Antarctica contains over 800,000 annual layers.</w:t>
      </w:r>
      <w:r>
        <w:rPr>
          <w:rStyle w:val="FootnoteReference"/>
        </w:rPr>
        <w:footnoteReference w:id="8"/>
      </w:r>
      <w:r>
        <w:rPr>
          <w:rFonts w:eastAsia="Georgia" w:cs="Georgia"/>
          <w:sz w:val="24"/>
          <w:szCs w:val="24"/>
        </w:rPr>
        <w:t xml:space="preserve"> Each layer can be independently verified by volcanic ash markers, atmospheric gas ratios, and isotopic signatures. Eight hundred thousand layers means 800,000 years—minimum.</w:t>
      </w:r>
    </w:p>
    <w:p>
      <w:pPr>
        <w:pStyle w:val="Normal"/>
        <w:bidi w:val="0"/>
        <w:spacing w:lineRule="exact" w:line="276" w:before="0" w:after="200"/>
        <w:jc w:val="start"/>
        <w:rPr/>
      </w:pPr>
      <w:r>
        <w:rPr>
          <w:rFonts w:eastAsia="Georgia" w:cs="Georgia"/>
          <w:sz w:val="24"/>
          <w:szCs w:val="24"/>
        </w:rPr>
        <w:t>Dendrochronology—tree ring dating—provides another independent clock. Living trees produce one ring per year. By overlapping the ring patterns of living trees with those of dead trees, researchers have constructed continuous tree ring chronologies extending over 12,000 years. The bristlecone pines of California’s White Mountains include individual specimens over 4,800 years old. The German oak-pine chronology extends back 12,460 years.</w:t>
      </w:r>
      <w:r>
        <w:rPr>
          <w:rStyle w:val="FootnoteReference"/>
        </w:rPr>
        <w:footnoteReference w:id="9"/>
      </w:r>
      <w:r>
        <w:rPr>
          <w:rFonts w:eastAsia="Georgia" w:cs="Georgia"/>
          <w:sz w:val="24"/>
          <w:szCs w:val="24"/>
        </w:rPr>
        <w:t xml:space="preserve"> These are not estimates or models—they are counted, one ring at a time.</w:t>
      </w:r>
    </w:p>
    <w:p>
      <w:pPr>
        <w:pStyle w:val="Normal"/>
        <w:bidi w:val="0"/>
        <w:spacing w:lineRule="exact" w:line="276" w:before="0" w:after="200"/>
        <w:jc w:val="start"/>
        <w:rPr/>
      </w:pPr>
      <w:r>
        <w:rPr>
          <w:rFonts w:eastAsia="Georgia" w:cs="Georgia"/>
          <w:sz w:val="24"/>
          <w:szCs w:val="24"/>
        </w:rPr>
        <w:t>Coral reefs present a similar challenge. The Great Barrier Reef has been growing for approximately 500,000 years. Coral growth rates are measurable in the present: typically a few millimeters to a few centimeters per year. The Eniwetok Atoll in the Pacific has reef limestone over 1,400 meters thick,</w:t>
      </w:r>
      <w:r>
        <w:rPr>
          <w:rStyle w:val="FootnoteReference"/>
        </w:rPr>
        <w:footnoteReference w:id="10"/>
      </w:r>
      <w:r>
        <w:rPr>
          <w:rFonts w:eastAsia="Georgia" w:cs="Georgia"/>
          <w:sz w:val="24"/>
          <w:szCs w:val="24"/>
        </w:rPr>
        <w:t xml:space="preserve"> requiring hundreds of thousands of years of growth at observed rates. A young earth requires that either coral grew hundreds of times faster in the past—contradicting observable biology—or that God created reefs with the appearance of ancient growth, returning us once again to Gosse’s Omphalos hypothesis and the theological difficulty it creates, which we address below.</w:t>
      </w:r>
    </w:p>
    <w:p>
      <w:pPr>
        <w:pStyle w:val="Normal"/>
        <w:bidi w:val="0"/>
        <w:spacing w:lineRule="exact" w:line="276" w:before="0" w:after="200"/>
        <w:jc w:val="start"/>
        <w:rPr/>
      </w:pPr>
      <w:r>
        <w:rPr>
          <w:rFonts w:eastAsia="Georgia" w:cs="Georgia"/>
          <w:sz w:val="24"/>
          <w:szCs w:val="24"/>
        </w:rPr>
        <w:t>Continental drift provides evidence on an even grander scale. The Mid-Atlantic Ridge is spreading at approximately 2.5 centimeters per year—measurable today by GPS. The Atlantic Ocean is approximately 5,000 kilometers wide. At current rates, this requires roughly 200 million years. The magnetic striping of the ocean floor, recorded in volcanic rock as it cools, preserves a precise record of the earth’s magnetic field reversals stretching back hundreds of millions of years.</w:t>
      </w:r>
      <w:r>
        <w:rPr>
          <w:rStyle w:val="FootnoteReference"/>
        </w:rPr>
        <w:footnoteReference w:id="11"/>
      </w:r>
      <w:r>
        <w:rPr>
          <w:rFonts w:eastAsia="Georgia" w:cs="Georgia"/>
          <w:sz w:val="24"/>
          <w:szCs w:val="24"/>
        </w:rPr>
        <w:t xml:space="preserve"> This striping incidentally refutes the Barnes magnetic decay argument, since the field does not simply decay but oscillates and reverses cyclically—a pattern documented in ocean floor basalts worldwide.</w:t>
      </w:r>
    </w:p>
    <w:p>
      <w:pPr>
        <w:pStyle w:val="Normal"/>
        <w:bidi w:val="0"/>
        <w:spacing w:lineRule="exact" w:line="276" w:before="0" w:after="200"/>
        <w:jc w:val="start"/>
        <w:rPr/>
      </w:pPr>
      <w:r>
        <w:rPr>
          <w:rFonts w:eastAsia="Georgia" w:cs="Georgia"/>
          <w:sz w:val="24"/>
          <w:szCs w:val="24"/>
        </w:rPr>
        <w:t>The RATE project’s findings, while impressive in their ambition, have been extensively critiqued by mainstream geologists and physicists.</w:t>
      </w:r>
      <w:r>
        <w:rPr>
          <w:rStyle w:val="FootnoteReference"/>
        </w:rPr>
        <w:footnoteReference w:id="12"/>
      </w:r>
      <w:r>
        <w:rPr>
          <w:rFonts w:eastAsia="Georgia" w:cs="Georgia"/>
          <w:sz w:val="24"/>
          <w:szCs w:val="24"/>
        </w:rPr>
        <w:t xml:space="preserve"> The carbon-14 in coal and diamonds is most plausibly explained by in-situ production from nitrogen-14 through neutron bombardment from surrounding uranium and thorium decay—a known and measured process. The helium retention findings have been challenged on methodological grounds by multiple independent researchers.</w:t>
      </w:r>
      <w:r>
        <w:rPr>
          <w:rStyle w:val="FootnoteReference"/>
        </w:rPr>
        <w:footnoteReference w:id="13"/>
      </w:r>
      <w:r>
        <w:rPr>
          <w:rFonts w:eastAsia="Georgia" w:cs="Georgia"/>
          <w:sz w:val="24"/>
          <w:szCs w:val="24"/>
        </w:rPr>
        <w:t xml:space="preserve"> Most critically, the RATE team themselves acknowledged that if billions of years of radioactive decay occurred in a young earth, the heat generated would have melted the earth’s crust multiple times over—a problem they could not resolve and described as requiring “miracles.”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polystrate fossil argument, while initially striking, is well understood in geology. Rapid local deposition events—such as volcanic mudflows, turbidity currents, and flood deposits—can bury objects quickly while the broader geological column still represents vast time. The 1980 eruption of Mount St. Helens deposited dozens of distinct layers in hours, demonstrating that individual strata can form rapidly within a long-age framework. The existence of rapid local deposition is not evidence that all strata were deposited rapidly.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What makes the case for deep time compelling is not any single line of evidence but the convergence of all of them. Ice cores, tree rings, coral growth, radiometric dating (using multiple independent isotope systems), continental drift, ocean floor magnetic striping, amino acid racemization (measuring the slow chemical conversion of amino acids in fossils from one form to its mirror image), luminescence dating (measuring light energy trapped in mineral crystals since they were last exposed to heat or sunlight), and cosmological observation all independently point to the same timescales. For all of these to be wrong, they would all have to be wrong in exactly the same way, by exactly the same amount—a convergence difficult to explain without accepting that the earth is old.</w:t>
      </w:r>
    </w:p>
    <w:p>
      <w:pPr>
        <w:pStyle w:val="Heading2"/>
        <w:bidi w:val="0"/>
        <w:spacing w:before="280" w:after="160"/>
        <w:jc w:val="start"/>
        <w:rPr/>
      </w:pPr>
      <w:r>
        <w:rPr/>
        <w:t>The Theological Difficulty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Omphalos hypothesis is philosophically consistent, but it raises a serious theological problem—and this is where we believe it falters. The difficulty is not simply that it makes God a deceiver (a charge its defenders rightly resist). The deeper issue is that it stands in tension with the dogmatic teaching of an ecumenical council and with the very foundation by which Catholic theology says we can know that God exists.</w:t>
      </w:r>
    </w:p>
    <w:p>
      <w:pPr>
        <w:pStyle w:val="Normal"/>
        <w:bidi w:val="0"/>
        <w:spacing w:lineRule="exact" w:line="276" w:before="0" w:after="200"/>
        <w:jc w:val="start"/>
        <w:rPr/>
      </w:pPr>
      <w:r>
        <w:rPr>
          <w:rFonts w:eastAsia="Georgia" w:cs="Georgia"/>
          <w:sz w:val="24"/>
          <w:szCs w:val="24"/>
        </w:rPr>
        <w:t xml:space="preserve">Thomas Aquinas, in the </w:t>
      </w:r>
      <w:r>
        <w:fldChar w:fldCharType="begin"/>
      </w:r>
      <w:r>
        <w:rPr>
          <w:rStyle w:val="ListLabel10"/>
          <w:sz w:val="24"/>
          <w:i/>
          <w:u w:val="single"/>
          <w:szCs w:val="24"/>
          <w:iCs/>
          <w:rFonts w:eastAsia="Georgia" w:cs="Georgia"/>
          <w:color w:val="0563C1"/>
        </w:rPr>
        <w:instrText xml:space="preserve"> HYPERLINK "https://www.newadvent.org/summa/1002.htm" \l "article3"</w:instrText>
      </w:r>
      <w:r>
        <w:rPr>
          <w:rStyle w:val="ListLabel10"/>
          <w:sz w:val="24"/>
          <w:i/>
          <w:u w:val="single"/>
          <w:szCs w:val="24"/>
          <w:iCs/>
          <w:rFonts w:eastAsia="Georgia" w:cs="Georgia"/>
          <w:color w:val="0563C1"/>
        </w:rPr>
        <w:fldChar w:fldCharType="separate"/>
      </w:r>
      <w:r>
        <w:rPr>
          <w:rStyle w:val="ListLabel10"/>
          <w:rFonts w:eastAsia="Georgia" w:cs="Georgia"/>
          <w:i/>
          <w:iCs/>
          <w:color w:val="0563C1"/>
          <w:sz w:val="24"/>
          <w:szCs w:val="24"/>
          <w:u w:val="single"/>
        </w:rPr>
        <w:t>Summa Theologica</w:t>
      </w:r>
      <w:r>
        <w:rPr>
          <w:rStyle w:val="ListLabel10"/>
          <w:sz w:val="24"/>
          <w:i/>
          <w:u w:val="single"/>
          <w:szCs w:val="24"/>
          <w:iCs/>
          <w:rFonts w:eastAsia="Georgia" w:cs="Georgia"/>
          <w:color w:val="0563C1"/>
        </w:rPr>
        <w:fldChar w:fldCharType="end"/>
      </w:r>
      <w:r>
        <w:rPr>
          <w:rFonts w:eastAsia="Georgia" w:cs="Georgia"/>
          <w:sz w:val="24"/>
          <w:szCs w:val="24"/>
        </w:rPr>
        <w:t xml:space="preserve"> (Prima Pars, Question 2, Article 3), presented five demonstrations of God’s existence—the famous Five Ways.</w:t>
      </w:r>
      <w:r>
        <w:rPr>
          <w:rStyle w:val="FootnoteReference"/>
        </w:rPr>
        <w:footnoteReference w:id="14"/>
      </w:r>
      <w:r>
        <w:rPr>
          <w:rFonts w:eastAsia="Georgia" w:cs="Georgia"/>
          <w:sz w:val="24"/>
          <w:szCs w:val="24"/>
        </w:rPr>
        <w:t xml:space="preserve"> All five proceed </w:t>
      </w:r>
      <w:r>
        <w:rPr>
          <w:rFonts w:eastAsia="Georgia" w:cs="Georgia"/>
          <w:i/>
          <w:iCs/>
          <w:sz w:val="24"/>
          <w:szCs w:val="24"/>
        </w:rPr>
        <w:t>a posteriori</w:t>
      </w:r>
      <w:r>
        <w:rPr>
          <w:rFonts w:eastAsia="Georgia" w:cs="Georgia"/>
          <w:sz w:val="24"/>
          <w:szCs w:val="24"/>
        </w:rPr>
        <w:t xml:space="preserve">: from observations of the created world to the existence of God as their necessary explanation. The First Way reasons from motion in the world to an Unmoved Mover. The Second Way reasons from chains of efficient causes to a First Cause. The Third Way reasons from contingent beings to a Necessary Being. The Fourth Way reasons from degrees of perfection in things to a source of all perfection. The Fifth Way reasons from the purposeful order of natural things to an Intelligent Governor of the universe. Every one of these arguments depends on the created world being </w:t>
      </w:r>
      <w:r>
        <w:rPr>
          <w:rFonts w:eastAsia="Georgia" w:cs="Georgia"/>
          <w:i/>
          <w:iCs/>
          <w:sz w:val="24"/>
          <w:szCs w:val="24"/>
        </w:rPr>
        <w:t>real evidence</w:t>
      </w:r>
      <w:r>
        <w:rPr>
          <w:rFonts w:eastAsia="Georgia" w:cs="Georgia"/>
          <w:sz w:val="24"/>
          <w:szCs w:val="24"/>
        </w:rPr>
        <w:t>—on the motions, causes, contingencies, perfections, and purposes we observe in creation being genuine features of reality, not fabrications.</w:t>
      </w:r>
    </w:p>
    <w:p>
      <w:pPr>
        <w:pStyle w:val="Normal"/>
        <w:bidi w:val="0"/>
        <w:spacing w:lineRule="exact" w:line="276" w:before="0" w:after="200"/>
        <w:jc w:val="start"/>
        <w:rPr/>
      </w:pPr>
      <w:r>
        <w:rPr>
          <w:rFonts w:eastAsia="Georgia" w:cs="Georgia"/>
          <w:sz w:val="24"/>
          <w:szCs w:val="24"/>
        </w:rPr>
        <w:t xml:space="preserve">The First Vatican Council (1870), in its dogmatic constitution </w:t>
      </w:r>
      <w:hyperlink r:id="rId9">
        <w:r>
          <w:rPr>
            <w:rStyle w:val="ListLabel10"/>
            <w:rFonts w:eastAsia="Georgia" w:cs="Georgia"/>
            <w:i/>
            <w:iCs/>
            <w:color w:val="0563C1"/>
            <w:sz w:val="24"/>
            <w:szCs w:val="24"/>
            <w:u w:val="single"/>
          </w:rPr>
          <w:t>Dei Filius</w:t>
        </w:r>
      </w:hyperlink>
      <w:r>
        <w:rPr>
          <w:rFonts w:eastAsia="Georgia" w:cs="Georgia"/>
          <w:sz w:val="24"/>
          <w:szCs w:val="24"/>
        </w:rPr>
        <w:t>, elevated this principle to the level of dogma.</w:t>
      </w:r>
      <w:r>
        <w:rPr>
          <w:rStyle w:val="FootnoteReference"/>
        </w:rPr>
        <w:footnoteReference w:id="15"/>
      </w:r>
      <w:r>
        <w:rPr>
          <w:rStyle w:val="FootnoteReference"/>
        </w:rPr>
        <w:footnoteReference w:id="16"/>
      </w:r>
      <w:r>
        <w:rPr>
          <w:rFonts w:eastAsia="Georgia" w:cs="Georgia"/>
          <w:sz w:val="24"/>
          <w:szCs w:val="24"/>
        </w:rPr>
        <w:t xml:space="preserve"> The Council taught: “The same Holy Mother Church holds and teaches that God, the beginning and end of all things, can be known with certainty by the natural light of human reason from created things.” The Council then issued its teaching under anathema—the strongest language available to an ecumenical council, meaning that the condemned position is formally incompatible with Catholic faith. In the early Church, anathema meant complete excommunication; by the time of the great councils, it functioned as a declaration that the rejected view constitutes heresy, and that a Catholic who knowingly and obstinately holds it has placed himself outside the faith on that point. It does not mean automatic damnation—that judgment belongs to God alone—but it means the Church has drawn a line and will not move it. The canon reads: “If anyone says that the one, true God, our creator and lord, cannot be known with certainty from the things that have been made, by the natural light of human reason: let him be anathema.” The Catechism of the Catholic Church repeats this at §36: God “can be known with certainty from the created world by the natural light of human reason.” And the Council cited </w:t>
      </w:r>
      <w:hyperlink r:id="rId10">
        <w:r>
          <w:rPr>
            <w:rStyle w:val="ListLabel11"/>
            <w:rFonts w:eastAsia="Georgia" w:cs="Georgia"/>
            <w:b/>
            <w:bCs/>
            <w:color w:val="0563C1"/>
            <w:sz w:val="24"/>
            <w:szCs w:val="24"/>
            <w:u w:val="single"/>
          </w:rPr>
          <w:t>Romans 1:20</w:t>
        </w:r>
      </w:hyperlink>
      <w:r>
        <w:rPr>
          <w:rFonts w:eastAsia="Georgia" w:cs="Georgia"/>
          <w:sz w:val="24"/>
          <w:szCs w:val="24"/>
        </w:rPr>
        <w:t>: “For the invisible things of him, from the creation of the world, are clearly seen, being understood by the things that are made.”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Now consider what the Omphalos hypothesis requires. If God created the universe six thousand years ago with the appearance of billions of years of history, then God embedded in creation an elaborate record of events that never happened. The light arriving tonight from the Andromeda galaxy—light that appears to have traveled 2.5 million years—was created already in transit, carrying information about a galaxy that never went through the processes that information describes. The fossils in the rocks record the deaths of creatures that never lived. The radioactive decay products in minerals record billions of years of atomic processes that never occurred. The cosmic microwave background radiation describes a Big Bang that never happened.</w:t>
      </w:r>
    </w:p>
    <w:p>
      <w:pPr>
        <w:pStyle w:val="Normal"/>
        <w:bidi w:val="0"/>
        <w:spacing w:lineRule="exact" w:line="276" w:before="0" w:after="200"/>
        <w:jc w:val="start"/>
        <w:rPr/>
      </w:pPr>
      <w:r>
        <w:rPr>
          <w:rFonts w:eastAsia="Georgia" w:cs="Georgia"/>
          <w:sz w:val="24"/>
          <w:szCs w:val="24"/>
        </w:rPr>
        <w:t xml:space="preserve">This does not merely mean that God created a world that </w:t>
      </w:r>
      <w:r>
        <w:rPr>
          <w:rFonts w:eastAsia="Georgia" w:cs="Georgia"/>
          <w:i/>
          <w:iCs/>
          <w:sz w:val="24"/>
          <w:szCs w:val="24"/>
        </w:rPr>
        <w:t>looks</w:t>
      </w:r>
      <w:r>
        <w:rPr>
          <w:rFonts w:eastAsia="Georgia" w:cs="Georgia"/>
          <w:sz w:val="24"/>
          <w:szCs w:val="24"/>
        </w:rPr>
        <w:t xml:space="preserve"> old. It means God created a world that </w:t>
      </w:r>
      <w:r>
        <w:rPr>
          <w:rFonts w:eastAsia="Georgia" w:cs="Georgia"/>
          <w:i/>
          <w:iCs/>
          <w:sz w:val="24"/>
          <w:szCs w:val="24"/>
        </w:rPr>
        <w:t>testifies falsely</w:t>
      </w:r>
      <w:r>
        <w:rPr>
          <w:rFonts w:eastAsia="Georgia" w:cs="Georgia"/>
          <w:sz w:val="24"/>
          <w:szCs w:val="24"/>
        </w:rPr>
        <w:t>. Every photon of starlight, every fossil, every isotope ratio, every ice core layer, every tree ring sequence, every coral growth band, every supernova remnant would be recording a history that did not actually occur—evidence embedded in creation that points to events God did not allow to happen.</w:t>
      </w:r>
    </w:p>
    <w:p>
      <w:pPr>
        <w:pStyle w:val="Normal"/>
        <w:bidi w:val="0"/>
        <w:spacing w:lineRule="exact" w:line="276" w:before="0" w:after="200"/>
        <w:jc w:val="start"/>
        <w:rPr/>
      </w:pPr>
      <w:r>
        <w:rPr>
          <w:rFonts w:eastAsia="Georgia" w:cs="Georgia"/>
          <w:sz w:val="24"/>
          <w:szCs w:val="24"/>
        </w:rPr>
        <w:t xml:space="preserve">But if creation testifies falsely, then creation cannot be relied upon as evidence for God’s existence—and yet Vatican I defined </w:t>
      </w:r>
      <w:r>
        <w:rPr>
          <w:rFonts w:eastAsia="Georgia" w:cs="Georgia"/>
          <w:i/>
          <w:iCs/>
          <w:sz w:val="24"/>
          <w:szCs w:val="24"/>
        </w:rPr>
        <w:t>under anathema</w:t>
      </w:r>
      <w:r>
        <w:rPr>
          <w:rFonts w:eastAsia="Georgia" w:cs="Georgia"/>
          <w:sz w:val="24"/>
          <w:szCs w:val="24"/>
        </w:rPr>
        <w:t xml:space="preserve"> that God </w:t>
      </w:r>
      <w:r>
        <w:rPr>
          <w:rFonts w:eastAsia="Georgia" w:cs="Georgia"/>
          <w:i/>
          <w:iCs/>
          <w:sz w:val="24"/>
          <w:szCs w:val="24"/>
        </w:rPr>
        <w:t>can</w:t>
      </w:r>
      <w:r>
        <w:rPr>
          <w:rFonts w:eastAsia="Georgia" w:cs="Georgia"/>
          <w:sz w:val="24"/>
          <w:szCs w:val="24"/>
        </w:rPr>
        <w:t xml:space="preserve"> be known with certainty from created things. If the starlight does not reflect real history, Aquinas’s First Way is weakened: the motions we observe in the cosmos did not really happen as observed, so it becomes harder to reason from them to an Unmoved Mover. If the fossils do not record real events, the Fifth Way is weakened: the purposeful order we see in the development of life was not a genuine feature of creation, so reasoning from it to an Intelligent Governor becomes uncertain. If the isotope ratios do not reflect real processes, the Second Way is weakened: the causal chains we trace through geological history are not reliable, so reasoning from them to a First Cause becomes problematic.</w:t>
      </w:r>
    </w:p>
    <w:p>
      <w:pPr>
        <w:pStyle w:val="Normal"/>
        <w:bidi w:val="0"/>
        <w:spacing w:lineRule="exact" w:line="276" w:before="0" w:after="200"/>
        <w:jc w:val="start"/>
        <w:rPr/>
      </w:pPr>
      <w:r>
        <w:rPr>
          <w:rFonts w:eastAsia="Georgia" w:cs="Georgia"/>
          <w:sz w:val="24"/>
          <w:szCs w:val="24"/>
        </w:rPr>
        <w:t xml:space="preserve">Furthermore, </w:t>
      </w:r>
      <w:hyperlink r:id="rId11">
        <w:r>
          <w:rPr>
            <w:rStyle w:val="ListLabel10"/>
            <w:rFonts w:eastAsia="Georgia" w:cs="Georgia"/>
            <w:i/>
            <w:iCs/>
            <w:color w:val="0563C1"/>
            <w:sz w:val="24"/>
            <w:szCs w:val="24"/>
            <w:u w:val="single"/>
          </w:rPr>
          <w:t>Dei Filius</w:t>
        </w:r>
      </w:hyperlink>
      <w:r>
        <w:rPr>
          <w:rFonts w:eastAsia="Georgia" w:cs="Georgia"/>
          <w:sz w:val="24"/>
          <w:szCs w:val="24"/>
        </w:rPr>
        <w:t xml:space="preserve"> Chapter 4 teaches: “Since the same God who reveals mysteries and infuses faith has bestowed the light of reason on the human mind, God cannot deny himself, nor can truth ever contradict truth.” If creation and revelation are both from the same God, and God cannot contradict Himself, then the evidence of creation and the truth of revelation must be compatible. A creation that bears false witness about its own history contradicts truth—and thereby contradicts God Himself.</w:t>
      </w:r>
    </w:p>
    <w:p>
      <w:pPr>
        <w:pStyle w:val="Normal"/>
        <w:bidi w:val="0"/>
        <w:spacing w:lineRule="exact" w:line="276" w:before="0" w:after="200"/>
        <w:jc w:val="start"/>
        <w:rPr/>
      </w:pPr>
      <w:r>
        <w:rPr>
          <w:rFonts w:eastAsia="Georgia" w:cs="Georgia"/>
          <w:sz w:val="24"/>
          <w:szCs w:val="24"/>
        </w:rPr>
        <w:t xml:space="preserve">The Omphalos hypothesis, then, raises a difficulty that goes beyond the question of divine deception. If taken to its logical conclusion, it stands in tension with the very foundation by which Catholic dogma says we can know that God exists. It sits uneasily with an anathematized canon of an ecumenical council. It weakens the evidentiary basis of the Five Ways. And it risks pitting creation against revelation in precisely the way </w:t>
      </w:r>
      <w:hyperlink r:id="rId12">
        <w:r>
          <w:rPr>
            <w:rStyle w:val="ListLabel10"/>
            <w:rFonts w:eastAsia="Georgia" w:cs="Georgia"/>
            <w:i/>
            <w:iCs/>
            <w:color w:val="0563C1"/>
            <w:sz w:val="24"/>
            <w:szCs w:val="24"/>
            <w:u w:val="single"/>
          </w:rPr>
          <w:t>Dei Filius</w:t>
        </w:r>
      </w:hyperlink>
      <w:r>
        <w:rPr>
          <w:rFonts w:eastAsia="Georgia" w:cs="Georgia"/>
          <w:sz w:val="24"/>
          <w:szCs w:val="24"/>
        </w:rPr>
        <w:t xml:space="preserve"> says is impossible. This is not a minor theological difficulty. It is a serious internal tension that any Catholic holding this position would need to resolve.</w:t>
      </w:r>
    </w:p>
    <w:p>
      <w:pPr>
        <w:pStyle w:val="Heading2"/>
        <w:bidi w:val="0"/>
        <w:spacing w:before="280" w:after="160"/>
        <w:jc w:val="start"/>
        <w:rPr/>
      </w:pPr>
      <w:r>
        <w:rPr/>
        <w:t>The Starlight Problem—and Its Beautiful Inversion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starlight problem is the most vivid illustration of why the appearance-of-age argument fails—but it is also, when taken seriously, one of the most beautiful arguments for the grandeur of God’s creative plan.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When we look at the night sky, we are looking into the past. Light from the nearest star beyond our sun, Proxima Centauri, left that star 4.2 years ago. Light from the Andromeda galaxy left 2.5 million years ago. Light from the most distant observable galaxies has been traveling for over 13 billion years. Some of the stars whose light we see tonight have already died—they burned through their hydrogen, collapsed, exploded as supernovae, and scattered their elements into space. We are still receiving their light because it has been traveling for so long.</w:t>
      </w:r>
    </w:p>
    <w:p>
      <w:pPr>
        <w:pStyle w:val="Normal"/>
        <w:bidi w:val="0"/>
        <w:spacing w:lineRule="exact" w:line="276" w:before="0" w:after="200"/>
        <w:jc w:val="start"/>
        <w:rPr/>
      </w:pPr>
      <w:r>
        <w:rPr>
          <w:rFonts w:eastAsia="Georgia" w:cs="Georgia"/>
          <w:sz w:val="24"/>
          <w:szCs w:val="24"/>
        </w:rPr>
        <w:t xml:space="preserve">Now consider what those dead stars produced. The heavy elements that compose your body—the iron in your blood, the calcium in your bones, the carbon in every cell, the oxygen you are breathing as you read this—were forged inside stars that lived and died billions of years before the earth formed. These stars had to burn for millions of years, converting hydrogen to helium, helium to carbon, carbon to oxygen, building heavier and heavier elements in their cores. Then they had to explode as supernovae, scattering those elements into the interstellar medium, where they coalesced into new solar systems, new planets—including ours. You are made of stardust. And that stardust had to be </w:t>
      </w:r>
      <w:r>
        <w:rPr>
          <w:rFonts w:eastAsia="Georgia" w:cs="Georgia"/>
          <w:i/>
          <w:iCs/>
          <w:sz w:val="24"/>
          <w:szCs w:val="24"/>
        </w:rPr>
        <w:t>manufactured</w:t>
      </w:r>
      <w:r>
        <w:rPr>
          <w:rFonts w:eastAsia="Georgia" w:cs="Georgia"/>
          <w:sz w:val="24"/>
          <w:szCs w:val="24"/>
        </w:rPr>
        <w:t xml:space="preserve"> across billions of years of stellar processes.</w:t>
      </w:r>
    </w:p>
    <w:p>
      <w:pPr>
        <w:pStyle w:val="Normal"/>
        <w:bidi w:val="0"/>
        <w:spacing w:lineRule="exact" w:line="276" w:before="0" w:after="200"/>
        <w:jc w:val="start"/>
        <w:rPr/>
      </w:pPr>
      <w:r>
        <w:rPr>
          <w:rFonts w:eastAsia="Georgia" w:cs="Georgia"/>
          <w:sz w:val="24"/>
          <w:szCs w:val="24"/>
        </w:rPr>
        <w:t xml:space="preserve">The phrase in </w:t>
      </w:r>
      <w:hyperlink r:id="rId13">
        <w:r>
          <w:rPr>
            <w:rStyle w:val="ListLabel11"/>
            <w:rFonts w:eastAsia="Georgia" w:cs="Georgia"/>
            <w:b/>
            <w:bCs/>
            <w:color w:val="0563C1"/>
            <w:sz w:val="24"/>
            <w:szCs w:val="24"/>
            <w:u w:val="single"/>
          </w:rPr>
          <w:t>Genesis 2:7</w:t>
        </w:r>
      </w:hyperlink>
      <w:r>
        <w:rPr>
          <w:rFonts w:eastAsia="Georgia" w:cs="Georgia"/>
          <w:sz w:val="24"/>
          <w:szCs w:val="24"/>
        </w:rPr>
        <w:t>—“then the Lord God formed man from the dust of the ground”—takes on a resonance the ancient authors could not have imagined. The “dust of the ground” is star-stuff. The ground itself is the product of billions of years of cosmic engineering. And the process of making it required a universe of 200 billion galaxies operating across 13.8 billion years.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not an argument against God. It is an argument for a God whose creative vision is far more vast than a six-day creation. The God who designed a universe where the initial conditions of the Big Bang—the cosmological constants, the laws of physics, the ratio of matter to antimatter, calibrated to astonishing precision—inevitably unfold across 13.8 billion years into a planet with creatures ready to receive rational souls… that God is playing a longer, deeper, more magnificent game than even the young earth advocates imagine.</w:t>
      </w:r>
    </w:p>
    <w:p>
      <w:pPr>
        <w:pStyle w:val="Heading2"/>
        <w:bidi w:val="0"/>
        <w:spacing w:before="280" w:after="160"/>
        <w:jc w:val="start"/>
        <w:rPr/>
      </w:pPr>
      <w:r>
        <w:rPr/>
        <w:t>The Text Itself Signals Something Other Than Literal Days</w:t>
      </w:r>
    </w:p>
    <w:p>
      <w:pPr>
        <w:pStyle w:val="Normal"/>
        <w:bidi w:val="0"/>
        <w:spacing w:lineRule="exact" w:line="276" w:before="0" w:after="200"/>
        <w:jc w:val="start"/>
        <w:rPr/>
      </w:pPr>
      <w:r>
        <w:rPr>
          <w:rFonts w:eastAsia="Georgia" w:cs="Georgia"/>
          <w:sz w:val="24"/>
          <w:szCs w:val="24"/>
        </w:rPr>
        <w:t>The case against a literal six-day creation does not rest solely on science. The text of Genesis itself provides internal evidence that “day” (</w:t>
      </w:r>
      <w:r>
        <w:rPr>
          <w:rFonts w:eastAsia="Georgia" w:cs="Georgia"/>
          <w:i/>
          <w:iCs/>
          <w:sz w:val="24"/>
          <w:szCs w:val="24"/>
        </w:rPr>
        <w:t>yom</w:t>
      </w:r>
      <w:r>
        <w:rPr>
          <w:rFonts w:eastAsia="Georgia" w:cs="Georgia"/>
          <w:sz w:val="24"/>
          <w:szCs w:val="24"/>
        </w:rPr>
        <w:t xml:space="preserve"> in Hebrew) is not being used as a twenty-four-hour solar period. The most obvious indicator is that the sun is not created until Day Four (</w:t>
      </w:r>
      <w:hyperlink r:id="rId14">
        <w:r>
          <w:rPr>
            <w:rStyle w:val="ListLabel11"/>
            <w:rFonts w:eastAsia="Georgia" w:cs="Georgia"/>
            <w:b/>
            <w:bCs/>
            <w:color w:val="0563C1"/>
            <w:sz w:val="24"/>
            <w:szCs w:val="24"/>
            <w:u w:val="single"/>
          </w:rPr>
          <w:t>Genesis 1:14–19</w:t>
        </w:r>
      </w:hyperlink>
      <w:r>
        <w:rPr>
          <w:rFonts w:eastAsia="Georgia" w:cs="Georgia"/>
          <w:sz w:val="24"/>
          <w:szCs w:val="24"/>
        </w:rPr>
        <w:t>). A “day” defined by solar rotation cannot exist before the sun exists. The text signals from its opening verses that it operates on a different kind of timescale.</w:t>
      </w:r>
    </w:p>
    <w:p>
      <w:pPr>
        <w:pStyle w:val="Normal"/>
        <w:bidi w:val="0"/>
        <w:spacing w:lineRule="exact" w:line="276" w:before="0" w:after="200"/>
        <w:jc w:val="start"/>
        <w:rPr/>
      </w:pPr>
      <w:r>
        <w:rPr>
          <w:rFonts w:eastAsia="Georgia" w:cs="Georgia"/>
          <w:sz w:val="24"/>
          <w:szCs w:val="24"/>
        </w:rPr>
        <w:t xml:space="preserve">The young earth case that </w:t>
      </w:r>
      <w:hyperlink r:id="rId15">
        <w:r>
          <w:rPr>
            <w:rStyle w:val="ListLabel11"/>
            <w:rFonts w:eastAsia="Georgia" w:cs="Georgia"/>
            <w:b/>
            <w:bCs/>
            <w:color w:val="0563C1"/>
            <w:sz w:val="24"/>
            <w:szCs w:val="24"/>
            <w:u w:val="single"/>
          </w:rPr>
          <w:t>Exodus 20:11</w:t>
        </w:r>
      </w:hyperlink>
      <w:r>
        <w:rPr>
          <w:rFonts w:eastAsia="Georgia" w:cs="Georgia"/>
          <w:sz w:val="24"/>
          <w:szCs w:val="24"/>
        </w:rPr>
        <w:t xml:space="preserve"> grounds the Sabbath in six literal days is real, but the force of the commandment lies in the pattern of work and rest itself—six units of labor followed by one of rest. That pattern retains its meaning whether the original “days” were twenty-four hours, ages, or a literary framework. The commandment says: work six, rest one. It does not say: work six </w:t>
      </w:r>
      <w:r>
        <w:rPr>
          <w:rFonts w:eastAsia="Georgia" w:cs="Georgia"/>
          <w:i/>
          <w:iCs/>
          <w:sz w:val="24"/>
          <w:szCs w:val="24"/>
        </w:rPr>
        <w:t>twenty-four-hour periods</w:t>
      </w:r>
      <w:r>
        <w:rPr>
          <w:rFonts w:eastAsia="Georgia" w:cs="Georgia"/>
          <w:sz w:val="24"/>
          <w:szCs w:val="24"/>
        </w:rPr>
        <w:t>. The analogy holds regardless of the duration of the original creative acts, just as a parable teaches truth regardless of whether its characters are historical.</w:t>
      </w:r>
    </w:p>
    <w:p>
      <w:pPr>
        <w:pStyle w:val="Normal"/>
        <w:bidi w:val="0"/>
        <w:spacing w:lineRule="exact" w:line="276" w:before="0" w:after="200"/>
        <w:jc w:val="start"/>
        <w:rPr/>
      </w:pPr>
      <w:r>
        <w:rPr>
          <w:rFonts w:eastAsia="Georgia" w:cs="Georgia"/>
          <w:sz w:val="24"/>
          <w:szCs w:val="24"/>
        </w:rPr>
        <w:t xml:space="preserve">This is not a modern observation forced onto the text by scientific embarrassment. Saint Augustine of Hippo, writing in the fifth century—long before anyone had a scientific reason to question a young earth—argued that the “days” of Genesis were not ordinary days but a framework for divine creative acts whose actual duration was unknown to us. Augustine’s </w:t>
      </w:r>
      <w:hyperlink r:id="rId16">
        <w:r>
          <w:rPr>
            <w:rStyle w:val="ListLabel10"/>
            <w:rFonts w:eastAsia="Georgia" w:cs="Georgia"/>
            <w:i/>
            <w:iCs/>
            <w:color w:val="0563C1"/>
            <w:sz w:val="24"/>
            <w:szCs w:val="24"/>
            <w:u w:val="single"/>
          </w:rPr>
          <w:t>De Genesi ad Litteram</w:t>
        </w:r>
      </w:hyperlink>
      <w:r>
        <w:rPr>
          <w:rFonts w:eastAsia="Georgia" w:cs="Georgia"/>
          <w:sz w:val="24"/>
          <w:szCs w:val="24"/>
        </w:rPr>
        <w:t xml:space="preserve"> (</w:t>
      </w:r>
      <w:r>
        <w:rPr>
          <w:rFonts w:eastAsia="Georgia" w:cs="Georgia"/>
          <w:i/>
          <w:iCs/>
          <w:sz w:val="24"/>
          <w:szCs w:val="24"/>
        </w:rPr>
        <w:t>The Literal Meaning of Genesis</w:t>
      </w:r>
      <w:r>
        <w:rPr>
          <w:rFonts w:eastAsia="Georgia" w:cs="Georgia"/>
          <w:sz w:val="24"/>
          <w:szCs w:val="24"/>
        </w:rPr>
        <w:t>) explicitly warned against Christians making claims about the natural world that contradicted well-established knowledge, lest they bring the faith into disrepute. This warning was issued sixteen centuries ago and remains worth heeding.</w:t>
      </w:r>
    </w:p>
    <w:p>
      <w:pPr>
        <w:pStyle w:val="Normal"/>
        <w:bidi w:val="0"/>
        <w:spacing w:lineRule="exact" w:line="276" w:before="0" w:after="200"/>
        <w:jc w:val="start"/>
        <w:rPr/>
      </w:pPr>
      <w:r>
        <w:rPr>
          <w:rFonts w:eastAsia="Georgia" w:cs="Georgia"/>
          <w:sz w:val="24"/>
          <w:szCs w:val="24"/>
        </w:rPr>
        <w:t xml:space="preserve">The Pontifical Biblical Commission, in its 1909 response on the historical character of Genesis, was asked directly whether the word </w:t>
      </w:r>
      <w:r>
        <w:rPr>
          <w:rFonts w:eastAsia="Georgia" w:cs="Georgia"/>
          <w:i/>
          <w:iCs/>
          <w:sz w:val="24"/>
          <w:szCs w:val="24"/>
        </w:rPr>
        <w:t>yom</w:t>
      </w:r>
      <w:r>
        <w:rPr>
          <w:rFonts w:eastAsia="Georgia" w:cs="Georgia"/>
          <w:sz w:val="24"/>
          <w:szCs w:val="24"/>
        </w:rPr>
        <w:t xml:space="preserve"> must be taken as a natural day or may be understood as a certain space of time. The answer: “In the affirmative.”</w:t>
      </w:r>
      <w:r>
        <w:rPr>
          <w:rStyle w:val="FootnoteReference"/>
        </w:rPr>
        <w:footnoteReference w:id="17"/>
      </w:r>
      <w:r>
        <w:rPr>
          <w:rFonts w:eastAsia="Georgia" w:cs="Georgia"/>
          <w:sz w:val="24"/>
          <w:szCs w:val="24"/>
        </w:rPr>
        <w:t xml:space="preserve"> Catholics are free to interpret the days of Genesis as periods of time rather than twenty-four-hour days. This was not a concession forced by modernity; it was a recognition of what the text itself permits.</w:t>
      </w:r>
    </w:p>
    <w:p>
      <w:pPr>
        <w:pStyle w:val="Heading2"/>
        <w:bidi w:val="0"/>
        <w:spacing w:before="280" w:after="160"/>
        <w:jc w:val="start"/>
        <w:rPr/>
      </w:pPr>
      <w:r>
        <w:rPr/>
        <w:t>The Church Fathers and the Fourth Lateran Council: Why They Do Not Settle the Question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Chapter 2 presented two of the strongest Catholic arguments for a required young earth: the claim that the Church Fathers unanimously taught a young earth chronology, and the claim that the Fourth Lateran Council dogmatically defined instantaneous creation. Both deserve careful examination.</w:t>
      </w:r>
    </w:p>
    <w:p>
      <w:pPr>
        <w:pStyle w:val="Normal"/>
        <w:bidi w:val="0"/>
        <w:spacing w:lineRule="exact" w:line="276" w:before="0" w:after="200"/>
        <w:jc w:val="start"/>
        <w:rPr/>
      </w:pPr>
      <w:r>
        <w:rPr>
          <w:rFonts w:eastAsia="Georgia" w:cs="Georgia"/>
          <w:b/>
          <w:bCs/>
          <w:sz w:val="24"/>
          <w:szCs w:val="24"/>
        </w:rPr>
        <w:t xml:space="preserve">The Church Fathers Argument. </w:t>
      </w:r>
      <w:r>
        <w:rPr>
          <w:rFonts w:eastAsia="Georgia" w:cs="Georgia"/>
          <w:sz w:val="24"/>
          <w:szCs w:val="24"/>
        </w:rPr>
        <w:t xml:space="preserve">The Kolbe Center challenges opponents to “show us a single statement from a Church Father who taught that God used long periods of time in the creation of the material universe.” But this argument has a critical weakness: the Fathers were not, in fact, unanimous on this point. Saint Augustine, in </w:t>
      </w:r>
      <w:hyperlink r:id="rId17">
        <w:r>
          <w:rPr>
            <w:rStyle w:val="ListLabel10"/>
            <w:rFonts w:eastAsia="Georgia" w:cs="Georgia"/>
            <w:i/>
            <w:iCs/>
            <w:color w:val="0563C1"/>
            <w:sz w:val="24"/>
            <w:szCs w:val="24"/>
            <w:u w:val="single"/>
          </w:rPr>
          <w:t>De Genesi ad Litteram</w:t>
        </w:r>
      </w:hyperlink>
      <w:r>
        <w:rPr>
          <w:rFonts w:eastAsia="Georgia" w:cs="Georgia"/>
          <w:sz w:val="24"/>
          <w:szCs w:val="24"/>
        </w:rPr>
        <w:t xml:space="preserve"> (circa 415 AD), explicitly argued that the “days” of Genesis were not ordinary days but a literary framework whose actual duration was unknown. He wrote that the creation narrative was arranged not according to temporal sequence but according to a logical order, and that God’s creative act may have been instantaneous—with the “days” serving as an explanatory structure for human understanding, not a chronological report. Origen of Alexandria (circa 184–253 AD), one of the most influential exegetes in the early Church, wrote in </w:t>
      </w:r>
      <w:r>
        <w:rPr>
          <w:rFonts w:eastAsia="Georgia" w:cs="Georgia"/>
          <w:i/>
          <w:iCs/>
          <w:sz w:val="24"/>
          <w:szCs w:val="24"/>
        </w:rPr>
        <w:t>De Principiis</w:t>
      </w:r>
      <w:r>
        <w:rPr>
          <w:rFonts w:eastAsia="Georgia" w:cs="Georgia"/>
          <w:sz w:val="24"/>
          <w:szCs w:val="24"/>
        </w:rPr>
        <w:t xml:space="preserve"> (Book IV) that “what person of intelligence” would believe that the first three days of creation—before the sun existed—could be literal days with evening and morning?</w:t>
      </w:r>
      <w:r>
        <w:rPr>
          <w:rStyle w:val="FootnoteReference"/>
        </w:rPr>
        <w:footnoteReference w:id="18"/>
      </w:r>
      <w:r>
        <w:rPr>
          <w:rFonts w:eastAsia="Georgia" w:cs="Georgia"/>
          <w:sz w:val="24"/>
          <w:szCs w:val="24"/>
        </w:rPr>
        <w:t xml:space="preserve"> Origen explicitly treated the creation days as conveying spiritual meaning rather than temporal sequence. Clement of Alexandria (circa 150–215 AD), Origen’s teacher, argued in the </w:t>
      </w:r>
      <w:r>
        <w:rPr>
          <w:rFonts w:eastAsia="Georgia" w:cs="Georgia"/>
          <w:i/>
          <w:iCs/>
          <w:sz w:val="24"/>
          <w:szCs w:val="24"/>
        </w:rPr>
        <w:t>Stromata</w:t>
      </w:r>
      <w:r>
        <w:rPr>
          <w:rFonts w:eastAsia="Georgia" w:cs="Georgia"/>
          <w:sz w:val="24"/>
          <w:szCs w:val="24"/>
        </w:rPr>
        <w:t xml:space="preserve"> (Book VI) that creation could not have occurred in time at all, since time itself was part of the created order.</w:t>
      </w:r>
      <w:r>
        <w:rPr>
          <w:rStyle w:val="FootnoteReference"/>
        </w:rPr>
        <w:footnoteReference w:id="19"/>
      </w:r>
      <w:r>
        <w:rPr>
          <w:rFonts w:eastAsia="Georgia" w:cs="Georgia"/>
          <w:sz w:val="24"/>
          <w:szCs w:val="24"/>
        </w:rPr>
        <w:t xml:space="preserve"> These are not obscure figures. Augustine is the most cited Father in the Catechism. Origen and Clement were among the most important theologians of the first three centuries. Their disagreement with a literal chronological reading of Genesis means the “unanimous consent of the Fathers” rule—which Vatican I invoked—simply does not apply to the specific question of the earth’s age or the duration of the creation days.</w:t>
      </w:r>
    </w:p>
    <w:p>
      <w:pPr>
        <w:pStyle w:val="Normal"/>
        <w:bidi w:val="0"/>
        <w:spacing w:lineRule="exact" w:line="276" w:before="0" w:after="200"/>
        <w:jc w:val="start"/>
        <w:rPr/>
      </w:pPr>
      <w:r>
        <w:rPr>
          <w:rFonts w:eastAsia="Georgia" w:cs="Georgia"/>
          <w:b/>
          <w:bCs/>
          <w:sz w:val="24"/>
          <w:szCs w:val="24"/>
        </w:rPr>
        <w:t xml:space="preserve">The Fourth Lateran Council Argument. </w:t>
      </w:r>
      <w:r>
        <w:rPr>
          <w:rFonts w:eastAsia="Georgia" w:cs="Georgia"/>
          <w:sz w:val="24"/>
          <w:szCs w:val="24"/>
        </w:rPr>
        <w:t xml:space="preserve">Young earth advocates read </w:t>
      </w:r>
      <w:r>
        <w:rPr>
          <w:rFonts w:eastAsia="Georgia" w:cs="Georgia"/>
          <w:i/>
          <w:iCs/>
          <w:sz w:val="24"/>
          <w:szCs w:val="24"/>
        </w:rPr>
        <w:t>simul</w:t>
      </w:r>
      <w:r>
        <w:rPr>
          <w:rFonts w:eastAsia="Georgia" w:cs="Georgia"/>
          <w:sz w:val="24"/>
          <w:szCs w:val="24"/>
        </w:rPr>
        <w:t xml:space="preserve"> in the Lateran IV </w:t>
      </w:r>
      <w:r>
        <w:rPr>
          <w:rFonts w:eastAsia="Georgia" w:cs="Georgia"/>
          <w:i/>
          <w:iCs/>
          <w:sz w:val="24"/>
          <w:szCs w:val="24"/>
        </w:rPr>
        <w:t>Firmiter</w:t>
      </w:r>
      <w:r>
        <w:rPr>
          <w:rFonts w:eastAsia="Georgia" w:cs="Georgia"/>
          <w:sz w:val="24"/>
          <w:szCs w:val="24"/>
        </w:rPr>
        <w:t xml:space="preserve"> constitution as “simultaneously,” concluding that creation was instantaneous. However, reputable theologians such as P. Hurter, S.J. and M. Jungmann have argued that </w:t>
      </w:r>
      <w:r>
        <w:rPr>
          <w:rFonts w:eastAsia="Georgia" w:cs="Georgia"/>
          <w:i/>
          <w:iCs/>
          <w:sz w:val="24"/>
          <w:szCs w:val="24"/>
        </w:rPr>
        <w:t>simul</w:t>
      </w:r>
      <w:r>
        <w:rPr>
          <w:rFonts w:eastAsia="Georgia" w:cs="Georgia"/>
          <w:sz w:val="24"/>
          <w:szCs w:val="24"/>
        </w:rPr>
        <w:t xml:space="preserve"> in the Lateran text can be understood not as simultaneity of time but as unity of plan and community of origin—meaning that all creatures share one Creator and one act of creation, not necessarily that they were created in a single instant.</w:t>
      </w:r>
      <w:r>
        <w:rPr>
          <w:rStyle w:val="FootnoteReference"/>
        </w:rPr>
        <w:footnoteReference w:id="20"/>
      </w:r>
      <w:r>
        <w:rPr>
          <w:rFonts w:eastAsia="Georgia" w:cs="Georgia"/>
          <w:sz w:val="24"/>
          <w:szCs w:val="24"/>
        </w:rPr>
        <w:t xml:space="preserve"> The Council’s primary target was the Albigensian/Catharist heresy, which denied that the material world was created by the good God. The </w:t>
      </w:r>
      <w:r>
        <w:rPr>
          <w:rFonts w:eastAsia="Georgia" w:cs="Georgia"/>
          <w:i/>
          <w:iCs/>
          <w:sz w:val="24"/>
          <w:szCs w:val="24"/>
        </w:rPr>
        <w:t>Firmiter</w:t>
      </w:r>
      <w:r>
        <w:rPr>
          <w:rFonts w:eastAsia="Georgia" w:cs="Georgia"/>
          <w:sz w:val="24"/>
          <w:szCs w:val="24"/>
        </w:rPr>
        <w:t xml:space="preserve"> was asserting that both spiritual and material creation come from the same God, against Cathar dualism—not defining a timeline for creation.</w:t>
      </w:r>
    </w:p>
    <w:p>
      <w:pPr>
        <w:pStyle w:val="Heading2"/>
        <w:bidi w:val="0"/>
        <w:spacing w:before="280" w:after="160"/>
        <w:jc w:val="start"/>
        <w:rPr/>
      </w:pPr>
      <w:r>
        <w:rPr/>
        <w:t>Required vs. Open: What the Church Demands About the Age of the Earth</w:t>
      </w:r>
    </w:p>
    <w:p>
      <w:pPr>
        <w:pStyle w:val="Normal"/>
        <w:bidi w:val="0"/>
        <w:spacing w:lineRule="exact" w:line="276" w:before="0" w:after="200"/>
        <w:jc w:val="start"/>
        <w:rPr/>
      </w:pPr>
      <w:r>
        <w:rPr>
          <w:rFonts w:eastAsia="Georgia" w:cs="Georgia"/>
          <w:sz w:val="24"/>
          <w:szCs w:val="24"/>
        </w:rPr>
        <w:t xml:space="preserve">To answer this question with precision, we must understand the levels of doctrinal authority in Catholic theology. Ludwig Ott, in his authoritative </w:t>
      </w:r>
      <w:r>
        <w:rPr>
          <w:rFonts w:eastAsia="Georgia" w:cs="Georgia"/>
          <w:i/>
          <w:iCs/>
          <w:sz w:val="24"/>
          <w:szCs w:val="24"/>
        </w:rPr>
        <w:t>Fundamentals of Catholic Dogma</w:t>
      </w:r>
      <w:r>
        <w:rPr>
          <w:rFonts w:eastAsia="Georgia" w:cs="Georgia"/>
          <w:sz w:val="24"/>
          <w:szCs w:val="24"/>
        </w:rPr>
        <w:t xml:space="preserve"> (1952),</w:t>
      </w:r>
      <w:r>
        <w:rPr>
          <w:rStyle w:val="FootnoteReference"/>
        </w:rPr>
        <w:footnoteReference w:id="21"/>
      </w:r>
      <w:r>
        <w:rPr>
          <w:rFonts w:eastAsia="Georgia" w:cs="Georgia"/>
          <w:sz w:val="24"/>
          <w:szCs w:val="24"/>
        </w:rPr>
        <w:t xml:space="preserve"> classifies teachings by their degree of certainty: </w:t>
      </w:r>
      <w:r>
        <w:rPr>
          <w:rFonts w:eastAsia="Georgia" w:cs="Georgia"/>
          <w:i/>
          <w:iCs/>
          <w:sz w:val="24"/>
          <w:szCs w:val="24"/>
        </w:rPr>
        <w:t>de fide definita</w:t>
      </w:r>
      <w:r>
        <w:rPr>
          <w:rFonts w:eastAsia="Georgia" w:cs="Georgia"/>
          <w:sz w:val="24"/>
          <w:szCs w:val="24"/>
        </w:rPr>
        <w:t xml:space="preserve"> (divinely revealed and solemnly defined—denial is heresy); </w:t>
      </w:r>
      <w:r>
        <w:rPr>
          <w:rFonts w:eastAsia="Georgia" w:cs="Georgia"/>
          <w:i/>
          <w:iCs/>
          <w:sz w:val="24"/>
          <w:szCs w:val="24"/>
        </w:rPr>
        <w:t>de fide</w:t>
      </w:r>
      <w:r>
        <w:rPr>
          <w:rFonts w:eastAsia="Georgia" w:cs="Georgia"/>
          <w:sz w:val="24"/>
          <w:szCs w:val="24"/>
        </w:rPr>
        <w:t xml:space="preserve"> (divinely revealed—denial is heresy); </w:t>
      </w:r>
      <w:r>
        <w:rPr>
          <w:rFonts w:eastAsia="Georgia" w:cs="Georgia"/>
          <w:i/>
          <w:iCs/>
          <w:sz w:val="24"/>
          <w:szCs w:val="24"/>
        </w:rPr>
        <w:t>sententia fidei proxima</w:t>
      </w:r>
      <w:r>
        <w:rPr>
          <w:rFonts w:eastAsia="Georgia" w:cs="Georgia"/>
          <w:sz w:val="24"/>
          <w:szCs w:val="24"/>
        </w:rPr>
        <w:t xml:space="preserve"> (close to faith—denial is near-heresy); </w:t>
      </w:r>
      <w:r>
        <w:rPr>
          <w:rFonts w:eastAsia="Georgia" w:cs="Georgia"/>
          <w:i/>
          <w:iCs/>
          <w:sz w:val="24"/>
          <w:szCs w:val="24"/>
        </w:rPr>
        <w:t>sententia certa</w:t>
      </w:r>
      <w:r>
        <w:rPr>
          <w:rFonts w:eastAsia="Georgia" w:cs="Georgia"/>
          <w:sz w:val="24"/>
          <w:szCs w:val="24"/>
        </w:rPr>
        <w:t xml:space="preserve"> (theologically certain); </w:t>
      </w:r>
      <w:r>
        <w:rPr>
          <w:rFonts w:eastAsia="Georgia" w:cs="Georgia"/>
          <w:i/>
          <w:iCs/>
          <w:sz w:val="24"/>
          <w:szCs w:val="24"/>
        </w:rPr>
        <w:t>sententia communis</w:t>
      </w:r>
      <w:r>
        <w:rPr>
          <w:rFonts w:eastAsia="Georgia" w:cs="Georgia"/>
          <w:sz w:val="24"/>
          <w:szCs w:val="24"/>
        </w:rPr>
        <w:t xml:space="preserve"> (common teaching); and </w:t>
      </w:r>
      <w:r>
        <w:rPr>
          <w:rFonts w:eastAsia="Georgia" w:cs="Georgia"/>
          <w:i/>
          <w:iCs/>
          <w:sz w:val="24"/>
          <w:szCs w:val="24"/>
        </w:rPr>
        <w:t>sententia probabilis</w:t>
      </w:r>
      <w:r>
        <w:rPr>
          <w:rFonts w:eastAsia="Georgia" w:cs="Georgia"/>
          <w:sz w:val="24"/>
          <w:szCs w:val="24"/>
        </w:rPr>
        <w:t xml:space="preserve"> (probable opinion). This hierarchy matters enormously, because not everything taught by Catholic authorities carries the same weight.</w:t>
      </w:r>
    </w:p>
    <w:p>
      <w:pPr>
        <w:pStyle w:val="Normal"/>
        <w:bidi w:val="0"/>
        <w:spacing w:lineRule="exact" w:line="276" w:before="0" w:after="200"/>
        <w:jc w:val="start"/>
        <w:rPr/>
      </w:pPr>
      <w:r>
        <w:rPr>
          <w:rFonts w:eastAsia="Georgia" w:cs="Georgia"/>
          <w:b/>
          <w:bCs/>
          <w:sz w:val="24"/>
          <w:szCs w:val="24"/>
        </w:rPr>
        <w:t xml:space="preserve">Required (De Fide): </w:t>
      </w:r>
      <w:r>
        <w:rPr>
          <w:rFonts w:eastAsia="Georgia" w:cs="Georgia"/>
          <w:sz w:val="24"/>
          <w:szCs w:val="24"/>
        </w:rPr>
        <w:t xml:space="preserve">The following teachings about creation are classified by Ott as </w:t>
      </w:r>
      <w:r>
        <w:rPr>
          <w:rFonts w:eastAsia="Georgia" w:cs="Georgia"/>
          <w:i/>
          <w:iCs/>
          <w:sz w:val="24"/>
          <w:szCs w:val="24"/>
        </w:rPr>
        <w:t>de fide</w:t>
      </w:r>
      <w:r>
        <w:rPr>
          <w:rFonts w:eastAsia="Georgia" w:cs="Georgia"/>
          <w:sz w:val="24"/>
          <w:szCs w:val="24"/>
        </w:rPr>
        <w:t xml:space="preserve">—divinely revealed truths whose denial constitutes heresy: All that exists outside God was, in its whole substance, produced out of nothing by God (Fourth Lateran Council; Vatican I, </w:t>
      </w:r>
      <w:hyperlink r:id="rId18">
        <w:r>
          <w:rPr>
            <w:rStyle w:val="ListLabel10"/>
            <w:rFonts w:eastAsia="Georgia" w:cs="Georgia"/>
            <w:i/>
            <w:iCs/>
            <w:color w:val="0563C1"/>
            <w:sz w:val="24"/>
            <w:szCs w:val="24"/>
            <w:u w:val="single"/>
          </w:rPr>
          <w:t>Dei Filius</w:t>
        </w:r>
      </w:hyperlink>
      <w:hyperlink r:id="rId19">
        <w:r>
          <w:rPr>
            <w:rStyle w:val="ListLabel12"/>
            <w:rFonts w:eastAsia="Georgia" w:cs="Georgia"/>
            <w:color w:val="0563C1"/>
            <w:sz w:val="24"/>
            <w:szCs w:val="24"/>
            <w:u w:val="single"/>
          </w:rPr>
          <w:t>, Chapter 1, Canon 5</w:t>
        </w:r>
      </w:hyperlink>
      <w:r>
        <w:rPr>
          <w:rFonts w:eastAsia="Georgia" w:cs="Georgia"/>
          <w:sz w:val="24"/>
          <w:szCs w:val="24"/>
        </w:rPr>
        <w:t xml:space="preserve">). God was moved by His goodness to create the world (Vatican I, </w:t>
      </w:r>
      <w:hyperlink r:id="rId20">
        <w:r>
          <w:rPr>
            <w:rStyle w:val="ListLabel10"/>
            <w:rFonts w:eastAsia="Georgia" w:cs="Georgia"/>
            <w:i/>
            <w:iCs/>
            <w:color w:val="0563C1"/>
            <w:sz w:val="24"/>
            <w:szCs w:val="24"/>
            <w:u w:val="single"/>
          </w:rPr>
          <w:t>Dei Filius</w:t>
        </w:r>
      </w:hyperlink>
      <w:hyperlink r:id="rId21">
        <w:r>
          <w:rPr>
            <w:rStyle w:val="ListLabel12"/>
            <w:rFonts w:eastAsia="Georgia" w:cs="Georgia"/>
            <w:color w:val="0563C1"/>
            <w:sz w:val="24"/>
            <w:szCs w:val="24"/>
            <w:u w:val="single"/>
          </w:rPr>
          <w:t>, Chapter 1, Canon 2</w:t>
        </w:r>
      </w:hyperlink>
      <w:r>
        <w:rPr>
          <w:rFonts w:eastAsia="Georgia" w:cs="Georgia"/>
          <w:sz w:val="24"/>
          <w:szCs w:val="24"/>
        </w:rPr>
        <w:t>). The world had a beginning in time (</w:t>
      </w:r>
      <w:hyperlink r:id="rId22">
        <w:r>
          <w:rPr>
            <w:rStyle w:val="ListLabel10"/>
            <w:rFonts w:eastAsia="Georgia" w:cs="Georgia"/>
            <w:i/>
            <w:iCs/>
            <w:color w:val="0563C1"/>
            <w:sz w:val="24"/>
            <w:szCs w:val="24"/>
            <w:u w:val="single"/>
          </w:rPr>
          <w:t>Dei Filius</w:t>
        </w:r>
      </w:hyperlink>
      <w:hyperlink r:id="rId23">
        <w:r>
          <w:rPr>
            <w:rStyle w:val="ListLabel12"/>
            <w:rFonts w:eastAsia="Georgia" w:cs="Georgia"/>
            <w:color w:val="0563C1"/>
            <w:sz w:val="24"/>
            <w:szCs w:val="24"/>
            <w:u w:val="single"/>
          </w:rPr>
          <w:t>, Chapter 1, Canon 5</w:t>
        </w:r>
      </w:hyperlink>
      <w:r>
        <w:rPr>
          <w:rFonts w:eastAsia="Georgia" w:cs="Georgia"/>
          <w:sz w:val="24"/>
          <w:szCs w:val="24"/>
        </w:rPr>
        <w:t>: “If anyone does not confess that the world and all things which are contained in it, both spiritual and material, as regards their whole substance, have been produced by God from nothing… let him be anathema”). God alone created the world (</w:t>
      </w:r>
      <w:hyperlink r:id="rId24">
        <w:r>
          <w:rPr>
            <w:rStyle w:val="ListLabel10"/>
            <w:rFonts w:eastAsia="Georgia" w:cs="Georgia"/>
            <w:i/>
            <w:iCs/>
            <w:color w:val="0563C1"/>
            <w:sz w:val="24"/>
            <w:szCs w:val="24"/>
            <w:u w:val="single"/>
          </w:rPr>
          <w:t>Dei Filius</w:t>
        </w:r>
      </w:hyperlink>
      <w:hyperlink r:id="rId25">
        <w:r>
          <w:rPr>
            <w:rStyle w:val="ListLabel12"/>
            <w:rFonts w:eastAsia="Georgia" w:cs="Georgia"/>
            <w:color w:val="0563C1"/>
            <w:sz w:val="24"/>
            <w:szCs w:val="24"/>
            <w:u w:val="single"/>
          </w:rPr>
          <w:t>, Chapter 1</w:t>
        </w:r>
      </w:hyperlink>
      <w:r>
        <w:rPr>
          <w:rFonts w:eastAsia="Georgia" w:cs="Georgia"/>
          <w:sz w:val="24"/>
          <w:szCs w:val="24"/>
        </w:rPr>
        <w:t>). God keeps all created things in existence and guides them through His Providence (</w:t>
      </w:r>
      <w:hyperlink r:id="rId26">
        <w:r>
          <w:rPr>
            <w:rStyle w:val="ListLabel10"/>
            <w:rFonts w:eastAsia="Georgia" w:cs="Georgia"/>
            <w:i/>
            <w:iCs/>
            <w:color w:val="0563C1"/>
            <w:sz w:val="24"/>
            <w:szCs w:val="24"/>
            <w:u w:val="single"/>
          </w:rPr>
          <w:t>Dei Filius</w:t>
        </w:r>
      </w:hyperlink>
      <w:hyperlink r:id="rId27">
        <w:r>
          <w:rPr>
            <w:rStyle w:val="ListLabel12"/>
            <w:rFonts w:eastAsia="Georgia" w:cs="Georgia"/>
            <w:color w:val="0563C1"/>
            <w:sz w:val="24"/>
            <w:szCs w:val="24"/>
            <w:u w:val="single"/>
          </w:rPr>
          <w:t>, Chapter 1</w:t>
        </w:r>
      </w:hyperlink>
      <w:r>
        <w:rPr>
          <w:rFonts w:eastAsia="Georgia" w:cs="Georgia"/>
          <w:sz w:val="24"/>
          <w:szCs w:val="24"/>
        </w:rPr>
        <w:t>). The first man was created by God (</w:t>
      </w:r>
      <w:hyperlink r:id="rId28">
        <w:r>
          <w:rPr>
            <w:rStyle w:val="ListLabel11"/>
            <w:rFonts w:eastAsia="Georgia" w:cs="Georgia"/>
            <w:b/>
            <w:bCs/>
            <w:color w:val="0563C1"/>
            <w:sz w:val="24"/>
            <w:szCs w:val="24"/>
            <w:u w:val="single"/>
          </w:rPr>
          <w:t>Genesis 1:27</w:t>
        </w:r>
      </w:hyperlink>
      <w:r>
        <w:rPr>
          <w:rFonts w:eastAsia="Georgia" w:cs="Georgia"/>
          <w:sz w:val="24"/>
          <w:szCs w:val="24"/>
        </w:rPr>
        <w:t xml:space="preserve">; </w:t>
      </w:r>
      <w:hyperlink r:id="rId29">
        <w:r>
          <w:rPr>
            <w:rStyle w:val="ListLabel12"/>
            <w:rFonts w:eastAsia="Georgia" w:cs="Georgia"/>
            <w:color w:val="0563C1"/>
            <w:sz w:val="24"/>
            <w:szCs w:val="24"/>
            <w:u w:val="single"/>
          </w:rPr>
          <w:t>CCC §356</w:t>
        </w:r>
      </w:hyperlink>
      <w:r>
        <w:rPr>
          <w:rFonts w:eastAsia="Georgia" w:cs="Georgia"/>
          <w:sz w:val="24"/>
          <w:szCs w:val="24"/>
        </w:rPr>
        <w:t>). Man consists of a material body and a spiritual soul (</w:t>
      </w:r>
      <w:hyperlink r:id="rId30">
        <w:r>
          <w:rPr>
            <w:rStyle w:val="ListLabel12"/>
            <w:rFonts w:eastAsia="Georgia" w:cs="Georgia"/>
            <w:color w:val="0563C1"/>
            <w:sz w:val="24"/>
            <w:szCs w:val="24"/>
            <w:u w:val="single"/>
          </w:rPr>
          <w:t>CCC §§362–368</w:t>
        </w:r>
      </w:hyperlink>
      <w:r>
        <w:rPr>
          <w:rFonts w:eastAsia="Georgia" w:cs="Georgia"/>
          <w:sz w:val="24"/>
          <w:szCs w:val="24"/>
        </w:rPr>
        <w:t>). The rational soul is the essential form of the body (Council of Vienne, 1312).</w:t>
      </w:r>
      <w:r>
        <w:rPr>
          <w:rStyle w:val="FootnoteReference"/>
        </w:rPr>
        <w:footnoteReference w:id="22"/>
      </w:r>
      <w:r>
        <w:rPr>
          <w:rFonts w:eastAsia="Georgia" w:cs="Georgia"/>
          <w:sz w:val="24"/>
          <w:szCs w:val="24"/>
        </w:rPr>
        <w:t xml:space="preserve"> Every human soul is directly created by God (</w:t>
      </w:r>
      <w:hyperlink r:id="rId31">
        <w:r>
          <w:rPr>
            <w:rStyle w:val="ListLabel10"/>
            <w:rFonts w:eastAsia="Georgia" w:cs="Georgia"/>
            <w:i/>
            <w:iCs/>
            <w:color w:val="0563C1"/>
            <w:sz w:val="24"/>
            <w:szCs w:val="24"/>
            <w:u w:val="single"/>
          </w:rPr>
          <w:t>Humani Generis</w:t>
        </w:r>
      </w:hyperlink>
      <w:r>
        <w:rPr>
          <w:rFonts w:eastAsia="Georgia" w:cs="Georgia"/>
          <w:sz w:val="24"/>
          <w:szCs w:val="24"/>
        </w:rPr>
        <w:t xml:space="preserve">, §36; </w:t>
      </w:r>
      <w:hyperlink r:id="rId32">
        <w:r>
          <w:rPr>
            <w:rStyle w:val="ListLabel12"/>
            <w:rFonts w:eastAsia="Georgia" w:cs="Georgia"/>
            <w:color w:val="0563C1"/>
            <w:sz w:val="24"/>
            <w:szCs w:val="24"/>
            <w:u w:val="single"/>
          </w:rPr>
          <w:t>CCC §366</w:t>
        </w:r>
      </w:hyperlink>
      <w:r>
        <w:rPr>
          <w:rFonts w:eastAsia="Georgia" w:cs="Georgia"/>
          <w:sz w:val="24"/>
          <w:szCs w:val="24"/>
        </w:rPr>
        <w:t>).</w:t>
      </w:r>
      <w:r>
        <w:rPr>
          <w:rStyle w:val="FootnoteReference"/>
        </w:rPr>
        <w:footnoteReference w:id="23"/>
      </w:r>
      <w:r>
        <w:rPr>
          <w:rFonts w:eastAsia="Georgia" w:cs="Georgia"/>
          <w:sz w:val="24"/>
          <w:szCs w:val="24"/>
        </w:rPr>
        <w:t xml:space="preserve"> Adam and Eve are real, historical individuals from whom all humans descend (</w:t>
      </w:r>
      <w:hyperlink r:id="rId33">
        <w:r>
          <w:rPr>
            <w:rStyle w:val="ListLabel10"/>
            <w:rFonts w:eastAsia="Georgia" w:cs="Georgia"/>
            <w:i/>
            <w:iCs/>
            <w:color w:val="0563C1"/>
            <w:sz w:val="24"/>
            <w:szCs w:val="24"/>
            <w:u w:val="single"/>
          </w:rPr>
          <w:t>Humani Generis</w:t>
        </w:r>
      </w:hyperlink>
      <w:hyperlink r:id="rId34">
        <w:r>
          <w:rPr>
            <w:rStyle w:val="ListLabel12"/>
            <w:rFonts w:eastAsia="Georgia" w:cs="Georgia"/>
            <w:color w:val="0563C1"/>
            <w:sz w:val="24"/>
            <w:szCs w:val="24"/>
            <w:u w:val="single"/>
          </w:rPr>
          <w:t>, §37</w:t>
        </w:r>
      </w:hyperlink>
      <w:r>
        <w:rPr>
          <w:rFonts w:eastAsia="Georgia" w:cs="Georgia"/>
          <w:sz w:val="24"/>
          <w:szCs w:val="24"/>
        </w:rPr>
        <w:t xml:space="preserve">; </w:t>
      </w:r>
      <w:hyperlink r:id="rId35">
        <w:r>
          <w:rPr>
            <w:rStyle w:val="ListLabel12"/>
            <w:rFonts w:eastAsia="Georgia" w:cs="Georgia"/>
            <w:color w:val="0563C1"/>
            <w:sz w:val="24"/>
            <w:szCs w:val="24"/>
            <w:u w:val="single"/>
          </w:rPr>
          <w:t>Council of Trent, Session V, Canons 1–4</w:t>
        </w:r>
      </w:hyperlink>
      <w:r>
        <w:rPr>
          <w:rFonts w:eastAsia="Georgia" w:cs="Georgia"/>
          <w:sz w:val="24"/>
          <w:szCs w:val="24"/>
        </w:rPr>
        <w:t>). Creation reveals God’s existence and attributes to human reason (</w:t>
      </w:r>
      <w:hyperlink r:id="rId36">
        <w:r>
          <w:rPr>
            <w:rStyle w:val="ListLabel11"/>
            <w:rFonts w:eastAsia="Georgia" w:cs="Georgia"/>
            <w:b/>
            <w:bCs/>
            <w:color w:val="0563C1"/>
            <w:sz w:val="24"/>
            <w:szCs w:val="24"/>
            <w:u w:val="single"/>
          </w:rPr>
          <w:t>Romans 1:19–20</w:t>
        </w:r>
      </w:hyperlink>
      <w:r>
        <w:rPr>
          <w:rFonts w:eastAsia="Georgia" w:cs="Georgia"/>
          <w:sz w:val="24"/>
          <w:szCs w:val="24"/>
        </w:rPr>
        <w:t xml:space="preserve">; </w:t>
      </w:r>
      <w:hyperlink r:id="rId37">
        <w:r>
          <w:rPr>
            <w:rStyle w:val="ListLabel10"/>
            <w:rFonts w:eastAsia="Georgia" w:cs="Georgia"/>
            <w:i/>
            <w:iCs/>
            <w:color w:val="0563C1"/>
            <w:sz w:val="24"/>
            <w:szCs w:val="24"/>
            <w:u w:val="single"/>
          </w:rPr>
          <w:t>Dei Filius</w:t>
        </w:r>
      </w:hyperlink>
      <w:hyperlink r:id="rId38">
        <w:r>
          <w:rPr>
            <w:rStyle w:val="ListLabel12"/>
            <w:rFonts w:eastAsia="Georgia" w:cs="Georgia"/>
            <w:color w:val="0563C1"/>
            <w:sz w:val="24"/>
            <w:szCs w:val="24"/>
            <w:u w:val="single"/>
          </w:rPr>
          <w:t>, Chapter 2, Canon 1</w:t>
        </w:r>
      </w:hyperlink>
      <w:r>
        <w:rPr>
          <w:rFonts w:eastAsia="Georgia" w:cs="Georgia"/>
          <w:sz w:val="24"/>
          <w:szCs w:val="24"/>
        </w:rPr>
        <w:t xml:space="preserve">; </w:t>
      </w:r>
      <w:hyperlink r:id="rId39">
        <w:r>
          <w:rPr>
            <w:rStyle w:val="ListLabel12"/>
            <w:rFonts w:eastAsia="Georgia" w:cs="Georgia"/>
            <w:color w:val="0563C1"/>
            <w:sz w:val="24"/>
            <w:szCs w:val="24"/>
            <w:u w:val="single"/>
          </w:rPr>
          <w:t>CCC §36</w:t>
        </w:r>
      </w:hyperlink>
      <w:r>
        <w:rPr>
          <w:rFonts w:eastAsia="Georgia" w:cs="Georgia"/>
          <w:sz w:val="24"/>
          <w:szCs w:val="24"/>
        </w:rPr>
        <w:t>). The Genesis account, while using “figurative language” (</w:t>
      </w:r>
      <w:hyperlink r:id="rId40">
        <w:r>
          <w:rPr>
            <w:rStyle w:val="ListLabel12"/>
            <w:rFonts w:eastAsia="Georgia" w:cs="Georgia"/>
            <w:color w:val="0563C1"/>
            <w:sz w:val="24"/>
            <w:szCs w:val="24"/>
            <w:u w:val="single"/>
          </w:rPr>
          <w:t>CCC §390</w:t>
        </w:r>
      </w:hyperlink>
      <w:r>
        <w:rPr>
          <w:rFonts w:eastAsia="Georgia" w:cs="Georgia"/>
          <w:sz w:val="24"/>
          <w:szCs w:val="24"/>
        </w:rPr>
        <w:t>), “affirms a primeval event, a deed that took place at the beginning of the history of man.”</w:t>
      </w:r>
    </w:p>
    <w:p>
      <w:pPr>
        <w:pStyle w:val="Normal"/>
        <w:bidi w:val="0"/>
        <w:spacing w:lineRule="exact" w:line="276" w:before="0" w:after="200"/>
        <w:jc w:val="start"/>
        <w:rPr/>
      </w:pPr>
      <w:r>
        <w:rPr>
          <w:rFonts w:eastAsia="Georgia" w:cs="Georgia"/>
          <w:b/>
          <w:bCs/>
          <w:sz w:val="24"/>
          <w:szCs w:val="24"/>
        </w:rPr>
        <w:t xml:space="preserve">Not required (Open): </w:t>
      </w:r>
      <w:r>
        <w:rPr>
          <w:rFonts w:eastAsia="Georgia" w:cs="Georgia"/>
          <w:sz w:val="24"/>
          <w:szCs w:val="24"/>
        </w:rPr>
        <w:t xml:space="preserve">The age of the earth is not listed among the </w:t>
      </w:r>
      <w:r>
        <w:rPr>
          <w:rFonts w:eastAsia="Georgia" w:cs="Georgia"/>
          <w:i/>
          <w:iCs/>
          <w:sz w:val="24"/>
          <w:szCs w:val="24"/>
        </w:rPr>
        <w:t>de fide</w:t>
      </w:r>
      <w:r>
        <w:rPr>
          <w:rFonts w:eastAsia="Georgia" w:cs="Georgia"/>
          <w:sz w:val="24"/>
          <w:szCs w:val="24"/>
        </w:rPr>
        <w:t xml:space="preserve"> teachings in Ott or any other standard manual of Catholic dogmatic theology. It is not defined by any ecumenical council, papal encyclical, or ex cathedra statement. This is documented in the following sources:</w:t>
      </w:r>
    </w:p>
    <w:p>
      <w:pPr>
        <w:pStyle w:val="Normal"/>
        <w:bidi w:val="0"/>
        <w:spacing w:lineRule="exact" w:line="276" w:before="0" w:after="200"/>
        <w:jc w:val="start"/>
        <w:rPr/>
      </w:pPr>
      <w:r>
        <w:rPr>
          <w:rFonts w:eastAsia="Georgia" w:cs="Georgia"/>
          <w:sz w:val="24"/>
          <w:szCs w:val="24"/>
        </w:rPr>
        <w:t xml:space="preserve">The Pontifical Biblical Commission (1909), in its decree </w:t>
      </w:r>
      <w:r>
        <w:rPr>
          <w:rFonts w:eastAsia="Georgia" w:cs="Georgia"/>
          <w:i/>
          <w:iCs/>
          <w:sz w:val="24"/>
          <w:szCs w:val="24"/>
        </w:rPr>
        <w:t>De charactere historico trium priorum capitum Geneseos</w:t>
      </w:r>
      <w:r>
        <w:rPr>
          <w:rFonts w:eastAsia="Georgia" w:cs="Georgia"/>
          <w:sz w:val="24"/>
          <w:szCs w:val="24"/>
        </w:rPr>
        <w:t xml:space="preserve">, was asked (Question VIII): “In the designation and distinction of the six days mentioned in the first chapter of Genesis may the word </w:t>
      </w:r>
      <w:r>
        <w:rPr>
          <w:rFonts w:eastAsia="Georgia" w:cs="Georgia"/>
          <w:i/>
          <w:iCs/>
          <w:sz w:val="24"/>
          <w:szCs w:val="24"/>
        </w:rPr>
        <w:t>yom</w:t>
      </w:r>
      <w:r>
        <w:rPr>
          <w:rFonts w:eastAsia="Georgia" w:cs="Georgia"/>
          <w:sz w:val="24"/>
          <w:szCs w:val="24"/>
        </w:rPr>
        <w:t xml:space="preserve"> (day) be taken either in the literal sense for the natural day or in an applied sense for a certain space of time, and may this question be the subject of free discussion among exegetes?” The Commission answered: “In the affirmative.” The same Commission affirmed (Question VII) that the sacred author did not intend “to give scientific teaching about the internal constitution of visible things” but rather “a popular notion in accord with the current speech of the time.” And (Question VI) that “provided that the literal and historical sense is presupposed,” passages “may wisely and profitably be interpreted in an allegorical and prophetical sense, in the light of the example of the holy Fathers and of the Church itself.”</w:t>
      </w:r>
    </w:p>
    <w:p>
      <w:pPr>
        <w:pStyle w:val="Normal"/>
        <w:bidi w:val="0"/>
        <w:spacing w:lineRule="exact" w:line="276" w:before="0" w:after="200"/>
        <w:jc w:val="start"/>
        <w:rPr/>
      </w:pPr>
      <w:r>
        <w:rPr>
          <w:rFonts w:eastAsia="Georgia" w:cs="Georgia"/>
          <w:sz w:val="24"/>
          <w:szCs w:val="24"/>
        </w:rPr>
        <w:t>In 1948, the Pontifical Biblical Commission sent a letter to Cardinal Suhard of Paris, effectively clarifying the scope of its 1909 responses: “These literary forms do not correspond exactly with any classical category” and the “historicity can neither be denied nor affirmed simply.”</w:t>
      </w:r>
      <w:r>
        <w:rPr>
          <w:rStyle w:val="FootnoteReference"/>
        </w:rPr>
        <w:footnoteReference w:id="24"/>
      </w:r>
      <w:r>
        <w:rPr>
          <w:rFonts w:eastAsia="Georgia" w:cs="Georgia"/>
          <w:sz w:val="24"/>
          <w:szCs w:val="24"/>
        </w:rPr>
        <w:t xml:space="preserve"> Pope Pius XII, in </w:t>
      </w:r>
      <w:hyperlink r:id="rId41">
        <w:r>
          <w:rPr>
            <w:rStyle w:val="ListLabel10"/>
            <w:rFonts w:eastAsia="Georgia" w:cs="Georgia"/>
            <w:i/>
            <w:iCs/>
            <w:color w:val="0563C1"/>
            <w:sz w:val="24"/>
            <w:szCs w:val="24"/>
            <w:u w:val="single"/>
          </w:rPr>
          <w:t>Humani Generis</w:t>
        </w:r>
      </w:hyperlink>
      <w:r>
        <w:rPr>
          <w:rFonts w:eastAsia="Georgia" w:cs="Georgia"/>
          <w:sz w:val="24"/>
          <w:szCs w:val="24"/>
        </w:rPr>
        <w:t xml:space="preserve"> (1950), </w:t>
      </w:r>
      <w:hyperlink r:id="rId42">
        <w:r>
          <w:rPr>
            <w:rStyle w:val="ListLabel12"/>
            <w:rFonts w:eastAsia="Georgia" w:cs="Georgia"/>
            <w:color w:val="0563C1"/>
            <w:sz w:val="24"/>
            <w:szCs w:val="24"/>
            <w:u w:val="single"/>
          </w:rPr>
          <w:t>§36</w:t>
        </w:r>
      </w:hyperlink>
      <w:r>
        <w:rPr>
          <w:rFonts w:eastAsia="Georgia" w:cs="Georgia"/>
          <w:sz w:val="24"/>
          <w:szCs w:val="24"/>
        </w:rPr>
        <w:t>, explicitly permitted Catholics to investigate evolution as it pertains to the human body.</w:t>
      </w:r>
      <w:r>
        <w:rPr>
          <w:rStyle w:val="FootnoteReference"/>
        </w:rPr>
        <w:footnoteReference w:id="25"/>
      </w:r>
      <w:r>
        <w:rPr>
          <w:rFonts w:eastAsia="Georgia" w:cs="Georgia"/>
          <w:sz w:val="24"/>
          <w:szCs w:val="24"/>
        </w:rPr>
        <w:t xml:space="preserve"> The International Theological Commission, in its 2004 document “Communion and Stewardship,” approved by the Congregation for the Doctrine of the Faith (then headed by Cardinal Ratzinger), stated that “the story of human origins is complex and subject to revision.”</w:t>
      </w:r>
      <w:r>
        <w:rPr>
          <w:rStyle w:val="FootnoteReference"/>
        </w:rPr>
        <w:footnoteReference w:id="26"/>
      </w:r>
    </w:p>
    <w:p>
      <w:pPr>
        <w:pStyle w:val="Normal"/>
        <w:bidi w:val="0"/>
        <w:spacing w:lineRule="exact" w:line="276" w:before="0" w:after="200"/>
        <w:jc w:val="start"/>
        <w:rPr/>
      </w:pPr>
      <w:r>
        <w:rPr>
          <w:rFonts w:eastAsia="Georgia" w:cs="Georgia"/>
          <w:sz w:val="24"/>
          <w:szCs w:val="24"/>
        </w:rPr>
        <w:t xml:space="preserve">Saint Augustine, in </w:t>
      </w:r>
      <w:hyperlink r:id="rId43">
        <w:r>
          <w:rPr>
            <w:rStyle w:val="ListLabel10"/>
            <w:rFonts w:eastAsia="Georgia" w:cs="Georgia"/>
            <w:i/>
            <w:iCs/>
            <w:color w:val="0563C1"/>
            <w:sz w:val="24"/>
            <w:szCs w:val="24"/>
            <w:u w:val="single"/>
          </w:rPr>
          <w:t>De Genesi ad Litteram</w:t>
        </w:r>
      </w:hyperlink>
      <w:r>
        <w:rPr>
          <w:rFonts w:eastAsia="Georgia" w:cs="Georgia"/>
          <w:sz w:val="24"/>
          <w:szCs w:val="24"/>
        </w:rPr>
        <w:t xml:space="preserve"> (circa 415 AD), argued that the “days” of Genesis were not ordinary days but a literary framework whose actual duration was unknown—and was not condemned for this view. The Pontifical Academy of Sciences, established by Pope Pius XI in 1936, operates on the assumption of deep time and modern cosmology. Cardinal Paul Poupard, then President of the Pontifical Council for Culture, stated that “the faithful have the obligation to listen to that which secular modern science has to offer,” warning of “the dangers of a religion that severs its links with reason.”</w:t>
      </w:r>
    </w:p>
    <w:p>
      <w:pPr>
        <w:pStyle w:val="Normal"/>
        <w:bidi w:val="0"/>
        <w:spacing w:lineRule="exact" w:line="276" w:before="0" w:after="200"/>
        <w:jc w:val="start"/>
        <w:rPr/>
      </w:pPr>
      <w:r>
        <w:rPr>
          <w:rFonts w:eastAsia="Georgia" w:cs="Georgia"/>
          <w:sz w:val="24"/>
          <w:szCs w:val="24"/>
        </w:rPr>
        <w:t xml:space="preserve">None of the </w:t>
      </w:r>
      <w:r>
        <w:rPr>
          <w:rFonts w:eastAsia="Georgia" w:cs="Georgia"/>
          <w:i/>
          <w:iCs/>
          <w:sz w:val="24"/>
          <w:szCs w:val="24"/>
        </w:rPr>
        <w:t>de fide</w:t>
      </w:r>
      <w:r>
        <w:rPr>
          <w:rFonts w:eastAsia="Georgia" w:cs="Georgia"/>
          <w:sz w:val="24"/>
          <w:szCs w:val="24"/>
        </w:rPr>
        <w:t xml:space="preserve"> requirements listed above specify an age for the earth. None require six literal days. None prohibit deep time. The question of the earth’s age is, in Catholic theology, an open question—and the convergence of evidence from physics, chemistry, geology, astronomy, and biology points to a universe approximately 13.8 billion years old and an earth approximately 4.5 billion years old.</w:t>
      </w:r>
    </w:p>
    <w:p>
      <w:pPr>
        <w:pStyle w:val="Heading2"/>
        <w:bidi w:val="0"/>
        <w:spacing w:before="280" w:after="160"/>
        <w:jc w:val="start"/>
        <w:rPr/>
      </w:pPr>
      <w:r>
        <w:rPr/>
        <w:t>A Word to Young Earth Believers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document does not aim to mock or dismiss those who hold to a young earth. The arguments outlined above are real arguments, held by serious people, and the instinct behind them—that Scripture should be taken seriously, that God’s Word should not be subordinated to human theories—is a sound instinct that the Catholic tradition shares. The disagreement is not over whether Scripture is authoritative. It is over what Scripture is actually saying in its opening chapters, and whether the figurative language the Catechism acknowledges in those chapters extends to their chronological framework.</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Our framework requires deep time. The rest of this document will show why that deep time, far from diminishing God or undermining Scripture, reveals a Creator whose patience, craftsmanship, and foresight are written in every star that burns, every element that forms, every hominid lineage that unfolds toward the moment when God breathes a rational soul into the dust of the ground—dust that He spent 13.8 billion years preparing.</w:t>
      </w:r>
    </w:p>
    <w:p>
      <w:pPr>
        <w:pStyle w:val="Normal"/>
        <w:bidi w:val="0"/>
        <w:jc w:val="start"/>
        <w:rPr/>
      </w:pPr>
      <w:r>
        <w:rPr/>
      </w:r>
      <w:r>
        <w:br w:type="page"/>
      </w:r>
    </w:p>
    <w:p>
      <w:pPr>
        <w:pStyle w:val="Heading1"/>
        <w:bidi w:val="0"/>
        <w:spacing w:before="0" w:after="200"/>
        <w:jc w:val="start"/>
        <w:rPr/>
      </w:pPr>
      <w:r>
        <w:rPr/>
        <w:t>Chapter 4: Existing Models—Their Strengths and Limitations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Before presenting our synthesis, it is worth surveying the major models that Catholic thinkers have proposed to reconcile Adam and Eve with modern science. Each has real strengths. Each also has significant weaknesses that our framework attempts to address.</w:t>
      </w:r>
    </w:p>
    <w:p>
      <w:pPr>
        <w:pStyle w:val="Heading2"/>
        <w:bidi w:val="0"/>
        <w:spacing w:before="280" w:after="160"/>
        <w:jc w:val="start"/>
        <w:rPr/>
      </w:pPr>
      <w:r>
        <w:rPr/>
        <w:t>The Swamidass Model: The Genealogical Adam and Eve</w:t>
      </w:r>
    </w:p>
    <w:p>
      <w:pPr>
        <w:pStyle w:val="Normal"/>
        <w:bidi w:val="0"/>
        <w:spacing w:lineRule="exact" w:line="276" w:before="0" w:after="200"/>
        <w:jc w:val="start"/>
        <w:rPr/>
      </w:pPr>
      <w:r>
        <w:rPr>
          <w:rFonts w:eastAsia="Georgia" w:cs="Georgia"/>
          <w:sz w:val="24"/>
          <w:szCs w:val="24"/>
        </w:rPr>
        <w:t xml:space="preserve">S. Joshua Swamidass, a computational biologist at Washington University in St. Louis, published </w:t>
      </w:r>
      <w:r>
        <w:rPr>
          <w:rFonts w:eastAsia="Georgia" w:cs="Georgia"/>
          <w:i/>
          <w:iCs/>
          <w:sz w:val="24"/>
          <w:szCs w:val="24"/>
        </w:rPr>
        <w:t>The Genealogical Adam and Eve</w:t>
      </w:r>
      <w:r>
        <w:rPr>
          <w:rFonts w:eastAsia="Georgia" w:cs="Georgia"/>
          <w:sz w:val="24"/>
          <w:szCs w:val="24"/>
        </w:rPr>
        <w:t xml:space="preserve"> in 2019.</w:t>
      </w:r>
      <w:r>
        <w:rPr>
          <w:rStyle w:val="FootnoteReference"/>
        </w:rPr>
        <w:footnoteReference w:id="27"/>
      </w:r>
      <w:r>
        <w:rPr>
          <w:rFonts w:eastAsia="Georgia" w:cs="Georgia"/>
          <w:sz w:val="24"/>
          <w:szCs w:val="24"/>
        </w:rPr>
        <w:t xml:space="preserve"> His central insight is powerful: genealogical ancestry and genetic ancestry are different things. You have exponentially more genealogical ancestors than genetic ancestors—you may share no DNA (deoxyribonucleic acid, the molecule that carries genetic instructions in all living organisms) with many of your ancestors just a few hundred years back, but they are still your ancestors. Swamidass demonstrated mathematically that a single couple living in the Middle East as recently as six thousand to ten thousand years ago could become the genealogical ancestors of every human on earth by approximately 1 AD.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strength of this model is that it sidesteps the genetic diversity problem entirely. Adam and Eve are placed alongside an already-existing evolved human population. Their descendants interbreed with everyone else. The genetic diversity was already in the broader population; only the genealogical origin traces back to two individuals.</w:t>
      </w:r>
    </w:p>
    <w:p>
      <w:pPr>
        <w:pStyle w:val="Normal"/>
        <w:bidi w:val="0"/>
        <w:spacing w:lineRule="exact" w:line="276" w:before="0" w:after="200"/>
        <w:jc w:val="start"/>
        <w:rPr/>
      </w:pPr>
      <w:r>
        <w:rPr>
          <w:rFonts w:eastAsia="Georgia" w:cs="Georgia"/>
          <w:sz w:val="24"/>
          <w:szCs w:val="24"/>
        </w:rPr>
        <w:t xml:space="preserve">The weakness, for Catholic purposes, is significant. Swamidass’s model requires the existence of fully human beings who are not descended from Adam and Eve—at least initially. This is difficult to reconcile with the Catholic requirement (expressed in </w:t>
      </w:r>
      <w:hyperlink r:id="rId44">
        <w:r>
          <w:rPr>
            <w:rStyle w:val="ListLabel10"/>
            <w:rFonts w:eastAsia="Georgia" w:cs="Georgia"/>
            <w:i/>
            <w:iCs/>
            <w:color w:val="0563C1"/>
            <w:sz w:val="24"/>
            <w:szCs w:val="24"/>
            <w:u w:val="single"/>
          </w:rPr>
          <w:t>Humani Generis</w:t>
        </w:r>
      </w:hyperlink>
      <w:r>
        <w:rPr>
          <w:rFonts w:eastAsia="Georgia" w:cs="Georgia"/>
          <w:sz w:val="24"/>
          <w:szCs w:val="24"/>
        </w:rPr>
        <w:t>) that all true humans descend from Adam. It also raises the question of the moral and spiritual status of these non-Adamic humans. Do they have souls? Do they bear original sin? Swamidass himself acknowledges this as a theological question his model does not resolve.</w:t>
      </w:r>
    </w:p>
    <w:p>
      <w:pPr>
        <w:pStyle w:val="Heading2"/>
        <w:bidi w:val="0"/>
        <w:spacing w:before="280" w:after="160"/>
        <w:jc w:val="start"/>
        <w:rPr/>
      </w:pPr>
      <w:r>
        <w:rPr/>
        <w:t>The Kemp Model: Theological Monogenism (One Original Pair) Within Biological Polygenism (Multiple Lineages)</w:t>
      </w:r>
    </w:p>
    <w:p>
      <w:pPr>
        <w:pStyle w:val="Normal"/>
        <w:bidi w:val="0"/>
        <w:spacing w:lineRule="exact" w:line="276" w:before="0" w:after="200"/>
        <w:jc w:val="start"/>
        <w:rPr/>
      </w:pPr>
      <w:r>
        <w:rPr>
          <w:rFonts w:eastAsia="Georgia" w:cs="Georgia"/>
          <w:sz w:val="24"/>
          <w:szCs w:val="24"/>
        </w:rPr>
        <w:t xml:space="preserve">Kenneth Kemp, a philosopher at the University of St. Thomas, published an influential 2011 paper in the </w:t>
      </w:r>
      <w:r>
        <w:rPr>
          <w:rFonts w:eastAsia="Georgia" w:cs="Georgia"/>
          <w:i/>
          <w:iCs/>
          <w:sz w:val="24"/>
          <w:szCs w:val="24"/>
        </w:rPr>
        <w:t>American Catholic Philosophical Quarterly</w:t>
      </w:r>
      <w:r>
        <w:rPr>
          <w:rFonts w:eastAsia="Georgia" w:cs="Georgia"/>
          <w:sz w:val="24"/>
          <w:szCs w:val="24"/>
        </w:rPr>
        <w:t xml:space="preserve"> proposing what he calls a distinction between “biological humans” and “theological humans.”</w:t>
      </w:r>
      <w:r>
        <w:rPr>
          <w:rStyle w:val="FootnoteReference"/>
        </w:rPr>
        <w:footnoteReference w:id="28"/>
      </w:r>
      <w:r>
        <w:rPr>
          <w:rFonts w:eastAsia="Georgia" w:cs="Georgia"/>
          <w:sz w:val="24"/>
          <w:szCs w:val="24"/>
        </w:rPr>
        <w:t xml:space="preserve"> In his model, God selects two individuals from an existing population of biologically human hominids and endows them with rational souls, making them the first “theological humans.” Their descendants interbreed with the biologically human but not-yet-ensouled population, and God grants rational souls to all offspring of ensouled beings. Over time, every living hominid has Adam and Eve among their ancestors and possesses a rational soul.</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Kemp’s model is elegant and has been widely discussed. It preserves strict monogenism in the theological sense—every truly human being descends from Adam and Eve—while accepting the genetic evidence for a larger ancestral population. The International Theological Commission’s 2004 language about human emergence “whether as individuals or in populations” seems to leave room for exactly this kind of model.</w:t>
      </w:r>
    </w:p>
    <w:p>
      <w:pPr>
        <w:pStyle w:val="Normal"/>
        <w:bidi w:val="0"/>
        <w:spacing w:lineRule="exact" w:line="276" w:before="0" w:after="200"/>
        <w:jc w:val="start"/>
        <w:rPr/>
      </w:pPr>
      <w:r>
        <w:rPr>
          <w:rFonts w:eastAsia="Georgia" w:cs="Georgia"/>
          <w:sz w:val="24"/>
          <w:szCs w:val="24"/>
        </w:rPr>
        <w:t xml:space="preserve">The weakness is the one that strikes most people immediately: the “soulless twin” problem. In Kemp’s model, the beings surrounding Adam and Eve are </w:t>
      </w:r>
      <w:r>
        <w:rPr>
          <w:rFonts w:eastAsia="Georgia" w:cs="Georgia"/>
          <w:i/>
          <w:iCs/>
          <w:sz w:val="24"/>
          <w:szCs w:val="24"/>
        </w:rPr>
        <w:t>biologically identical</w:t>
      </w:r>
      <w:r>
        <w:rPr>
          <w:rFonts w:eastAsia="Georgia" w:cs="Georgia"/>
          <w:sz w:val="24"/>
          <w:szCs w:val="24"/>
        </w:rPr>
        <w:t xml:space="preserve"> to them. They look the same, act the same, and presumably suffer the same. The only difference is an invisible metaphysical property—the rational soul. Calling biologically identical beings “non-human” solely on the basis of an undetectable spiritual quality is philosophically uncomfortable and scientifically meaningless. As one of Kemp’s critics pointed out, if these beings are not rational, they should not be called “biologically human” at all—but if they are indistinguishable from humans in every observable way, the distinction feels arbitrary.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There is also the moral problem. Dennis Bonnette, a Catholic philosopher at Niagara University, has argued that interbreeding between ensouled humans and non-ensouled hominids constitutes bestiality—“a grossly perverse use of the sexual faculties” and “the worst of the unnatural sexual sins.” While defenders of the Kemp model (including Thomist philosopher Edward Feser) have pushed back on this characterization, the objection has force. If these beings are truly non-rational animals, mating with them is a grave moral disorder, regardless of their physical appearance.</w:t>
      </w:r>
    </w:p>
    <w:p>
      <w:pPr>
        <w:pStyle w:val="Heading2"/>
        <w:bidi w:val="0"/>
        <w:spacing w:before="280" w:after="160"/>
        <w:jc w:val="start"/>
        <w:rPr/>
      </w:pPr>
      <w:r>
        <w:rPr/>
        <w:t>The Craig/Bonnette Model: Pushing Adam Deep Into the Past</w:t>
      </w:r>
    </w:p>
    <w:p>
      <w:pPr>
        <w:pStyle w:val="Normal"/>
        <w:bidi w:val="0"/>
        <w:spacing w:lineRule="exact" w:line="276" w:before="0" w:after="200"/>
        <w:jc w:val="start"/>
        <w:rPr/>
      </w:pPr>
      <w:r>
        <w:rPr>
          <w:rFonts w:eastAsia="Georgia" w:cs="Georgia"/>
          <w:sz w:val="24"/>
          <w:szCs w:val="24"/>
        </w:rPr>
        <w:t xml:space="preserve">William Lane Craig, in his 2021 book </w:t>
      </w:r>
      <w:r>
        <w:rPr>
          <w:rFonts w:eastAsia="Georgia" w:cs="Georgia"/>
          <w:i/>
          <w:iCs/>
          <w:sz w:val="24"/>
          <w:szCs w:val="24"/>
        </w:rPr>
        <w:t>In Quest of the Historical Adam</w:t>
      </w:r>
      <w:r>
        <w:rPr>
          <w:rFonts w:eastAsia="Georgia" w:cs="Georgia"/>
          <w:sz w:val="24"/>
          <w:szCs w:val="24"/>
        </w:rPr>
        <w:t>, and Dennis Bonnette in several articles,</w:t>
      </w:r>
      <w:r>
        <w:rPr>
          <w:rStyle w:val="FootnoteReference"/>
        </w:rPr>
        <w:footnoteReference w:id="29"/>
      </w:r>
      <w:r>
        <w:rPr>
          <w:rStyle w:val="FootnoteReference"/>
        </w:rPr>
        <w:footnoteReference w:id="30"/>
      </w:r>
      <w:r>
        <w:rPr>
          <w:rFonts w:eastAsia="Georgia" w:cs="Georgia"/>
          <w:sz w:val="24"/>
          <w:szCs w:val="24"/>
        </w:rPr>
        <w:t xml:space="preserve"> have argued that the genetic diversity problem can be resolved by placing Adam and Eve very deep in the past—perhaps 500,000 years ago or even one million years ago. At these timescales, they argue, normal population growth and genetic drift (the random changes in gene frequency that occur in small populations over time) from a single pair could generate the diversity we observe, and no interbreeding with non-human hominids is required.</w:t>
      </w:r>
    </w:p>
    <w:p>
      <w:pPr>
        <w:pStyle w:val="Normal"/>
        <w:bidi w:val="0"/>
        <w:spacing w:lineRule="exact" w:line="276" w:before="0" w:after="200"/>
        <w:jc w:val="start"/>
        <w:rPr/>
      </w:pPr>
      <w:r>
        <w:rPr>
          <w:rFonts w:eastAsia="Georgia" w:cs="Georgia"/>
          <w:sz w:val="24"/>
          <w:szCs w:val="24"/>
        </w:rPr>
        <w:t xml:space="preserve">Craig specifically proposes that Adam and Eve may have been </w:t>
      </w:r>
      <w:r>
        <w:rPr>
          <w:rFonts w:eastAsia="Georgia" w:cs="Georgia"/>
          <w:i/>
          <w:iCs/>
          <w:sz w:val="24"/>
          <w:szCs w:val="24"/>
        </w:rPr>
        <w:t>Homo heidelbergensis</w:t>
      </w:r>
      <w:r>
        <w:rPr>
          <w:rFonts w:eastAsia="Georgia" w:cs="Georgia"/>
          <w:sz w:val="24"/>
          <w:szCs w:val="24"/>
        </w:rPr>
        <w:t>—the species generally considered the last common ancestor of modern humans, Neanderthals, and Denisovans. This would make all subsequent hominid groups descendants of Adam, neatly accounting for the fossil record.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strength of this model is its simplicity and its theological cleanliness. There are no soulless near-humans, no bestiality problem, no complicated interbreeding scenarios. Adam and Eve are the first and only humans, period.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Until recently, the perceived weakness was genetic. Population geneticists argued that the allelic diversity patterns in the human genome—particularly in the HLA immune system genes—could not be explained by descent from two individuals at any point in human history. However, as Chapter 11 will show in detail, recent research (2022–2025) has substantially weakened this objection. Computational biologist S. Joshua Swamidass and population geneticist Richard Buggs have shown that a two-person bottleneck older than approximately 500,000 years ago is undetectable in current genomic data, and studies of gene conversion and coalescence-time inflation have demonstrated that the apparent antiquity of HLA lineages has been significantly overstated. Craig’s instinct to push Adam deep into the past turns out to have been prescient.</w:t>
      </w:r>
    </w:p>
    <w:p>
      <w:pPr>
        <w:pStyle w:val="Heading2"/>
        <w:bidi w:val="0"/>
        <w:spacing w:before="280" w:after="160"/>
        <w:jc w:val="start"/>
        <w:rPr/>
      </w:pPr>
      <w:r>
        <w:rPr/>
        <w:t>The Suarez Variation: Mass Ensoulment at the Fall</w:t>
      </w:r>
    </w:p>
    <w:p>
      <w:pPr>
        <w:pStyle w:val="Normal"/>
        <w:bidi w:val="0"/>
        <w:spacing w:lineRule="exact" w:line="276" w:before="0" w:after="200"/>
        <w:jc w:val="start"/>
        <w:rPr/>
      </w:pPr>
      <w:r>
        <w:rPr>
          <w:rFonts w:eastAsia="Georgia" w:cs="Georgia"/>
          <w:sz w:val="24"/>
          <w:szCs w:val="24"/>
        </w:rPr>
        <w:t>Antoine Suarez, a physicist and philosopher, has proposed a variation in which God ensouled Adam and Eve as the first rational humans, and then, at the moment of the Fall, simultaneously raised all non-rational biological humans to the status of rational beings. This avoids the interbreeding problem entirely—everyone becomes human at the same moment—but it creates its own theological difficulty: original sin would need to spread instantaneously to beings who did not commit it and were not descended from those who did, which is hard to square with the Catholic doctrine that original sin is transmitted “through generation” (</w:t>
      </w:r>
      <w:hyperlink r:id="rId45">
        <w:r>
          <w:rPr>
            <w:rStyle w:val="ListLabel12"/>
            <w:rFonts w:eastAsia="Georgia" w:cs="Georgia"/>
            <w:color w:val="0563C1"/>
            <w:sz w:val="24"/>
            <w:szCs w:val="24"/>
            <w:u w:val="single"/>
          </w:rPr>
          <w:t>Council of Trent, Session V</w:t>
        </w:r>
      </w:hyperlink>
      <w:r>
        <w:rPr>
          <w:rFonts w:eastAsia="Georgia" w:cs="Georgia"/>
          <w:sz w:val="24"/>
          <w:szCs w:val="24"/>
        </w:rPr>
        <w:t>).</w:t>
      </w:r>
    </w:p>
    <w:p>
      <w:pPr>
        <w:pStyle w:val="Heading2"/>
        <w:bidi w:val="0"/>
        <w:spacing w:before="280" w:after="160"/>
        <w:jc w:val="start"/>
        <w:rPr/>
      </w:pPr>
      <w:r>
        <w:rPr/>
        <w:t>Required vs. Open: What the Church Demands of Any Model</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Any Catholic model of human origins must affirm that Adam and Eve were real, historical individuals—not symbols, not a “certain number of first parents” (</w:t>
      </w:r>
      <w:hyperlink r:id="rId46">
        <w:r>
          <w:rPr>
            <w:rStyle w:val="ListLabel10"/>
            <w:rFonts w:eastAsia="Georgia" w:cs="Georgia"/>
            <w:i/>
            <w:iCs/>
            <w:color w:val="0563C1"/>
            <w:sz w:val="24"/>
            <w:szCs w:val="24"/>
            <w:u w:val="single"/>
          </w:rPr>
          <w:t>Humani Generis</w:t>
        </w:r>
      </w:hyperlink>
      <w:hyperlink r:id="rId47">
        <w:r>
          <w:rPr>
            <w:rStyle w:val="ListLabel12"/>
            <w:rFonts w:eastAsia="Georgia" w:cs="Georgia"/>
            <w:color w:val="0563C1"/>
            <w:sz w:val="24"/>
            <w:szCs w:val="24"/>
            <w:u w:val="single"/>
          </w:rPr>
          <w:t>, §37</w:t>
        </w:r>
      </w:hyperlink>
      <w:r>
        <w:rPr>
          <w:rFonts w:eastAsia="Georgia" w:cs="Georgia"/>
          <w:sz w:val="24"/>
          <w:szCs w:val="24"/>
        </w:rPr>
        <w:t>). All true humans must descend from them biologically. Original sin must be transmitted through generation, not imitation (</w:t>
      </w:r>
      <w:hyperlink r:id="rId48">
        <w:r>
          <w:rPr>
            <w:rStyle w:val="ListLabel12"/>
            <w:rFonts w:eastAsia="Georgia" w:cs="Georgia"/>
            <w:color w:val="0563C1"/>
            <w:sz w:val="24"/>
            <w:szCs w:val="24"/>
            <w:u w:val="single"/>
          </w:rPr>
          <w:t>Council of Trent, Session V</w:t>
        </w:r>
      </w:hyperlink>
      <w:r>
        <w:rPr>
          <w:rFonts w:eastAsia="Georgia" w:cs="Georgia"/>
          <w:sz w:val="24"/>
          <w:szCs w:val="24"/>
        </w:rPr>
        <w:t>). The human soul must be directly created by God in each individual (</w:t>
      </w:r>
      <w:hyperlink r:id="rId49">
        <w:r>
          <w:rPr>
            <w:rStyle w:val="ListLabel12"/>
            <w:rFonts w:eastAsia="Georgia" w:cs="Georgia"/>
            <w:color w:val="0563C1"/>
            <w:sz w:val="24"/>
            <w:szCs w:val="24"/>
            <w:u w:val="single"/>
          </w:rPr>
          <w:t>CCC §366</w:t>
        </w:r>
      </w:hyperlink>
      <w:r>
        <w:rPr>
          <w:rFonts w:eastAsia="Georgia" w:cs="Georgia"/>
          <w:sz w:val="24"/>
          <w:szCs w:val="24"/>
        </w:rPr>
        <w:t>). These are non-negotiable dogmatic commitments. Any model that violates them is not a Catholic option, however scientifically elegant it may be.</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The Church has not endorsed any particular model for how Adam and Eve relate to the broader hominid population. Catholics are free to explore the Swamidass genealogical model, the Kemp biological/theological distinction, the Craig deep-time approach, the Suarez variation, or the synthesis proposed in this document. The precise dating of Adam and Eve, the mechanism by which genetic diversity entered the human lineage, the identity of the “other people” in Genesis, and the exact relationship between ensouled humans and the broader hominid population are all matters of legitimate theological and scientific inquiry. No Catholic is bound to any one answer on these questions.</w:t>
      </w:r>
    </w:p>
    <w:p>
      <w:pPr>
        <w:pStyle w:val="Normal"/>
        <w:bidi w:val="0"/>
        <w:jc w:val="start"/>
        <w:rPr/>
      </w:pPr>
      <w:r>
        <w:rPr/>
      </w:r>
      <w:r>
        <w:br w:type="page"/>
      </w:r>
    </w:p>
    <w:p>
      <w:pPr>
        <w:pStyle w:val="Heading1"/>
        <w:bidi w:val="0"/>
        <w:spacing w:before="0" w:after="200"/>
        <w:jc w:val="start"/>
        <w:rPr/>
      </w:pPr>
      <w:r>
        <w:rPr/>
        <w:t>Chapter 5: Augros and Stanciu—The New Biology and Latent Potential</w:t>
      </w:r>
    </w:p>
    <w:p>
      <w:pPr>
        <w:pStyle w:val="Normal"/>
        <w:bidi w:val="0"/>
        <w:spacing w:lineRule="exact" w:line="276" w:before="0" w:after="200"/>
        <w:jc w:val="start"/>
        <w:rPr/>
      </w:pPr>
      <w:r>
        <w:rPr>
          <w:rFonts w:eastAsia="Georgia" w:cs="Georgia"/>
          <w:sz w:val="24"/>
          <w:szCs w:val="24"/>
        </w:rPr>
        <w:t xml:space="preserve">Before presenting our synthesis, we need one more piece of the puzzle. In 1987, philosopher Robert Augros and physicist George Stanciu published </w:t>
      </w:r>
      <w:r>
        <w:rPr>
          <w:rFonts w:eastAsia="Georgia" w:cs="Georgia"/>
          <w:i/>
          <w:iCs/>
          <w:sz w:val="24"/>
          <w:szCs w:val="24"/>
        </w:rPr>
        <w:t>The New Biology: Discovering the Wisdom in Nature</w:t>
      </w:r>
      <w:r>
        <w:rPr>
          <w:rFonts w:eastAsia="Georgia" w:cs="Georgia"/>
          <w:sz w:val="24"/>
          <w:szCs w:val="24"/>
        </w:rPr>
        <w:t xml:space="preserve">. (The two also co-authored </w:t>
      </w:r>
      <w:r>
        <w:rPr>
          <w:rFonts w:eastAsia="Georgia" w:cs="Georgia"/>
          <w:i/>
          <w:iCs/>
          <w:sz w:val="24"/>
          <w:szCs w:val="24"/>
        </w:rPr>
        <w:t>The New Story of Science</w:t>
      </w:r>
      <w:r>
        <w:rPr>
          <w:rFonts w:eastAsia="Georgia" w:cs="Georgia"/>
          <w:sz w:val="24"/>
          <w:szCs w:val="24"/>
        </w:rPr>
        <w:t>, published by Bantam New Age, from which the title of the current document is partly derived.)</w:t>
      </w:r>
      <w:r>
        <w:rPr>
          <w:rStyle w:val="FootnoteReference"/>
        </w:rPr>
        <w:footnoteReference w:id="31"/>
      </w:r>
      <w:r>
        <w:rPr>
          <w:rFonts w:eastAsia="Georgia" w:cs="Georgia"/>
          <w:sz w:val="24"/>
          <w:szCs w:val="24"/>
        </w:rPr>
        <w:t xml:space="preserve"> Augros holds a doctorate in philosophy from Saint Anselm College; Stanciu has a Ph.D. in theoretical physics and conducted research at Los Alamos National Laboratory.</w:t>
      </w:r>
    </w:p>
    <w:p>
      <w:pPr>
        <w:pStyle w:val="Normal"/>
        <w:bidi w:val="0"/>
        <w:spacing w:lineRule="exact" w:line="276" w:before="0" w:after="200"/>
        <w:jc w:val="start"/>
        <w:rPr/>
      </w:pPr>
      <w:r>
        <w:rPr>
          <w:rFonts w:eastAsia="Georgia" w:cs="Georgia"/>
          <w:sz w:val="24"/>
          <w:szCs w:val="24"/>
        </w:rPr>
        <w:t xml:space="preserve">Their central argument challenges the standard Darwinian account of how new species arise. Rather than new forms emerging gradually through random mutation filtered by natural selection, Augros and Stanciu proposed that organisms carry </w:t>
      </w:r>
      <w:r>
        <w:rPr>
          <w:rFonts w:eastAsia="Georgia" w:cs="Georgia"/>
          <w:i/>
          <w:iCs/>
          <w:sz w:val="24"/>
          <w:szCs w:val="24"/>
        </w:rPr>
        <w:t>latent genetic potential</w:t>
      </w:r>
      <w:r>
        <w:rPr>
          <w:rFonts w:eastAsia="Georgia" w:cs="Georgia"/>
          <w:sz w:val="24"/>
          <w:szCs w:val="24"/>
        </w:rPr>
        <w:t xml:space="preserve"> that unfolds under the right conditions. As they put it, “some process develops new regulatory gene patterns that eventually produce new body plans and hence new species.” In their view, there is an internal genetic mechanism in living things that sometimes causes DNA that is superfluous—not currently being expressed—to be engaged, producing a new species over time.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An analogy may help, though it should not be pressed too far: an acorn contains within itself, invisibly, the full blueprint for an oak tree—roots, trunk, branches, leaves, acorns of its own. No new information is added from outside; the oak unfolds from what was already present. Augros and Stanciu suggest something analogous operates in the genome: the entire diversity of biological form is present in potential from the beginning and unfolds over time, rather than being generated from scratch by random mutation. This is a philosophical and biological proposal, not yet a scientific consensus, but it resonates with discoveries in evo-devo that reveal deep genetic conservation across vastly different organisms.</w:t>
      </w:r>
    </w:p>
    <w:p>
      <w:pPr>
        <w:pStyle w:val="Heading2"/>
        <w:bidi w:val="0"/>
        <w:spacing w:before="280" w:after="160"/>
        <w:jc w:val="start"/>
        <w:rPr/>
      </w:pPr>
      <w:r>
        <w:rPr/>
        <w:t>The Unfolding from the Big Bang</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To appreciate the full scope of the Augros/Stanciu insight, it helps to trace the unfolding from the very beginning. If latent potential is built into creation from its first instant, then the entire history of the universe can be read as a single, continuous act of unfolding—from the simplest possible state to the most complex beings in the cosmos. What follows is that story, told in stages.</w:t>
      </w:r>
    </w:p>
    <w:p>
      <w:pPr>
        <w:pStyle w:val="Heading3"/>
        <w:bidi w:val="0"/>
        <w:spacing w:before="240" w:after="120"/>
        <w:jc w:val="start"/>
        <w:rPr/>
      </w:pPr>
      <w:r>
        <w:rPr/>
        <w:t>Stage One: The First Moments (0 to 380,000 Years)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At the instant of the Big Bang—13.8 billion years ago—all matter, energy, space, and time come into existence. (A note on the scientific consensus: the standard model of cosmology holds that there was one Big Bang. Alternative models—Roger Penrose’s Conformal Cyclic Cosmology and Paul Steinhardt’s cyclic/bouncing cosmology—propose that the universe may undergo repeated cycles, but these remain minority positions. The 2024–2025 DESI data hinting that dark energy may be weakening has generated renewed interest in cyclic models, but the single-Big-Bang model remains the dominant scientific framework.) In the first fractions of a second, the four fundamental forces (gravity, electromagnetism, the strong nuclear force, and the weak nuclear force) separate from what physicists believe was a single unified force. Quarks form and combine into protons and neutrons. Within the first three minutes, a process called Big Bang nucleosynthesis—confirmed by decades of observation and laboratory nuclear physics—produces the lightest elements: roughly 75% hydrogen, 25% helium, and trace amounts of lithium and deuterium. These ratios are among the most precisely confirmed predictions in all of cosmology. Nothing heavier exists yet. No carbon, no oxygen, no iron—none of the elements necessary for life or for solid planets.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For the next 380,000 years, the universe is a hot, opaque plasma. Then it cools enough for electrons to combine with nuclei, forming the first neutral atoms. Light breaks free. That light—stretched by 13.8 billion years of cosmic expansion—is still detectable today as the cosmic microwave background radiation, the oldest observable signal in the universe. At this stage, the universe contains nothing but gas and radiation. Yet everything that will follow—stars, planets, oceans, cells, consciousness—is latent in the physical constants and laws governing this primordial simplicity.</w:t>
      </w:r>
    </w:p>
    <w:p>
      <w:pPr>
        <w:pStyle w:val="Heading3"/>
        <w:bidi w:val="0"/>
        <w:spacing w:before="240" w:after="120"/>
        <w:jc w:val="start"/>
        <w:rPr/>
      </w:pPr>
      <w:r>
        <w:rPr/>
        <w:t>Stage Two: The First Stars and Stellar Nucleosynthesis (200 Million to 1 Billion Years)</w:t>
      </w:r>
    </w:p>
    <w:p>
      <w:pPr>
        <w:pStyle w:val="Normal"/>
        <w:bidi w:val="0"/>
        <w:spacing w:lineRule="exact" w:line="276" w:before="0" w:after="200"/>
        <w:jc w:val="start"/>
        <w:rPr/>
      </w:pPr>
      <w:r>
        <w:rPr>
          <w:rFonts w:eastAsia="Georgia" w:cs="Georgia"/>
          <w:sz w:val="24"/>
          <w:szCs w:val="24"/>
        </w:rPr>
        <w:t xml:space="preserve">Gravity draws hydrogen and helium into increasingly dense clouds. Roughly 200 million years after the Big Bang, the first stars ignite. Theoretical models predict these “Population III” stars were massive—possibly hundreds of times the mass of our sun—and burned hot and fast. As of 2025, no Population III star has been definitively confirmed by observation, though the James Webb Space Telescope has identified a strong candidate in the galaxy LAP1-B (Visbal et al., </w:t>
      </w:r>
      <w:r>
        <w:rPr>
          <w:rFonts w:eastAsia="Georgia" w:cs="Georgia"/>
          <w:i/>
          <w:iCs/>
          <w:sz w:val="24"/>
          <w:szCs w:val="24"/>
        </w:rPr>
        <w:t>The Astrophysical Journal Letters</w:t>
      </w:r>
      <w:r>
        <w:rPr>
          <w:rFonts w:eastAsia="Georgia" w:cs="Georgia"/>
          <w:sz w:val="24"/>
          <w:szCs w:val="24"/>
        </w:rPr>
        <w:t>, 2025), seen as it was just 800 million years after the Big Bang. In the cores of massive stars, nuclear fusion builds heavier elements through a well-established process called stellar nucleosynthesis: hydrogen fuses into helium, helium into carbon, carbon into oxygen, oxygen into neon, neon into silicon, and silicon into iron. Iron is the end of the line for exothermic fusion—fusing iron absorbs energy rather than releasing it. This fusion chain is confirmed by spectroscopic observations of stellar atmospheres and by laboratory nuclear physics.</w:t>
      </w:r>
    </w:p>
    <w:p>
      <w:pPr>
        <w:pStyle w:val="Normal"/>
        <w:bidi w:val="0"/>
        <w:spacing w:lineRule="exact" w:line="276" w:before="0" w:after="200"/>
        <w:jc w:val="start"/>
        <w:rPr/>
      </w:pPr>
      <w:r>
        <w:rPr>
          <w:rFonts w:eastAsia="Georgia" w:cs="Georgia"/>
          <w:sz w:val="24"/>
          <w:szCs w:val="24"/>
        </w:rPr>
        <w:t xml:space="preserve">When these massive stars exhaust their fuel, they collapse and explode as supernovae. The explosion generates temperatures and pressures extreme enough to forge some elements heavier than iron through the rapid neutron-capture process (r-process). The explosion scatters these newly created elements into the surrounding space, enriching the interstellar medium with the raw materials for a second generation of stars and, crucially, for rocky planets. However, supernovae are not the only source of heavy elements. In 2017, the LIGO and Virgo gravitational-wave detectors observed the merger of two neutron stars (event GW170817), and the electromagnetic afterglow—called a kilonova—confirmed that neutron star mergers are a major, perhaps dominant, source of the heaviest r-process elements: gold, platinum, and uranium among them (Pian et al., </w:t>
      </w:r>
      <w:r>
        <w:rPr>
          <w:rFonts w:eastAsia="Georgia" w:cs="Georgia"/>
          <w:i/>
          <w:iCs/>
          <w:sz w:val="24"/>
          <w:szCs w:val="24"/>
        </w:rPr>
        <w:t>Nature</w:t>
      </w:r>
      <w:r>
        <w:rPr>
          <w:rFonts w:eastAsia="Georgia" w:cs="Georgia"/>
          <w:sz w:val="24"/>
          <w:szCs w:val="24"/>
        </w:rPr>
        <w:t xml:space="preserve">, 2017; Kasen et al., </w:t>
      </w:r>
      <w:r>
        <w:rPr>
          <w:rFonts w:eastAsia="Georgia" w:cs="Georgia"/>
          <w:i/>
          <w:iCs/>
          <w:sz w:val="24"/>
          <w:szCs w:val="24"/>
        </w:rPr>
        <w:t>Nature</w:t>
      </w:r>
      <w:r>
        <w:rPr>
          <w:rFonts w:eastAsia="Georgia" w:cs="Georgia"/>
          <w:sz w:val="24"/>
          <w:szCs w:val="24"/>
        </w:rPr>
        <w:t>, 2017).</w:t>
      </w:r>
      <w:r>
        <w:rPr>
          <w:rStyle w:val="FootnoteReference"/>
        </w:rPr>
        <w:footnoteReference w:id="32"/>
      </w:r>
      <w:r>
        <w:rPr>
          <w:rFonts w:eastAsia="Georgia" w:cs="Georgia"/>
          <w:sz w:val="24"/>
          <w:szCs w:val="24"/>
        </w:rPr>
        <w:t xml:space="preserve"> In 2023, the James Webb Space Telescope spectroscopically identified tellurium in the kilonova associated with GRB 230307A (Levan et al., </w:t>
      </w:r>
      <w:r>
        <w:rPr>
          <w:rFonts w:eastAsia="Georgia" w:cs="Georgia"/>
          <w:i/>
          <w:iCs/>
          <w:sz w:val="24"/>
          <w:szCs w:val="24"/>
        </w:rPr>
        <w:t>Nature</w:t>
      </w:r>
      <w:r>
        <w:rPr>
          <w:rFonts w:eastAsia="Georgia" w:cs="Georgia"/>
          <w:sz w:val="24"/>
          <w:szCs w:val="24"/>
        </w:rPr>
        <w:t>, 2024), providing the most direct identification yet of a specific heavy element produced in a neutron star merger.</w:t>
      </w:r>
      <w:r>
        <w:rPr>
          <w:rStyle w:val="FootnoteReference"/>
        </w:rPr>
        <w:footnoteReference w:id="33"/>
      </w:r>
      <w:r>
        <w:rPr>
          <w:rFonts w:eastAsia="Georgia" w:cs="Georgia"/>
          <w:sz w:val="24"/>
          <w:szCs w:val="24"/>
        </w:rPr>
        <w:t xml:space="preserve"> The picture that emerges is that the elements necessary for life are manufactured through multiple cosmic processes—stellar fusion for the lighter elements up through iron, supernovae and neutron star mergers for the heavier ones.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the cosmic alchemy that makes life possible. Every atom of carbon in your body was forged in the core of a star that died before the sun was born. Every atom of iron in your blood was manufactured in a massive star’s core and scattered by a supernova. Every atom of calcium in your bones, every atom of oxygen in your lungs, was built inside a star through nuclear fusion. And trace amounts of heavier elements—the iodine in your thyroid, the cobalt in your vitamin B12—may trace their origins to the cataclysmic collision of neutron stars. Genesis 2:7’s image of God forming man from “the dust of the ground” is, read through the lens of modern astrophysics, literally true—we are made of star-dust and merger-debris, and that dust had to be manufactured across billions of years of stellar life cycles and cosmic collisions.</w:t>
      </w:r>
    </w:p>
    <w:p>
      <w:pPr>
        <w:pStyle w:val="Heading3"/>
        <w:bidi w:val="0"/>
        <w:spacing w:before="240" w:after="120"/>
        <w:jc w:val="start"/>
        <w:rPr/>
      </w:pPr>
      <w:r>
        <w:rPr/>
        <w:t>Stage Three: The Solar System and Earth (4.6 Billion Years Ago)</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Approximately 4.6 billion years ago, a cloud of gas and dust—enriched by multiple generations of stellar nucleosynthesis—collapses under gravity to form our solar system. The sun ignites at the center. Rocky material aggregates into the inner planets—Mercury, Venus, Earth, Mars—while lighter gases form the giant outer planets. The early Earth is a molten ball, bombarded by asteroids and comets. Over hundreds of millions of years, it cools. Water accumulates—some from volcanic outgassing, some delivered by comets. Oceans form. The atmosphere stabilizes. The stage is set.</w:t>
      </w:r>
    </w:p>
    <w:p>
      <w:pPr>
        <w:pStyle w:val="Heading3"/>
        <w:bidi w:val="0"/>
        <w:spacing w:before="240" w:after="120"/>
        <w:jc w:val="start"/>
        <w:rPr/>
      </w:pPr>
      <w:r>
        <w:rPr/>
        <w:t>Stage Four: The Emergence of Life (3.8 to 3.5 Billion Years Ago)</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Within roughly the first billion years of Earth’s existence, life appears. The oldest confirmed microfossils date to approximately 3.5 billion years ago; chemical signatures in rocks suggest life may have existed as early as 3.8 billion years ago. How the first self-replicating molecules arose from non-living chemistry—the origin of life itself—remains one of the deepest unsolved problems in science. What is clear is that once life appears, it persists and diversifies.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For the next two billion years—a span almost incomprehensibly long—life consists entirely of single-celled organisms. Bacteria and archaea dominate. They transform the planet’s chemistry: cyanobacteria develop photosynthesis, producing oxygen as a waste product, gradually converting Earth’s atmosphere from a reducing to an oxidizing environment. This is the Great Oxidation Event, roughly 2.4 billion years ago. It is simultaneously one of the greatest ecological catastrophes in Earth’s history (anaerobic organisms are poisoned by the oxygen) and the essential precondition for all complex life to come.</w:t>
      </w:r>
    </w:p>
    <w:p>
      <w:pPr>
        <w:pStyle w:val="Heading3"/>
        <w:bidi w:val="0"/>
        <w:spacing w:before="240" w:after="120"/>
        <w:jc w:val="start"/>
        <w:rPr/>
      </w:pPr>
      <w:r>
        <w:rPr/>
        <w:t>Stage Five: Complex Life and the Cambrian Explosion (1 Billion to 500 Million Years Ago)</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Approximately 1.5 to 2 billion years ago, eukaryotic cells appear—cells with nuclei, mitochondria, and internal organization far more complex than bacteria. Around 600 million years ago, multicellular organisms emerge. Then, approximately 540 million years ago, the Cambrian explosion occurs: in a geologically brief window of perhaps 20 million years, nearly all major animal body plans appear in the fossil record. This event has fascinated and troubled biologists since Darwin, who acknowledged it as a difficulty for his theory. The Augros/Stanciu thesis offers an interpretation: the Cambrian explosion represents the activation of latent developmental potential that had been building in the genome for hundreds of millions of years, triggered by the right environmental and genetic conditions.</w:t>
      </w:r>
    </w:p>
    <w:p>
      <w:pPr>
        <w:pStyle w:val="Heading3"/>
        <w:bidi w:val="0"/>
        <w:spacing w:before="240" w:after="120"/>
        <w:jc w:val="start"/>
        <w:rPr/>
      </w:pPr>
      <w:r>
        <w:rPr/>
        <w:t>Stage Six: The Vertebrate Lineage (500 Million to 65 Million Years Ago)</w:t>
      </w:r>
    </w:p>
    <w:p>
      <w:pPr>
        <w:pStyle w:val="Normal"/>
        <w:bidi w:val="0"/>
        <w:spacing w:lineRule="exact" w:line="276" w:before="0" w:after="200"/>
        <w:jc w:val="start"/>
        <w:rPr/>
      </w:pPr>
      <w:r>
        <w:rPr>
          <w:rFonts w:eastAsia="Georgia" w:cs="Georgia"/>
          <w:sz w:val="24"/>
          <w:szCs w:val="24"/>
        </w:rPr>
        <w:t>From the Cambrian onward, the story is one of progressive unfolding through the vertebrate lineage. Fish appear and diversify. Some develop lobed fins and transition onto land as the first amphibians, roughly 375 million years ago (</w:t>
      </w:r>
      <w:r>
        <w:rPr>
          <w:rFonts w:eastAsia="Georgia" w:cs="Georgia"/>
          <w:i/>
          <w:iCs/>
          <w:sz w:val="24"/>
          <w:szCs w:val="24"/>
        </w:rPr>
        <w:t>Tiktaalik</w:t>
      </w:r>
      <w:r>
        <w:rPr>
          <w:rFonts w:eastAsia="Georgia" w:cs="Georgia"/>
          <w:sz w:val="24"/>
          <w:szCs w:val="24"/>
        </w:rPr>
        <w:t xml:space="preserve"> is the iconic transitional fossil). Reptiles emerge and diversify. Mammals appear alongside the dinosaurs roughly 225 million years ago but remain small and marginal for over 150 million years—nocturnal, insectivorous, living in the shadows of the great reptiles.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Then, 66 million years ago, an asteroid impact triggers the Cretaceous–Paleogene extinction event, wiping out the non-avian dinosaurs and opening ecological niches that mammals rapidly fill. The latent potential for mammalian diversification—present but suppressed for 150 million years—unfolds explosively. Primates appear within 10 million years of the extinction. The road to humanity is being prepared.</w:t>
      </w:r>
    </w:p>
    <w:p>
      <w:pPr>
        <w:pStyle w:val="Heading3"/>
        <w:bidi w:val="0"/>
        <w:spacing w:before="240" w:after="120"/>
        <w:jc w:val="start"/>
        <w:rPr/>
      </w:pPr>
      <w:r>
        <w:rPr/>
        <w:t>Stage Seven: The Primate Lineage (65 Million to 1 Million Years Ago)</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primate lineage unfolds through a series of increasingly sophisticated forms. Early primates are small, arboreal, and insectivorous. Over tens of millions of years, they develop larger brains relative to body size, stereoscopic vision, grasping hands, and increasingly complex social behavior. The great apes diverge from the monkey lineage roughly 25 million years ago. The human lineage splits from the chimpanzee lineage approximately 6–7 million years ago.</w:t>
      </w:r>
    </w:p>
    <w:p>
      <w:pPr>
        <w:pStyle w:val="Normal"/>
        <w:bidi w:val="0"/>
        <w:spacing w:lineRule="exact" w:line="276" w:before="0" w:after="200"/>
        <w:jc w:val="start"/>
        <w:rPr/>
      </w:pPr>
      <w:r>
        <w:rPr>
          <w:rFonts w:eastAsia="Georgia" w:cs="Georgia"/>
          <w:sz w:val="24"/>
          <w:szCs w:val="24"/>
        </w:rPr>
        <w:t xml:space="preserve">Then comes the progression through the hominids: </w:t>
      </w:r>
      <w:r>
        <w:rPr>
          <w:rFonts w:eastAsia="Georgia" w:cs="Georgia"/>
          <w:i/>
          <w:iCs/>
          <w:sz w:val="24"/>
          <w:szCs w:val="24"/>
        </w:rPr>
        <w:t>Australopithecus</w:t>
      </w:r>
      <w:r>
        <w:rPr>
          <w:rFonts w:eastAsia="Georgia" w:cs="Georgia"/>
          <w:sz w:val="24"/>
          <w:szCs w:val="24"/>
        </w:rPr>
        <w:t xml:space="preserve"> (upright walking, small brains, simple stone tools), </w:t>
      </w:r>
      <w:r>
        <w:rPr>
          <w:rFonts w:eastAsia="Georgia" w:cs="Georgia"/>
          <w:i/>
          <w:iCs/>
          <w:sz w:val="24"/>
          <w:szCs w:val="24"/>
        </w:rPr>
        <w:t>Homo habilis</w:t>
      </w:r>
      <w:r>
        <w:rPr>
          <w:rFonts w:eastAsia="Georgia" w:cs="Georgia"/>
          <w:sz w:val="24"/>
          <w:szCs w:val="24"/>
        </w:rPr>
        <w:t xml:space="preserve"> (larger brains, more sophisticated tools), </w:t>
      </w:r>
      <w:r>
        <w:rPr>
          <w:rFonts w:eastAsia="Georgia" w:cs="Georgia"/>
          <w:i/>
          <w:iCs/>
          <w:sz w:val="24"/>
          <w:szCs w:val="24"/>
        </w:rPr>
        <w:t>Homo erectus</w:t>
      </w:r>
      <w:r>
        <w:rPr>
          <w:rFonts w:eastAsia="Georgia" w:cs="Georgia"/>
          <w:sz w:val="24"/>
          <w:szCs w:val="24"/>
        </w:rPr>
        <w:t xml:space="preserve"> (fire control, migration out of Africa, Acheulean hand axes—symmetrical stone tools that represent a major leap in planning and craftsmanship), and finally </w:t>
      </w:r>
      <w:r>
        <w:rPr>
          <w:rFonts w:eastAsia="Georgia" w:cs="Georgia"/>
          <w:i/>
          <w:iCs/>
          <w:sz w:val="24"/>
          <w:szCs w:val="24"/>
        </w:rPr>
        <w:t>Homo heidelbergensis</w:t>
      </w:r>
      <w:r>
        <w:rPr>
          <w:rFonts w:eastAsia="Georgia" w:cs="Georgia"/>
          <w:sz w:val="24"/>
          <w:szCs w:val="24"/>
        </w:rPr>
        <w:t xml:space="preserve"> (brains approaching modern size, cooperative hunting, possible ritual behavior). Each stage is genuinely different from the last. Each represents the unfolding of potential that was latent in the previous stage.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Read through the Augros/Stanciu lens, this entire 13.8-billion-year trajectory—from the Big Bang’s hydrogen and helium through stellar nucleosynthesis, planetary formation, the origin of life, the Cambrian explosion, the rise of mammals, the primate lineage, and the hominid family tree—is a single, continuous act of unfolding. The potential for humanity was present at the Big Bang, encoded in the physical constants and natural laws that govern the universe. It unfolds through billions of years of cosmic, chemical, and biological development. And at the end of this vast preparation—at the moment when the biological substrate is finally ready—God completes the work by breathing a rational soul into the dust of the ground. The dust He has spent 13.8 billion years preparing.</w:t>
      </w:r>
    </w:p>
    <w:p>
      <w:pPr>
        <w:pStyle w:val="Heading2"/>
        <w:bidi w:val="0"/>
        <w:spacing w:before="280" w:after="160"/>
        <w:jc w:val="start"/>
        <w:rPr/>
      </w:pPr>
      <w:r>
        <w:rPr/>
        <w:t>Scientific Reception and Relevance</w:t>
      </w:r>
    </w:p>
    <w:p>
      <w:pPr>
        <w:pStyle w:val="Normal"/>
        <w:bidi w:val="0"/>
        <w:spacing w:lineRule="exact" w:line="276" w:before="0" w:after="200"/>
        <w:jc w:val="start"/>
        <w:rPr/>
      </w:pPr>
      <w:r>
        <w:rPr>
          <w:rFonts w:eastAsia="Georgia" w:cs="Georgia"/>
          <w:sz w:val="24"/>
          <w:szCs w:val="24"/>
        </w:rPr>
        <w:t xml:space="preserve">It must be acknowledged honestly that </w:t>
      </w:r>
      <w:r>
        <w:rPr>
          <w:rFonts w:eastAsia="Georgia" w:cs="Georgia"/>
          <w:i/>
          <w:iCs/>
          <w:sz w:val="24"/>
          <w:szCs w:val="24"/>
        </w:rPr>
        <w:t>The New Biology</w:t>
      </w:r>
      <w:r>
        <w:rPr>
          <w:rFonts w:eastAsia="Georgia" w:cs="Georgia"/>
          <w:sz w:val="24"/>
          <w:szCs w:val="24"/>
        </w:rPr>
        <w:t xml:space="preserve"> received mixed reviews from mainstream biologists. Critics, including R.A. Cooper in a well-known Amazon review, argued that Augros and Stanciu were essentially updating William Paley’s </w:t>
      </w:r>
      <w:r>
        <w:rPr>
          <w:rFonts w:eastAsia="Georgia" w:cs="Georgia"/>
          <w:i/>
          <w:iCs/>
          <w:sz w:val="24"/>
          <w:szCs w:val="24"/>
        </w:rPr>
        <w:t>Natural Theology</w:t>
      </w:r>
      <w:r>
        <w:rPr>
          <w:rFonts w:eastAsia="Georgia" w:cs="Georgia"/>
          <w:sz w:val="24"/>
          <w:szCs w:val="24"/>
        </w:rPr>
        <w:t xml:space="preserve"> (1802) with a teleological (purpose-directed) view of nature guided by divine artistry. Sir John Eccles, the Nobel laureate in neuroscience, praised the book for its “emphasis on new ideas in biology” and its discrediting of “reductionist materialism.” The book remains outside the mainstream of evolutionary biology.</w:t>
      </w:r>
    </w:p>
    <w:p>
      <w:pPr>
        <w:pStyle w:val="Normal"/>
        <w:bidi w:val="0"/>
        <w:spacing w:lineRule="exact" w:line="276" w:before="0" w:after="200"/>
        <w:jc w:val="start"/>
        <w:rPr/>
      </w:pPr>
      <w:r>
        <w:rPr>
          <w:rFonts w:eastAsia="Georgia" w:cs="Georgia"/>
          <w:sz w:val="24"/>
          <w:szCs w:val="24"/>
        </w:rPr>
        <w:t xml:space="preserve">However, the gap between the Augros/Stanciu proposal and mainstream science has narrowed somewhat since 1987. The discovery of regulatory genes, epigenetics, and the growing recognition that most evolutionary change comes from changes in gene </w:t>
      </w:r>
      <w:r>
        <w:rPr>
          <w:rFonts w:eastAsia="Georgia" w:cs="Georgia"/>
          <w:i/>
          <w:iCs/>
          <w:sz w:val="24"/>
          <w:szCs w:val="24"/>
        </w:rPr>
        <w:t>regulation</w:t>
      </w:r>
      <w:r>
        <w:rPr>
          <w:rFonts w:eastAsia="Georgia" w:cs="Georgia"/>
          <w:sz w:val="24"/>
          <w:szCs w:val="24"/>
        </w:rPr>
        <w:t xml:space="preserve"> rather than the creation of entirely new genes has moved mainstream biology at least partly toward the idea that organisms carry latent developmental potential. The “evo-devo” (evolutionary developmental biology) revolution has shown that small changes in when and where existing genes are expressed can produce dramatic changes in body plan. This is not identical to the Augros/Stanciu thesis, but it shares the basic intuition that biological form is not generated entirely by random mutation and selection.</w:t>
      </w:r>
    </w:p>
    <w:p>
      <w:pPr>
        <w:pStyle w:val="Heading2"/>
        <w:bidi w:val="0"/>
        <w:spacing w:before="280" w:after="160"/>
        <w:jc w:val="start"/>
        <w:rPr/>
      </w:pPr>
      <w:r>
        <w:rPr/>
        <w:t>Why This Matters for Human Origins</w:t>
      </w:r>
    </w:p>
    <w:p>
      <w:pPr>
        <w:pStyle w:val="Normal"/>
        <w:bidi w:val="0"/>
        <w:spacing w:lineRule="exact" w:line="276" w:before="0" w:after="200"/>
        <w:jc w:val="start"/>
        <w:rPr/>
      </w:pPr>
      <w:r>
        <w:rPr>
          <w:rFonts w:eastAsia="Georgia" w:cs="Georgia"/>
          <w:sz w:val="24"/>
          <w:szCs w:val="24"/>
        </w:rPr>
        <w:t>The Augros/Stanciu framework becomes relevant to our synthesis in a specific way. If the primate lineage carries latent potential for increasingly complex forms, then the appearance of near-human hominids—</w:t>
      </w:r>
      <w:r>
        <w:rPr>
          <w:rFonts w:eastAsia="Georgia" w:cs="Georgia"/>
          <w:i/>
          <w:iCs/>
          <w:sz w:val="24"/>
          <w:szCs w:val="24"/>
        </w:rPr>
        <w:t>Homo erectus</w:t>
      </w:r>
      <w:r>
        <w:rPr>
          <w:rFonts w:eastAsia="Georgia" w:cs="Georgia"/>
          <w:sz w:val="24"/>
          <w:szCs w:val="24"/>
        </w:rPr>
        <w:t xml:space="preserve">, </w:t>
      </w:r>
      <w:r>
        <w:rPr>
          <w:rFonts w:eastAsia="Georgia" w:cs="Georgia"/>
          <w:i/>
          <w:iCs/>
          <w:sz w:val="24"/>
          <w:szCs w:val="24"/>
        </w:rPr>
        <w:t>Homo heidelbergensis</w:t>
      </w:r>
      <w:r>
        <w:rPr>
          <w:rFonts w:eastAsia="Georgia" w:cs="Georgia"/>
          <w:sz w:val="24"/>
          <w:szCs w:val="24"/>
        </w:rPr>
        <w:t>, and others—is not a random accident but the unfolding of a divinely designed process. These creatures are not defective humans or accidental byproducts. They are the pinnacle of what nature can produce on its own—the biological substrate that God has been preparing for the ultimate creative act: the ensoulment of the first true humans.</w:t>
      </w:r>
    </w:p>
    <w:p>
      <w:pPr>
        <w:pStyle w:val="Normal"/>
        <w:bidi w:val="0"/>
        <w:spacing w:lineRule="exact" w:line="276" w:before="0" w:after="200"/>
        <w:jc w:val="start"/>
        <w:rPr/>
      </w:pPr>
      <w:r>
        <w:rPr>
          <w:rFonts w:eastAsia="Georgia" w:cs="Georgia"/>
          <w:sz w:val="24"/>
          <w:szCs w:val="24"/>
        </w:rPr>
        <w:t xml:space="preserve">This distinction is crucial. In the Kemp model, the non-ensouled hominids surrounding Adam and Eve are </w:t>
      </w:r>
      <w:r>
        <w:rPr>
          <w:rFonts w:eastAsia="Georgia" w:cs="Georgia"/>
          <w:i/>
          <w:iCs/>
          <w:sz w:val="24"/>
          <w:szCs w:val="24"/>
        </w:rPr>
        <w:t>biologically identical</w:t>
      </w:r>
      <w:r>
        <w:rPr>
          <w:rFonts w:eastAsia="Georgia" w:cs="Georgia"/>
          <w:sz w:val="24"/>
          <w:szCs w:val="24"/>
        </w:rPr>
        <w:t xml:space="preserve"> to them. The only difference is metaphysical. In our framework, the non-ensouled hominids are </w:t>
      </w:r>
      <w:r>
        <w:rPr>
          <w:rFonts w:eastAsia="Georgia" w:cs="Georgia"/>
          <w:i/>
          <w:iCs/>
          <w:sz w:val="24"/>
          <w:szCs w:val="24"/>
        </w:rPr>
        <w:t>genuinely different</w:t>
      </w:r>
      <w:r>
        <w:rPr>
          <w:rFonts w:eastAsia="Georgia" w:cs="Georgia"/>
          <w:sz w:val="24"/>
          <w:szCs w:val="24"/>
        </w:rPr>
        <w:t>—the product of nature’s unfolding, impressive and sophisticated, but observably distinct from the completed human form that God produced through ensoulment. The difference is not invisible. It is manifest in behavior, in cognitive capacity, in the presence or absence of symbolic thought and moral reasoning.</w:t>
      </w:r>
    </w:p>
    <w:p>
      <w:pPr>
        <w:pStyle w:val="Heading2"/>
        <w:bidi w:val="0"/>
        <w:spacing w:before="280" w:after="160"/>
        <w:jc w:val="start"/>
        <w:rPr/>
      </w:pPr>
      <w:r>
        <w:rPr/>
        <w:t>Required vs. Open: What the Church Demands About Creation’s Mechanism</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God is the Creator of all things visible and invisible (Nicene Creed). Creation is not an accident but an act of divine will and wisdom. The human soul cannot be a product of material processes—it is directly created by God (</w:t>
      </w:r>
      <w:hyperlink r:id="rId50">
        <w:r>
          <w:rPr>
            <w:rStyle w:val="ListLabel10"/>
            <w:rFonts w:eastAsia="Georgia" w:cs="Georgia"/>
            <w:i/>
            <w:iCs/>
            <w:color w:val="0563C1"/>
            <w:sz w:val="24"/>
            <w:szCs w:val="24"/>
            <w:u w:val="single"/>
          </w:rPr>
          <w:t>Humani Generis</w:t>
        </w:r>
      </w:hyperlink>
      <w:hyperlink r:id="rId51">
        <w:r>
          <w:rPr>
            <w:rStyle w:val="ListLabel12"/>
            <w:rFonts w:eastAsia="Georgia" w:cs="Georgia"/>
            <w:color w:val="0563C1"/>
            <w:sz w:val="24"/>
            <w:szCs w:val="24"/>
            <w:u w:val="single"/>
          </w:rPr>
          <w:t>, §36</w:t>
        </w:r>
      </w:hyperlink>
      <w:r>
        <w:rPr>
          <w:rFonts w:eastAsia="Georgia" w:cs="Georgia"/>
          <w:sz w:val="24"/>
          <w:szCs w:val="24"/>
        </w:rPr>
        <w:t xml:space="preserve">; </w:t>
      </w:r>
      <w:hyperlink r:id="rId52">
        <w:r>
          <w:rPr>
            <w:rStyle w:val="ListLabel12"/>
            <w:rFonts w:eastAsia="Georgia" w:cs="Georgia"/>
            <w:color w:val="0563C1"/>
            <w:sz w:val="24"/>
            <w:szCs w:val="24"/>
            <w:u w:val="single"/>
          </w:rPr>
          <w:t>CCC §366</w:t>
        </w:r>
      </w:hyperlink>
      <w:r>
        <w:rPr>
          <w:rFonts w:eastAsia="Georgia" w:cs="Georgia"/>
          <w:sz w:val="24"/>
          <w:szCs w:val="24"/>
        </w:rPr>
        <w:t>). The created world reflects God’s wisdom and can be known through reason (</w:t>
      </w:r>
      <w:hyperlink r:id="rId53">
        <w:r>
          <w:rPr>
            <w:rStyle w:val="ListLabel11"/>
            <w:rFonts w:eastAsia="Georgia" w:cs="Georgia"/>
            <w:b/>
            <w:bCs/>
            <w:color w:val="0563C1"/>
            <w:sz w:val="24"/>
            <w:szCs w:val="24"/>
            <w:u w:val="single"/>
          </w:rPr>
          <w:t>Romans 1:19–20</w:t>
        </w:r>
      </w:hyperlink>
      <w:r>
        <w:rPr>
          <w:rFonts w:eastAsia="Georgia" w:cs="Georgia"/>
          <w:sz w:val="24"/>
          <w:szCs w:val="24"/>
        </w:rPr>
        <w:t xml:space="preserve">; Vatican I, </w:t>
      </w:r>
      <w:hyperlink r:id="rId54">
        <w:r>
          <w:rPr>
            <w:rStyle w:val="ListLabel10"/>
            <w:rFonts w:eastAsia="Georgia" w:cs="Georgia"/>
            <w:i/>
            <w:iCs/>
            <w:color w:val="0563C1"/>
            <w:sz w:val="24"/>
            <w:szCs w:val="24"/>
            <w:u w:val="single"/>
          </w:rPr>
          <w:t>Dei Filius</w:t>
        </w:r>
      </w:hyperlink>
      <w:r>
        <w:rPr>
          <w:rFonts w:eastAsia="Georgia" w:cs="Georgia"/>
          <w:sz w:val="24"/>
          <w:szCs w:val="24"/>
        </w:rPr>
        <w:t>). These are doctrinal givens.</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The Church has not defined the specific mechanism by which God brought about biological complexity. Catholics are free to hold that God used evolutionary processes, that latent potential unfolds through natural law (as Augros and Stanciu propose), or that God intervened directly at key moments—or some combination of these. The Augros/Stanciu model of latent unfolding is one legitimate philosophical interpretation. Standard evolutionary biology’s account of mutation and natural selection is another. The evo-devo synthesis that emphasizes regulatory gene changes is a third. The Church requires that God is the author of the process, whatever the process turns out to be. The details of the mechanism are a matter for science and philosophy, not dogma.</w:t>
      </w:r>
    </w:p>
    <w:p>
      <w:pPr>
        <w:pStyle w:val="Normal"/>
        <w:bidi w:val="0"/>
        <w:jc w:val="start"/>
        <w:rPr/>
      </w:pPr>
      <w:r>
        <w:rPr/>
      </w:r>
      <w:r>
        <w:br w:type="page"/>
      </w:r>
    </w:p>
    <w:p>
      <w:pPr>
        <w:pStyle w:val="Heading1"/>
        <w:bidi w:val="0"/>
        <w:spacing w:before="0" w:after="200"/>
        <w:jc w:val="start"/>
        <w:rPr/>
      </w:pPr>
      <w:r>
        <w:rPr/>
        <w:t>Chapter 6: The Hominid Family Tree—Who Are These Cousins?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Before presenting the synthesis, it is important to understand the cast of characters. The fossil record reveals a rich and complex family of hominid species spanning millions of years. Here are the major players relevant to our discussion.</w:t>
      </w:r>
    </w:p>
    <w:p>
      <w:pPr>
        <w:pStyle w:val="Heading2"/>
        <w:bidi w:val="0"/>
        <w:spacing w:before="280" w:after="160"/>
        <w:jc w:val="start"/>
        <w:rPr/>
      </w:pPr>
      <w:r>
        <w:rPr/>
        <w:t>Homo erectus (Upright Man)</w:t>
      </w:r>
    </w:p>
    <w:p>
      <w:pPr>
        <w:pStyle w:val="Normal"/>
        <w:bidi w:val="0"/>
        <w:spacing w:lineRule="exact" w:line="276" w:before="0" w:after="200"/>
        <w:jc w:val="start"/>
        <w:rPr/>
      </w:pPr>
      <w:r>
        <w:rPr>
          <w:rFonts w:eastAsia="Georgia" w:cs="Georgia"/>
          <w:sz w:val="24"/>
          <w:szCs w:val="24"/>
        </w:rPr>
        <w:t xml:space="preserve">Emerging nearly two million years ago in Africa, </w:t>
      </w:r>
      <w:r>
        <w:rPr>
          <w:rFonts w:eastAsia="Georgia" w:cs="Georgia"/>
          <w:i/>
          <w:iCs/>
          <w:sz w:val="24"/>
          <w:szCs w:val="24"/>
        </w:rPr>
        <w:t>Homo erectus</w:t>
      </w:r>
      <w:r>
        <w:rPr>
          <w:rFonts w:eastAsia="Georgia" w:cs="Georgia"/>
          <w:sz w:val="24"/>
          <w:szCs w:val="24"/>
        </w:rPr>
        <w:t xml:space="preserve"> was the first hominid to spread beyond the African continent. They used stone tools (Acheulean hand axes), controlled fire, and may have constructed simple shelters. Their brains were significantly larger than those of earlier hominids (approximately 900–1100 cubic centimeters, compared to modern humans’ average of 1350 cc). They survived for over a million years—an extraordinarily successful species—but show no clear evidence of symbolic thought, art, or ritual burial. In our framework, they represent an earlier stage of the unfolding of latent biological potential—remarkable animals, but not yet the substrate from which God would form Adam.</w:t>
      </w:r>
    </w:p>
    <w:p>
      <w:pPr>
        <w:pStyle w:val="Heading2"/>
        <w:bidi w:val="0"/>
        <w:spacing w:before="280" w:after="160"/>
        <w:jc w:val="start"/>
        <w:rPr/>
      </w:pPr>
      <w:r>
        <w:rPr/>
        <w:t>Homo heidelbergensis (Heidelberg Man)</w:t>
      </w:r>
    </w:p>
    <w:p>
      <w:pPr>
        <w:pStyle w:val="Normal"/>
        <w:bidi w:val="0"/>
        <w:spacing w:lineRule="exact" w:line="276" w:before="0" w:after="200"/>
        <w:jc w:val="start"/>
        <w:rPr/>
      </w:pPr>
      <w:r>
        <w:rPr>
          <w:rFonts w:eastAsia="Georgia" w:cs="Georgia"/>
          <w:sz w:val="24"/>
          <w:szCs w:val="24"/>
        </w:rPr>
        <w:t xml:space="preserve">Named after a jawbone discovered near Heidelberg, Germany, in 1907, </w:t>
      </w:r>
      <w:r>
        <w:rPr>
          <w:rFonts w:eastAsia="Georgia" w:cs="Georgia"/>
          <w:i/>
          <w:iCs/>
          <w:sz w:val="24"/>
          <w:szCs w:val="24"/>
        </w:rPr>
        <w:t>Homo heidelbergensis</w:t>
      </w:r>
      <w:r>
        <w:rPr>
          <w:rFonts w:eastAsia="Georgia" w:cs="Georgia"/>
          <w:sz w:val="24"/>
          <w:szCs w:val="24"/>
        </w:rPr>
        <w:t xml:space="preserve"> lived from roughly 700,000 to 200,000 years ago across Africa, Europe, and possibly western Asia. They are generally considered the last common ancestor of modern humans, Neanderthals, and Denisovans. Their brains were large (1100–1400 cc, overlapping with modern human range), they hunted big game cooperatively, built shelters, and controlled fire systematically. Evidence from the Sima de los Huesos site in Spain suggests they may have practiced deliberate burial as early as 400,000 years ago.</w:t>
      </w:r>
    </w:p>
    <w:p>
      <w:pPr>
        <w:pStyle w:val="Normal"/>
        <w:bidi w:val="0"/>
        <w:spacing w:lineRule="exact" w:line="276" w:before="0" w:after="200"/>
        <w:jc w:val="start"/>
        <w:rPr/>
      </w:pPr>
      <w:r>
        <w:rPr>
          <w:rFonts w:eastAsia="Georgia" w:cs="Georgia"/>
          <w:sz w:val="24"/>
          <w:szCs w:val="24"/>
        </w:rPr>
        <w:t xml:space="preserve">Critically for our framework, a 2023 genetic study published in </w:t>
      </w:r>
      <w:r>
        <w:rPr>
          <w:rFonts w:eastAsia="Georgia" w:cs="Georgia"/>
          <w:i/>
          <w:iCs/>
          <w:sz w:val="24"/>
          <w:szCs w:val="24"/>
        </w:rPr>
        <w:t>Science</w:t>
      </w:r>
      <w:r>
        <w:rPr>
          <w:rFonts w:eastAsia="Georgia" w:cs="Georgia"/>
          <w:sz w:val="24"/>
          <w:szCs w:val="24"/>
        </w:rPr>
        <w:t xml:space="preserve"> found that the global population of human ancestors was reduced to fewer than 1,300 individuals between 800,000 and 900,000 years ago—an extreme population bottleneck occurring at precisely the time period when </w:t>
      </w:r>
      <w:r>
        <w:rPr>
          <w:rFonts w:eastAsia="Georgia" w:cs="Georgia"/>
          <w:i/>
          <w:iCs/>
          <w:sz w:val="24"/>
          <w:szCs w:val="24"/>
        </w:rPr>
        <w:t>Homo heidelbergensis</w:t>
      </w:r>
      <w:r>
        <w:rPr>
          <w:rFonts w:eastAsia="Georgia" w:cs="Georgia"/>
          <w:sz w:val="24"/>
          <w:szCs w:val="24"/>
        </w:rPr>
        <w:t xml:space="preserve"> was emerging.</w:t>
      </w:r>
      <w:r>
        <w:rPr>
          <w:rStyle w:val="FootnoteReference"/>
        </w:rPr>
        <w:footnoteReference w:id="34"/>
      </w:r>
      <w:r>
        <w:rPr>
          <w:rFonts w:eastAsia="Georgia" w:cs="Georgia"/>
          <w:sz w:val="24"/>
          <w:szCs w:val="24"/>
        </w:rPr>
        <w:t xml:space="preserve"> While mainstream science attributes this to environmental catastrophe, the coincidence of timing with our proposed ensoulment event is striking.</w:t>
      </w:r>
    </w:p>
    <w:p>
      <w:pPr>
        <w:pStyle w:val="Normal"/>
        <w:bidi w:val="0"/>
        <w:spacing w:lineRule="exact" w:line="276" w:before="0" w:after="200"/>
        <w:jc w:val="start"/>
        <w:rPr/>
      </w:pPr>
      <w:r>
        <w:rPr>
          <w:rFonts w:eastAsia="Georgia" w:cs="Georgia"/>
          <w:i/>
          <w:iCs/>
          <w:sz w:val="24"/>
          <w:szCs w:val="24"/>
        </w:rPr>
        <w:t>Homo heidelbergensis</w:t>
      </w:r>
      <w:r>
        <w:rPr>
          <w:rFonts w:eastAsia="Georgia" w:cs="Georgia"/>
          <w:sz w:val="24"/>
          <w:szCs w:val="24"/>
        </w:rPr>
        <w:t xml:space="preserve"> originated in Africa, with the oldest material coming from sites in Ethiopia dating to roughly 600,000 years ago, though transitional forms may extend to 875,000 years ago based on skull material from the Melka Kunture Formation in Ethiopia. In early 2026, fossils found in Thomas Quarry, Casablanca, Morocco, dating to precisely 773,000 years ago, were identified as the best candidate for the last common ancestor of </w:t>
      </w:r>
      <w:r>
        <w:rPr>
          <w:rFonts w:eastAsia="Georgia" w:cs="Georgia"/>
          <w:i/>
          <w:iCs/>
          <w:sz w:val="24"/>
          <w:szCs w:val="24"/>
        </w:rPr>
        <w:t>Homo sapiens</w:t>
      </w:r>
      <w:r>
        <w:rPr>
          <w:rFonts w:eastAsia="Georgia" w:cs="Georgia"/>
          <w:sz w:val="24"/>
          <w:szCs w:val="24"/>
        </w:rPr>
        <w:t>, Neanderthals, and Denisovans. The fossils exhibit a mix of archaic and modern traits near the base of the sapiens-Neanderthal lineage.</w:t>
      </w:r>
    </w:p>
    <w:p>
      <w:pPr>
        <w:pStyle w:val="Heading2"/>
        <w:bidi w:val="0"/>
        <w:spacing w:before="280" w:after="160"/>
        <w:jc w:val="start"/>
        <w:rPr/>
      </w:pPr>
      <w:r>
        <w:rPr/>
        <w:t>Homo neanderthalensis (Neanderthal Man)</w:t>
      </w:r>
    </w:p>
    <w:p>
      <w:pPr>
        <w:pStyle w:val="Normal"/>
        <w:bidi w:val="0"/>
        <w:spacing w:lineRule="exact" w:line="276" w:before="0" w:after="200"/>
        <w:jc w:val="start"/>
        <w:rPr/>
      </w:pPr>
      <w:r>
        <w:rPr>
          <w:rFonts w:eastAsia="Georgia" w:cs="Georgia"/>
          <w:sz w:val="24"/>
          <w:szCs w:val="24"/>
        </w:rPr>
        <w:t>Named after the Neander Valley (</w:t>
      </w:r>
      <w:r>
        <w:rPr>
          <w:rFonts w:eastAsia="Georgia" w:cs="Georgia"/>
          <w:i/>
          <w:iCs/>
          <w:sz w:val="24"/>
          <w:szCs w:val="24"/>
        </w:rPr>
        <w:t>Neander Thal</w:t>
      </w:r>
      <w:r>
        <w:rPr>
          <w:rFonts w:eastAsia="Georgia" w:cs="Georgia"/>
          <w:sz w:val="24"/>
          <w:szCs w:val="24"/>
        </w:rPr>
        <w:t xml:space="preserve">) in Germany where the first recognized fossils were found in 1856, Neanderthals lived across Europe and western Asia from roughly 400,000 to 40,000 years ago. They diverged from the modern human lineage approximately 500,000–650,000 years ago, likely evolving from </w:t>
      </w:r>
      <w:r>
        <w:rPr>
          <w:rFonts w:eastAsia="Georgia" w:cs="Georgia"/>
          <w:i/>
          <w:iCs/>
          <w:sz w:val="24"/>
          <w:szCs w:val="24"/>
        </w:rPr>
        <w:t>Homo heidelbergensis</w:t>
      </w:r>
      <w:r>
        <w:rPr>
          <w:rFonts w:eastAsia="Georgia" w:cs="Georgia"/>
          <w:sz w:val="24"/>
          <w:szCs w:val="24"/>
        </w:rPr>
        <w:t xml:space="preserve"> populations that had migrated into Europe. Cold conditions led them to develop specialized adaptations: stocky builds, wide noses for warming and humidifying air, and short limbs that conserved heat.</w:t>
      </w:r>
    </w:p>
    <w:p>
      <w:pPr>
        <w:pStyle w:val="Normal"/>
        <w:bidi w:val="0"/>
        <w:spacing w:lineRule="exact" w:line="276" w:before="0" w:after="200"/>
        <w:jc w:val="start"/>
        <w:rPr/>
      </w:pPr>
      <w:r>
        <w:rPr>
          <w:rFonts w:eastAsia="Georgia" w:cs="Georgia"/>
          <w:sz w:val="24"/>
          <w:szCs w:val="24"/>
        </w:rPr>
        <w:t>The evidence for Neanderthal rationality has grown dramatically in recent years. According to the Smithsonian Institution, Neanderthals “made and used a diverse set of sophisticated tools, controlled fire, lived in shelters, made and wore clothing, were skilled hunters of large animals and also ate plant foods, and occasionally made symbolic or ornamental objects. There is evidence that Neanderthals deliberately buried their dead and occasionally even marked their graves with offerings, such as flowers. No other primates, and no earlier human species, had ever practiced this sophisticated and symbolic behavior.”</w:t>
      </w:r>
      <w:r>
        <w:rPr>
          <w:rStyle w:val="FootnoteReference"/>
        </w:rPr>
        <w:footnoteReference w:id="35"/>
      </w:r>
    </w:p>
    <w:p>
      <w:pPr>
        <w:pStyle w:val="Normal"/>
        <w:bidi w:val="0"/>
        <w:spacing w:lineRule="exact" w:line="276" w:before="0" w:after="200"/>
        <w:jc w:val="start"/>
        <w:rPr/>
      </w:pPr>
      <w:r>
        <w:rPr>
          <w:rFonts w:eastAsia="Georgia" w:cs="Georgia"/>
          <w:sz w:val="24"/>
          <w:szCs w:val="24"/>
        </w:rPr>
        <w:t xml:space="preserve">In 2018, studies published in the journal </w:t>
      </w:r>
      <w:r>
        <w:rPr>
          <w:rFonts w:eastAsia="Georgia" w:cs="Georgia"/>
          <w:i/>
          <w:iCs/>
          <w:sz w:val="24"/>
          <w:szCs w:val="24"/>
        </w:rPr>
        <w:t>Science</w:t>
      </w:r>
      <w:r>
        <w:rPr>
          <w:rFonts w:eastAsia="Georgia" w:cs="Georgia"/>
          <w:sz w:val="24"/>
          <w:szCs w:val="24"/>
        </w:rPr>
        <w:t xml:space="preserve"> using uranium-thorium dating revealed that Neanderthals created cave paintings in Spain more than 64,000 years ago—at least 20,000 years before modern humans arrived in Europe.</w:t>
      </w:r>
      <w:r>
        <w:rPr>
          <w:rStyle w:val="FootnoteReference"/>
        </w:rPr>
        <w:footnoteReference w:id="36"/>
      </w:r>
      <w:r>
        <w:rPr>
          <w:rFonts w:eastAsia="Georgia" w:cs="Georgia"/>
          <w:sz w:val="24"/>
          <w:szCs w:val="24"/>
        </w:rPr>
        <w:t xml:space="preserve"> As Alistair Pike, professor of archaeological sciences at the University of Southampton, stated: “Undoubtedly it is showing that Neanderthals were thinking and behaving just like modern humans. We should no longer think of them as a different species, just humans in different places.”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All modern human populations outside Africa carry approximately 1–4% Neanderthal DNA, confirming that interbreeding occurred. In our framework, this is not human-animal hybridization but family reuniting after hundreds of thousands of years of geographic separation.</w:t>
      </w:r>
    </w:p>
    <w:p>
      <w:pPr>
        <w:pStyle w:val="Heading2"/>
        <w:bidi w:val="0"/>
        <w:spacing w:before="280" w:after="160"/>
        <w:jc w:val="start"/>
        <w:rPr/>
      </w:pPr>
      <w:r>
        <w:rPr/>
        <w:t>The Denisovans</w:t>
      </w:r>
    </w:p>
    <w:p>
      <w:pPr>
        <w:pStyle w:val="Normal"/>
        <w:bidi w:val="0"/>
        <w:spacing w:lineRule="exact" w:line="276" w:before="0" w:after="200"/>
        <w:jc w:val="start"/>
        <w:rPr/>
      </w:pPr>
      <w:r>
        <w:rPr>
          <w:rFonts w:eastAsia="Georgia" w:cs="Georgia"/>
          <w:sz w:val="24"/>
          <w:szCs w:val="24"/>
        </w:rPr>
        <w:t xml:space="preserve">The Denisovans are perhaps the most mysterious members of the hominid family. They are known primarily from a few fragmentary fossils found in Denisova Cave in the Altai Mountains of Siberia, and from the Baishiya Karst Cave on the Tibetan Plateau in China. Their name comes simply from the cave where they were discovered. Unlike Neanderthals and </w:t>
      </w:r>
      <w:r>
        <w:rPr>
          <w:rFonts w:eastAsia="Georgia" w:cs="Georgia"/>
          <w:i/>
          <w:iCs/>
          <w:sz w:val="24"/>
          <w:szCs w:val="24"/>
        </w:rPr>
        <w:t>Homo sapiens</w:t>
      </w:r>
      <w:r>
        <w:rPr>
          <w:rFonts w:eastAsia="Georgia" w:cs="Georgia"/>
          <w:sz w:val="24"/>
          <w:szCs w:val="24"/>
        </w:rPr>
        <w:t>, there are too few Denisovan fossils to give a complete physical description of the species. Until June 2025, when the Harbin cranium was identified as potentially Denisovan through mitochondrial DNA (genetic material inherited exclusively from the mother, useful for tracing maternal lineages) and autosomal proteomics (the study of proteins encoded by non-sex chromosomes, which can survive longer than DNA in ancient remains), they had not even been given a formal species name—they are the first ancient hominid species identified primarily through DNA rather than fossils.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DNA evidence suggests that Denisovans shared a common ancestor with Neanderthals approximately 400,000–640,000 years ago. They split from the Neanderthal lineage and moved east into Asia. Denisovan DNA is found at significant levels in modern Melanesian, Australian Aboriginal, and some Southeast Asian populations—approximately 4–6% of their genome—indicating substantial interbreeding between Denisovans and the ancestors of these peoples. About 4% of the Denisovan genome itself derives from an unidentified archaic human species that diverged from the modern human lineage over one million years ago, adding yet another layer of complexity to the hominid family tree.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In our framework, the Denisovans are simply the eastern branch of Adam’s family—descendants who migrated into Asia and adapted to that environment over hundreds of thousands of years, just as Neanderthals adapted to Europe.</w:t>
      </w:r>
    </w:p>
    <w:p>
      <w:pPr>
        <w:pStyle w:val="Heading2"/>
        <w:bidi w:val="0"/>
        <w:spacing w:before="280" w:after="160"/>
        <w:jc w:val="start"/>
        <w:rPr/>
      </w:pPr>
      <w:r>
        <w:rPr/>
        <w:t>Other Hominids: Homo floresiensis, Homo naledi, and More</w:t>
      </w:r>
    </w:p>
    <w:p>
      <w:pPr>
        <w:pStyle w:val="Normal"/>
        <w:bidi w:val="0"/>
        <w:spacing w:lineRule="exact" w:line="276" w:before="0" w:after="200"/>
        <w:jc w:val="start"/>
        <w:rPr/>
      </w:pPr>
      <w:r>
        <w:rPr>
          <w:rFonts w:eastAsia="Georgia" w:cs="Georgia"/>
          <w:sz w:val="24"/>
          <w:szCs w:val="24"/>
        </w:rPr>
        <w:t xml:space="preserve">The fossil record includes additional hominid species that further illustrate the diversity of the human family. </w:t>
      </w:r>
      <w:r>
        <w:rPr>
          <w:rFonts w:eastAsia="Georgia" w:cs="Georgia"/>
          <w:i/>
          <w:iCs/>
          <w:sz w:val="24"/>
          <w:szCs w:val="24"/>
        </w:rPr>
        <w:t>Homo floresiensis</w:t>
      </w:r>
      <w:r>
        <w:rPr>
          <w:rFonts w:eastAsia="Georgia" w:cs="Georgia"/>
          <w:sz w:val="24"/>
          <w:szCs w:val="24"/>
        </w:rPr>
        <w:t xml:space="preserve"> (“Hobbit Man”), discovered on the Indonesian island of Flores, was a diminutive hominid standing only about 3.5 feet tall, with a small brain but evidence of tool use. </w:t>
      </w:r>
      <w:r>
        <w:rPr>
          <w:rFonts w:eastAsia="Georgia" w:cs="Georgia"/>
          <w:i/>
          <w:iCs/>
          <w:sz w:val="24"/>
          <w:szCs w:val="24"/>
        </w:rPr>
        <w:t>Homo naledi</w:t>
      </w:r>
      <w:r>
        <w:rPr>
          <w:rFonts w:eastAsia="Georgia" w:cs="Georgia"/>
          <w:sz w:val="24"/>
          <w:szCs w:val="24"/>
        </w:rPr>
        <w:t xml:space="preserve">, discovered in South Africa’s Rising Star Cave, had a small brain but may have practiced deliberate burial deep in cave systems, and recent claims suggest they created symbolic carvings. </w:t>
      </w:r>
      <w:r>
        <w:rPr>
          <w:rFonts w:eastAsia="Georgia" w:cs="Georgia"/>
          <w:i/>
          <w:iCs/>
          <w:sz w:val="24"/>
          <w:szCs w:val="24"/>
        </w:rPr>
        <w:t>Homo luzonensis</w:t>
      </w:r>
      <w:r>
        <w:rPr>
          <w:rFonts w:eastAsia="Georgia" w:cs="Georgia"/>
          <w:sz w:val="24"/>
          <w:szCs w:val="24"/>
        </w:rPr>
        <w:t xml:space="preserve"> was identified from fossils found in the Philippines. These species lived contemporaneously with </w:t>
      </w:r>
      <w:r>
        <w:rPr>
          <w:rFonts w:eastAsia="Georgia" w:cs="Georgia"/>
          <w:i/>
          <w:iCs/>
          <w:sz w:val="24"/>
          <w:szCs w:val="24"/>
        </w:rPr>
        <w:t>Homo sapiens</w:t>
      </w:r>
      <w:r>
        <w:rPr>
          <w:rFonts w:eastAsia="Georgia" w:cs="Georgia"/>
          <w:sz w:val="24"/>
          <w:szCs w:val="24"/>
        </w:rPr>
        <w:t xml:space="preserve"> in at least some periods, presenting a picture of a world populated by multiple hominid species at the same time.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As paleoanthropologist Chris Stringer of the Natural History Museum, London, has noted: “It is now looking like Africa and Eurasia were inhabited by a whole range of hominin species just a few hundred thousand years ago.” In our framework, these are all branches of the same Adamic family tree, diversified through geographic isolation and environmental adaptation over the vast timescales that Genesis compresses into a few chapters.</w:t>
      </w:r>
    </w:p>
    <w:p>
      <w:pPr>
        <w:pStyle w:val="Heading2"/>
        <w:bidi w:val="0"/>
        <w:spacing w:before="280" w:after="160"/>
        <w:jc w:val="start"/>
        <w:rPr/>
      </w:pPr>
      <w:r>
        <w:rPr/>
        <w:t>The Taxonomic Question: Species or Subspecies?</w:t>
      </w:r>
    </w:p>
    <w:p>
      <w:pPr>
        <w:pStyle w:val="Normal"/>
        <w:bidi w:val="0"/>
        <w:spacing w:lineRule="exact" w:line="276" w:before="0" w:after="200"/>
        <w:jc w:val="start"/>
        <w:rPr/>
      </w:pPr>
      <w:r>
        <w:rPr>
          <w:rFonts w:eastAsia="Georgia" w:cs="Georgia"/>
          <w:sz w:val="24"/>
          <w:szCs w:val="24"/>
        </w:rPr>
        <w:t>An important note on classification. In biological taxonomy, Neanderthals are classified either as a separate species (</w:t>
      </w:r>
      <w:r>
        <w:rPr>
          <w:rFonts w:eastAsia="Georgia" w:cs="Georgia"/>
          <w:i/>
          <w:iCs/>
          <w:sz w:val="24"/>
          <w:szCs w:val="24"/>
        </w:rPr>
        <w:t>Homo neanderthalensis</w:t>
      </w:r>
      <w:r>
        <w:rPr>
          <w:rFonts w:eastAsia="Georgia" w:cs="Georgia"/>
          <w:sz w:val="24"/>
          <w:szCs w:val="24"/>
        </w:rPr>
        <w:t xml:space="preserve">) or as a subspecies of </w:t>
      </w:r>
      <w:r>
        <w:rPr>
          <w:rFonts w:eastAsia="Georgia" w:cs="Georgia"/>
          <w:i/>
          <w:iCs/>
          <w:sz w:val="24"/>
          <w:szCs w:val="24"/>
        </w:rPr>
        <w:t>Homo sapiens</w:t>
      </w:r>
      <w:r>
        <w:rPr>
          <w:rFonts w:eastAsia="Georgia" w:cs="Georgia"/>
          <w:sz w:val="24"/>
          <w:szCs w:val="24"/>
        </w:rPr>
        <w:t xml:space="preserve"> (</w:t>
      </w:r>
      <w:r>
        <w:rPr>
          <w:rFonts w:eastAsia="Georgia" w:cs="Georgia"/>
          <w:i/>
          <w:iCs/>
          <w:sz w:val="24"/>
          <w:szCs w:val="24"/>
        </w:rPr>
        <w:t>Homo sapiens neanderthalensis</w:t>
      </w:r>
      <w:r>
        <w:rPr>
          <w:rFonts w:eastAsia="Georgia" w:cs="Georgia"/>
          <w:sz w:val="24"/>
          <w:szCs w:val="24"/>
        </w:rPr>
        <w:t>). Scientists do not fully agree. The fact that Neanderthals and modern humans interbred and produced fertile offspring satisfies the classic biological species test for belonging to the same species. The trend in recent research has been toward recognizing greater cognitive and behavioral similarity between Neanderthals and modern humans than was previously assumed. This taxonomic ambiguity actually supports our framework: these are not radically different creatures but closely related members of the same extended family.</w:t>
      </w:r>
    </w:p>
    <w:p>
      <w:pPr>
        <w:pStyle w:val="Heading2"/>
        <w:bidi w:val="0"/>
        <w:spacing w:before="280" w:after="160"/>
        <w:jc w:val="start"/>
        <w:rPr/>
      </w:pPr>
      <w:r>
        <w:rPr/>
        <w:t>Required vs. Open: What the Church Demands About Our Hominid Relatives</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Human beings are made in the image and likeness of God (</w:t>
      </w:r>
      <w:hyperlink r:id="rId55">
        <w:r>
          <w:rPr>
            <w:rStyle w:val="ListLabel11"/>
            <w:rFonts w:eastAsia="Georgia" w:cs="Georgia"/>
            <w:b/>
            <w:bCs/>
            <w:color w:val="0563C1"/>
            <w:sz w:val="24"/>
            <w:szCs w:val="24"/>
            <w:u w:val="single"/>
          </w:rPr>
          <w:t>Genesis 1:27</w:t>
        </w:r>
      </w:hyperlink>
      <w:r>
        <w:rPr>
          <w:rFonts w:eastAsia="Georgia" w:cs="Georgia"/>
          <w:sz w:val="24"/>
          <w:szCs w:val="24"/>
        </w:rPr>
        <w:t xml:space="preserve">; </w:t>
      </w:r>
      <w:hyperlink r:id="rId56">
        <w:r>
          <w:rPr>
            <w:rStyle w:val="ListLabel12"/>
            <w:rFonts w:eastAsia="Georgia" w:cs="Georgia"/>
            <w:color w:val="0563C1"/>
            <w:sz w:val="24"/>
            <w:szCs w:val="24"/>
            <w:u w:val="single"/>
          </w:rPr>
          <w:t>CCC §356</w:t>
        </w:r>
      </w:hyperlink>
      <w:r>
        <w:rPr>
          <w:rFonts w:eastAsia="Georgia" w:cs="Georgia"/>
          <w:sz w:val="24"/>
          <w:szCs w:val="24"/>
        </w:rPr>
        <w:t xml:space="preserve">; </w:t>
      </w:r>
      <w:hyperlink r:id="rId57">
        <w:r>
          <w:rPr>
            <w:rStyle w:val="ListLabel10"/>
            <w:rFonts w:eastAsia="Georgia" w:cs="Georgia"/>
            <w:i/>
            <w:iCs/>
            <w:color w:val="0563C1"/>
            <w:sz w:val="24"/>
            <w:szCs w:val="24"/>
            <w:u w:val="single"/>
          </w:rPr>
          <w:t>Gaudium et Spes</w:t>
        </w:r>
      </w:hyperlink>
      <w:hyperlink r:id="rId58">
        <w:r>
          <w:rPr>
            <w:rStyle w:val="ListLabel12"/>
            <w:rFonts w:eastAsia="Georgia" w:cs="Georgia"/>
            <w:color w:val="0563C1"/>
            <w:sz w:val="24"/>
            <w:szCs w:val="24"/>
            <w:u w:val="single"/>
          </w:rPr>
          <w:t>, §12</w:t>
        </w:r>
      </w:hyperlink>
      <w:r>
        <w:rPr>
          <w:rFonts w:eastAsia="Georgia" w:cs="Georgia"/>
          <w:sz w:val="24"/>
          <w:szCs w:val="24"/>
        </w:rPr>
        <w:t>: “According to the almost unanimous opinion of believers and unbelievers alike, all things on earth should be related to man as their center and crown”).</w:t>
      </w:r>
      <w:r>
        <w:rPr>
          <w:rStyle w:val="FootnoteReference"/>
        </w:rPr>
        <w:footnoteReference w:id="37"/>
      </w:r>
      <w:r>
        <w:rPr>
          <w:rFonts w:eastAsia="Georgia" w:cs="Georgia"/>
          <w:sz w:val="24"/>
          <w:szCs w:val="24"/>
        </w:rPr>
        <w:t xml:space="preserve"> The human soul is directly created by God and is not the product of material evolution (</w:t>
      </w:r>
      <w:hyperlink r:id="rId59">
        <w:r>
          <w:rPr>
            <w:rStyle w:val="ListLabel12"/>
            <w:rFonts w:eastAsia="Georgia" w:cs="Georgia"/>
            <w:color w:val="0563C1"/>
            <w:sz w:val="24"/>
            <w:szCs w:val="24"/>
            <w:u w:val="single"/>
          </w:rPr>
          <w:t>CCC §366</w:t>
        </w:r>
      </w:hyperlink>
      <w:r>
        <w:rPr>
          <w:rFonts w:eastAsia="Georgia" w:cs="Georgia"/>
          <w:sz w:val="24"/>
          <w:szCs w:val="24"/>
        </w:rPr>
        <w:t xml:space="preserve">; </w:t>
      </w:r>
      <w:hyperlink r:id="rId60">
        <w:r>
          <w:rPr>
            <w:rStyle w:val="ListLabel10"/>
            <w:rFonts w:eastAsia="Georgia" w:cs="Georgia"/>
            <w:i/>
            <w:iCs/>
            <w:color w:val="0563C1"/>
            <w:sz w:val="24"/>
            <w:szCs w:val="24"/>
            <w:u w:val="single"/>
          </w:rPr>
          <w:t>Humani Generis</w:t>
        </w:r>
      </w:hyperlink>
      <w:hyperlink r:id="rId61">
        <w:r>
          <w:rPr>
            <w:rStyle w:val="ListLabel12"/>
            <w:rFonts w:eastAsia="Georgia" w:cs="Georgia"/>
            <w:color w:val="0563C1"/>
            <w:sz w:val="24"/>
            <w:szCs w:val="24"/>
            <w:u w:val="single"/>
          </w:rPr>
          <w:t>, §36</w:t>
        </w:r>
      </w:hyperlink>
      <w:r>
        <w:rPr>
          <w:rFonts w:eastAsia="Georgia" w:cs="Georgia"/>
          <w:sz w:val="24"/>
          <w:szCs w:val="24"/>
        </w:rPr>
        <w:t xml:space="preserve">: “the Catholic faith obliges us to hold that souls are immediately created by God”). The soul is the substantial form of the body (Council of Vienne, 1312, </w:t>
      </w:r>
      <w:r>
        <w:rPr>
          <w:rFonts w:eastAsia="Georgia" w:cs="Georgia"/>
          <w:i/>
          <w:iCs/>
          <w:sz w:val="24"/>
          <w:szCs w:val="24"/>
        </w:rPr>
        <w:t>Fidei Catholicae</w:t>
      </w:r>
      <w:r>
        <w:rPr>
          <w:rFonts w:eastAsia="Georgia" w:cs="Georgia"/>
          <w:sz w:val="24"/>
          <w:szCs w:val="24"/>
        </w:rPr>
        <w:t xml:space="preserve">; Fifth Lateran Council, 1513, </w:t>
      </w:r>
      <w:r>
        <w:rPr>
          <w:rFonts w:eastAsia="Georgia" w:cs="Georgia"/>
          <w:i/>
          <w:iCs/>
          <w:sz w:val="24"/>
          <w:szCs w:val="24"/>
        </w:rPr>
        <w:t>Apostolici Regiminis</w:t>
      </w:r>
      <w:r>
        <w:rPr>
          <w:rFonts w:eastAsia="Georgia" w:cs="Georgia"/>
          <w:sz w:val="24"/>
          <w:szCs w:val="24"/>
        </w:rPr>
        <w:t xml:space="preserve">; </w:t>
      </w:r>
      <w:hyperlink r:id="rId62">
        <w:r>
          <w:rPr>
            <w:rStyle w:val="ListLabel12"/>
            <w:rFonts w:eastAsia="Georgia" w:cs="Georgia"/>
            <w:color w:val="0563C1"/>
            <w:sz w:val="24"/>
            <w:szCs w:val="24"/>
            <w:u w:val="single"/>
          </w:rPr>
          <w:t>CCC §365</w:t>
        </w:r>
      </w:hyperlink>
      <w:r>
        <w:rPr>
          <w:rFonts w:eastAsia="Georgia" w:cs="Georgia"/>
          <w:sz w:val="24"/>
          <w:szCs w:val="24"/>
        </w:rPr>
        <w:t>). All true human beings—those possessing rational souls—descend from Adam and Eve (</w:t>
      </w:r>
      <w:hyperlink r:id="rId63">
        <w:r>
          <w:rPr>
            <w:rStyle w:val="ListLabel10"/>
            <w:rFonts w:eastAsia="Georgia" w:cs="Georgia"/>
            <w:i/>
            <w:iCs/>
            <w:color w:val="0563C1"/>
            <w:sz w:val="24"/>
            <w:szCs w:val="24"/>
            <w:u w:val="single"/>
          </w:rPr>
          <w:t>Humani Generis</w:t>
        </w:r>
      </w:hyperlink>
      <w:hyperlink r:id="rId64">
        <w:r>
          <w:rPr>
            <w:rStyle w:val="ListLabel12"/>
            <w:rFonts w:eastAsia="Georgia" w:cs="Georgia"/>
            <w:color w:val="0563C1"/>
            <w:sz w:val="24"/>
            <w:szCs w:val="24"/>
            <w:u w:val="single"/>
          </w:rPr>
          <w:t>, §37</w:t>
        </w:r>
      </w:hyperlink>
      <w:r>
        <w:rPr>
          <w:rFonts w:eastAsia="Georgia" w:cs="Georgia"/>
          <w:sz w:val="24"/>
          <w:szCs w:val="24"/>
        </w:rPr>
        <w:t>).</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The Church has issued no definitive teaching on the spiritual status of Neanderthals, Denisovans, </w:t>
      </w:r>
      <w:r>
        <w:rPr>
          <w:rFonts w:eastAsia="Georgia" w:cs="Georgia"/>
          <w:i/>
          <w:iCs/>
          <w:sz w:val="24"/>
          <w:szCs w:val="24"/>
        </w:rPr>
        <w:t>Homo erectus</w:t>
      </w:r>
      <w:r>
        <w:rPr>
          <w:rFonts w:eastAsia="Georgia" w:cs="Georgia"/>
          <w:sz w:val="24"/>
          <w:szCs w:val="24"/>
        </w:rPr>
        <w:t xml:space="preserve">, or any other hominid group. The International Theological Commission’s 2004 document “Communion and Stewardship” acknowledges “the emergence of the first members of the human species (whether as individuals or in populations)” without specifying which fossil species counts as human. Pope Pius XII, in </w:t>
      </w:r>
      <w:hyperlink r:id="rId65">
        <w:r>
          <w:rPr>
            <w:rStyle w:val="ListLabel10"/>
            <w:rFonts w:eastAsia="Georgia" w:cs="Georgia"/>
            <w:i/>
            <w:iCs/>
            <w:color w:val="0563C1"/>
            <w:sz w:val="24"/>
            <w:szCs w:val="24"/>
            <w:u w:val="single"/>
          </w:rPr>
          <w:t>Humani Generis</w:t>
        </w:r>
      </w:hyperlink>
      <w:r>
        <w:rPr>
          <w:rFonts w:eastAsia="Georgia" w:cs="Georgia"/>
          <w:sz w:val="24"/>
          <w:szCs w:val="24"/>
        </w:rPr>
        <w:t>, §36, permitted investigation of bodily evolution from pre-existing living matter but made no pronouncement on which ancestral forms qualify. Whether Neanderthals and Denisovans possessed rational souls, whether they are descendants of Adam, and how they relate to the ensoulment event are all questions of legitimate inquiry. Our framework proposes that all hominid groups showing evidence of symbolic, rational behavior are ensouled descendants of Adam—but this is a theological interpretation, not a dogmatic requirement. A Catholic could coherently hold different views on the spiritual status of Neanderthals without contradicting any defined teaching.</w:t>
      </w:r>
    </w:p>
    <w:p>
      <w:pPr>
        <w:pStyle w:val="Normal"/>
        <w:bidi w:val="0"/>
        <w:jc w:val="start"/>
        <w:rPr/>
      </w:pPr>
      <w:r>
        <w:rPr/>
      </w:r>
      <w:r>
        <w:br w:type="page"/>
      </w:r>
    </w:p>
    <w:p>
      <w:pPr>
        <w:pStyle w:val="Heading1"/>
        <w:bidi w:val="0"/>
        <w:spacing w:before="0" w:after="200"/>
        <w:jc w:val="start"/>
        <w:rPr/>
      </w:pPr>
      <w:r>
        <w:rPr/>
        <w:t>Chapter 7: The Synthesis—A Proposed Framework</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Having surveyed the evidence and the existing models, we are now in a position to present the framework that this document proposes. It attempts to satisfy all of the following constraints simultaneously: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Catholic monogenism: Adam and Eve are the first and only ensouled humans, and every true human being descends from them. Original sin is transmitted through descent, as the Council of Trent requires. The genetic diversity we observe in modern human populations must be accounted for. The “other people” Cain fears and the wife he finds must be explained. The various hominid groups in the fossil record must be accounted for. And the evidence of rational, symbolic behavior in Neanderthals and Denisovans must be explained.</w:t>
      </w:r>
    </w:p>
    <w:p>
      <w:pPr>
        <w:pStyle w:val="Heading2"/>
        <w:bidi w:val="0"/>
        <w:spacing w:before="280" w:after="160"/>
        <w:jc w:val="start"/>
        <w:rPr/>
      </w:pPr>
      <w:r>
        <w:rPr/>
        <w:t>The Framework</w:t>
      </w:r>
    </w:p>
    <w:p>
      <w:pPr>
        <w:pStyle w:val="Heading3"/>
        <w:bidi w:val="0"/>
        <w:spacing w:before="240" w:after="120"/>
        <w:jc w:val="start"/>
        <w:rPr/>
      </w:pPr>
      <w:r>
        <w:rPr/>
        <w:t>Stage One: The Preparation (Billions of Years to ~1 Million Years Ago)</w:t>
      </w:r>
    </w:p>
    <w:p>
      <w:pPr>
        <w:pStyle w:val="Normal"/>
        <w:bidi w:val="0"/>
        <w:spacing w:lineRule="exact" w:line="276" w:before="0" w:after="200"/>
        <w:jc w:val="start"/>
        <w:rPr/>
      </w:pPr>
      <w:r>
        <w:rPr>
          <w:rFonts w:eastAsia="Georgia" w:cs="Georgia"/>
          <w:sz w:val="24"/>
          <w:szCs w:val="24"/>
        </w:rPr>
        <w:t xml:space="preserve">God’s creation unfolds over billions of years through processes built into nature. Through something like the mechanism Augros and Stanciu describe—latent biological potential unfolding in stages—the primate lineage produces increasingly sophisticated hominids. </w:t>
      </w:r>
      <w:r>
        <w:rPr>
          <w:rFonts w:eastAsia="Georgia" w:cs="Georgia"/>
          <w:i/>
          <w:iCs/>
          <w:sz w:val="24"/>
          <w:szCs w:val="24"/>
        </w:rPr>
        <w:t>Homo habilis</w:t>
      </w:r>
      <w:r>
        <w:rPr>
          <w:rFonts w:eastAsia="Georgia" w:cs="Georgia"/>
          <w:sz w:val="24"/>
          <w:szCs w:val="24"/>
        </w:rPr>
        <w:t xml:space="preserve"> gives way to </w:t>
      </w:r>
      <w:r>
        <w:rPr>
          <w:rFonts w:eastAsia="Georgia" w:cs="Georgia"/>
          <w:i/>
          <w:iCs/>
          <w:sz w:val="24"/>
          <w:szCs w:val="24"/>
        </w:rPr>
        <w:t>Homo erectus</w:t>
      </w:r>
      <w:r>
        <w:rPr>
          <w:rFonts w:eastAsia="Georgia" w:cs="Georgia"/>
          <w:sz w:val="24"/>
          <w:szCs w:val="24"/>
        </w:rPr>
        <w:t xml:space="preserve">, which gives way to </w:t>
      </w:r>
      <w:r>
        <w:rPr>
          <w:rFonts w:eastAsia="Georgia" w:cs="Georgia"/>
          <w:i/>
          <w:iCs/>
          <w:sz w:val="24"/>
          <w:szCs w:val="24"/>
        </w:rPr>
        <w:t>Homo heidelbergensis</w:t>
      </w:r>
      <w:r>
        <w:rPr>
          <w:rFonts w:eastAsia="Georgia" w:cs="Georgia"/>
          <w:sz w:val="24"/>
          <w:szCs w:val="24"/>
        </w:rPr>
        <w:t>. Each stage is genuinely different from the last—different brain size, different tool traditions, different behavioral complexity. These are not slight variations. They represent the progressive unfolding of a divinely guided process.</w:t>
      </w:r>
    </w:p>
    <w:p>
      <w:pPr>
        <w:pStyle w:val="Normal"/>
        <w:bidi w:val="0"/>
        <w:spacing w:lineRule="exact" w:line="276" w:before="0" w:after="200"/>
        <w:jc w:val="start"/>
        <w:rPr/>
      </w:pPr>
      <w:r>
        <w:rPr>
          <w:rFonts w:eastAsia="Georgia" w:cs="Georgia"/>
          <w:sz w:val="24"/>
          <w:szCs w:val="24"/>
        </w:rPr>
        <w:t xml:space="preserve">By roughly 900,000 to 1,000,000 years ago, this process has produced beings that are biologically very close to what we would call human. They have complex brains, they use tools, they control fire, they live in social groups. But they lack rational souls. They are the most sophisticated animals on earth—but they are still animals. In Thomistic philosophy, they possess </w:t>
      </w:r>
      <w:r>
        <w:rPr>
          <w:rFonts w:eastAsia="Georgia" w:cs="Georgia"/>
          <w:i/>
          <w:iCs/>
          <w:sz w:val="24"/>
          <w:szCs w:val="24"/>
        </w:rPr>
        <w:t>sensitive souls</w:t>
      </w:r>
      <w:r>
        <w:rPr>
          <w:rFonts w:eastAsia="Georgia" w:cs="Georgia"/>
          <w:sz w:val="24"/>
          <w:szCs w:val="24"/>
        </w:rPr>
        <w:t xml:space="preserve"> (the capacity to perceive, feel, respond, and learn) but not </w:t>
      </w:r>
      <w:r>
        <w:rPr>
          <w:rFonts w:eastAsia="Georgia" w:cs="Georgia"/>
          <w:i/>
          <w:iCs/>
          <w:sz w:val="24"/>
          <w:szCs w:val="24"/>
        </w:rPr>
        <w:t>rational souls</w:t>
      </w:r>
      <w:r>
        <w:rPr>
          <w:rFonts w:eastAsia="Georgia" w:cs="Georgia"/>
          <w:sz w:val="24"/>
          <w:szCs w:val="24"/>
        </w:rPr>
        <w:t xml:space="preserve"> (the capacity for abstract thought, moral reasoning, self-awareness, and knowledge of God).</w:t>
      </w:r>
    </w:p>
    <w:p>
      <w:pPr>
        <w:pStyle w:val="Heading3"/>
        <w:bidi w:val="0"/>
        <w:spacing w:before="240" w:after="120"/>
        <w:jc w:val="start"/>
        <w:rPr/>
      </w:pPr>
      <w:r>
        <w:rPr/>
        <w:t>Stage Two: The Act of God (~750,000–1,000,000 Years Ago)</w:t>
      </w:r>
    </w:p>
    <w:p>
      <w:pPr>
        <w:pStyle w:val="Normal"/>
        <w:bidi w:val="0"/>
        <w:spacing w:lineRule="exact" w:line="276" w:before="0" w:after="200"/>
        <w:jc w:val="start"/>
        <w:rPr/>
      </w:pPr>
      <w:r>
        <w:rPr>
          <w:rFonts w:eastAsia="Georgia" w:cs="Georgia"/>
          <w:sz w:val="24"/>
          <w:szCs w:val="24"/>
        </w:rPr>
        <w:t>God acts directly. He takes material from this lineage—“formed man from the dust of the ground” (</w:t>
      </w:r>
      <w:hyperlink r:id="rId66">
        <w:r>
          <w:rPr>
            <w:rStyle w:val="ListLabel11"/>
            <w:rFonts w:eastAsia="Georgia" w:cs="Georgia"/>
            <w:b/>
            <w:bCs/>
            <w:color w:val="0563C1"/>
            <w:sz w:val="24"/>
            <w:szCs w:val="24"/>
            <w:u w:val="single"/>
          </w:rPr>
          <w:t>Genesis 2:7</w:t>
        </w:r>
      </w:hyperlink>
      <w:r>
        <w:rPr>
          <w:rFonts w:eastAsia="Georgia" w:cs="Georgia"/>
          <w:sz w:val="24"/>
          <w:szCs w:val="24"/>
        </w:rPr>
        <w:t xml:space="preserve">)—and creates Adam. The “dust of the ground” is the biological substrate that the entire creative process has been building toward. God is not working from nothing; He is completing what He has been preparing. The ensoulment is not just adding an invisible property to an unchanged body. Catholic teaching holds that the rational soul is the </w:t>
      </w:r>
      <w:r>
        <w:rPr>
          <w:rFonts w:eastAsia="Georgia" w:cs="Georgia"/>
          <w:i/>
          <w:iCs/>
          <w:sz w:val="24"/>
          <w:szCs w:val="24"/>
        </w:rPr>
        <w:t>form</w:t>
      </w:r>
      <w:r>
        <w:rPr>
          <w:rFonts w:eastAsia="Georgia" w:cs="Georgia"/>
          <w:sz w:val="24"/>
          <w:szCs w:val="24"/>
        </w:rPr>
        <w:t xml:space="preserve"> of the body (Council of Vienne, 1312). It transforms the whole being. As William Lane Craig puts it, “God’s creation of Adam and Eve plausibly required both biological and spiritual renovations, biological to equip their brains with the capacity to serve as instruments of rational thought and spiritual to furnish them with rational souls.”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Eve is then created from Adam—“from his side”—however one understands this: a second direct creative act using Adam’s biological material as substrate, ensuring that the two ensouled beings share the same nature completely.</w:t>
      </w:r>
    </w:p>
    <w:p>
      <w:pPr>
        <w:pStyle w:val="Normal"/>
        <w:bidi w:val="0"/>
        <w:spacing w:lineRule="exact" w:line="276" w:before="0" w:after="200"/>
        <w:jc w:val="start"/>
        <w:rPr/>
      </w:pPr>
      <w:r>
        <w:rPr>
          <w:rFonts w:eastAsia="Georgia" w:cs="Georgia"/>
          <w:sz w:val="24"/>
          <w:szCs w:val="24"/>
        </w:rPr>
        <w:t xml:space="preserve">The result is a being that is </w:t>
      </w:r>
      <w:r>
        <w:rPr>
          <w:rFonts w:eastAsia="Georgia" w:cs="Georgia"/>
          <w:i/>
          <w:iCs/>
          <w:sz w:val="24"/>
          <w:szCs w:val="24"/>
        </w:rPr>
        <w:t>genuinely different</w:t>
      </w:r>
      <w:r>
        <w:rPr>
          <w:rFonts w:eastAsia="Georgia" w:cs="Georgia"/>
          <w:sz w:val="24"/>
          <w:szCs w:val="24"/>
        </w:rPr>
        <w:t xml:space="preserve"> from the hominids around him. Not just invisibly, metaphysically different. Actually, observably different. Adam can think abstractly. He can recognize God. He can name things—which in Genesis is an act of intellectual comprehension, not just labeling. He understands moral categories. He can choose. None of the surrounding hominids can do these things, because these capacities require the rational soul, and the rational soul transforms the whole being.</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They are placed in the Garden. They fall. They are expelled into the wider world.</w:t>
      </w:r>
    </w:p>
    <w:p>
      <w:pPr>
        <w:pStyle w:val="Heading3"/>
        <w:bidi w:val="0"/>
        <w:spacing w:before="240" w:after="120"/>
        <w:jc w:val="start"/>
        <w:rPr/>
      </w:pPr>
      <w:r>
        <w:rPr/>
        <w:t>Stage Three: The Early Generations</w:t>
      </w:r>
    </w:p>
    <w:p>
      <w:pPr>
        <w:pStyle w:val="Normal"/>
        <w:bidi w:val="0"/>
        <w:spacing w:lineRule="exact" w:line="276" w:before="0" w:after="200"/>
        <w:jc w:val="start"/>
        <w:rPr/>
      </w:pPr>
      <w:r>
        <w:rPr>
          <w:rFonts w:eastAsia="Georgia" w:cs="Georgia"/>
          <w:sz w:val="24"/>
          <w:szCs w:val="24"/>
        </w:rPr>
        <w:t xml:space="preserve">Now Adam’s descendants begin to grow. Their children need mates. Catholic theology already recognizes that sibling marriage was </w:t>
      </w:r>
      <w:r>
        <w:rPr>
          <w:rFonts w:eastAsia="Georgia" w:cs="Georgia"/>
          <w:i/>
          <w:iCs/>
          <w:sz w:val="24"/>
          <w:szCs w:val="24"/>
        </w:rPr>
        <w:t>permitted by necessity</w:t>
      </w:r>
      <w:r>
        <w:rPr>
          <w:rFonts w:eastAsia="Georgia" w:cs="Georgia"/>
          <w:sz w:val="24"/>
          <w:szCs w:val="24"/>
        </w:rPr>
        <w:t xml:space="preserve"> in the first generations of Adam’s children, even though it later became prohibited. This is the standard theological answer, held since the patristic era: in the first generations, brothers married sisters because there was no alternative, and no prohibition had yet been given.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 common objection arises immediately: would not so much inbreeding cause genetic problems? The answer is that inbreeding depression—the accumulation of harmful recessive traits—is a function of pre-existing genetic load. In a newly created pair, with no inherited genetic defects, the first generations of sibling marriage would carry minimal risk. The genetic problems associated with consanguinity (close-relative mating) accumulate over many generations and depend on the number of deleterious recessive alleles already present in the population. A founding pair without such a load could sustain several generations of close intermarriage before diversification became genetically necessary.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Over hundreds of thousands of years, the mechanisms that generate genetic diversity—mutation, recombination, gene conversion, and above all balancing selection (which we will explain in detail in Chapter 11)—produce the extraordinary variety we observe today. As Chapter 11 will show, recent research has demonstrated that these natural mechanisms are far more powerful than previously appreciated, and that the deep lineages once thought to require a large ancestral population can be generated from a small founding group given sufficient time.</w:t>
      </w:r>
    </w:p>
    <w:p>
      <w:pPr>
        <w:pStyle w:val="Normal"/>
        <w:bidi w:val="0"/>
        <w:spacing w:lineRule="exact" w:line="276" w:before="0" w:after="200"/>
        <w:jc w:val="start"/>
        <w:rPr/>
      </w:pPr>
      <w:r>
        <w:rPr>
          <w:rFonts w:eastAsia="Georgia" w:cs="Georgia"/>
          <w:sz w:val="24"/>
          <w:szCs w:val="24"/>
        </w:rPr>
        <w:t>Every child born in the ensouled lineage receives a rational soul from God through descent from Adam. This is consistent with Catholic teaching that every human soul is individually created by God (</w:t>
      </w:r>
      <w:hyperlink r:id="rId67">
        <w:r>
          <w:rPr>
            <w:rStyle w:val="ListLabel12"/>
            <w:rFonts w:eastAsia="Georgia" w:cs="Georgia"/>
            <w:color w:val="0563C1"/>
            <w:sz w:val="24"/>
            <w:szCs w:val="24"/>
            <w:u w:val="single"/>
          </w:rPr>
          <w:t>CCC §366</w:t>
        </w:r>
      </w:hyperlink>
      <w:r>
        <w:rPr>
          <w:rFonts w:eastAsia="Georgia" w:cs="Georgia"/>
          <w:sz w:val="24"/>
          <w:szCs w:val="24"/>
        </w:rPr>
        <w:t>).</w:t>
      </w:r>
    </w:p>
    <w:p>
      <w:pPr>
        <w:pStyle w:val="Heading3"/>
        <w:bidi w:val="0"/>
        <w:spacing w:before="240" w:after="120"/>
        <w:jc w:val="start"/>
        <w:rPr/>
      </w:pPr>
      <w:r>
        <w:rPr/>
        <w:t>Stage Four: The Dispersal (~500,000–300,000 Years Ago)</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Over generations, the ensouled population grows. The rational soul propagates through descent. Genetic diversity accumulates naturally through mutation, recombination, gene conversion, and balancing selection—the same mechanisms operating in every population over time. The ensouled lineage expands and spreads, eventually becoming the only hominid population on earth.</w:t>
      </w:r>
    </w:p>
    <w:p>
      <w:pPr>
        <w:pStyle w:val="Normal"/>
        <w:bidi w:val="0"/>
        <w:spacing w:lineRule="exact" w:line="276" w:before="0" w:after="200"/>
        <w:jc w:val="start"/>
        <w:rPr/>
      </w:pPr>
      <w:r>
        <w:rPr>
          <w:rFonts w:eastAsia="Georgia" w:cs="Georgia"/>
          <w:sz w:val="24"/>
          <w:szCs w:val="24"/>
        </w:rPr>
        <w:t xml:space="preserve">As the ensouled population grows and spreads—out of Africa, into Europe, into Asia—geographic isolation and climate adaptation produce the various hominid groups we find in the fossil record. Around 300,000 years ago, a severe cold, dry period turned the Sahara into an impassable barrier, isolating African and European populations. European populations adapted to cold environments and developed the stocky builds and specialized features of the Neanderthals. Eastern populations became the Denisovans. African populations eventually became anatomically modern </w:t>
      </w:r>
      <w:r>
        <w:rPr>
          <w:rFonts w:eastAsia="Georgia" w:cs="Georgia"/>
          <w:i/>
          <w:iCs/>
          <w:sz w:val="24"/>
          <w:szCs w:val="24"/>
        </w:rPr>
        <w:t>Homo sapiens</w:t>
      </w:r>
      <w:r>
        <w:rPr>
          <w:rFonts w:eastAsia="Georgia" w:cs="Georgia"/>
          <w:sz w:val="24"/>
          <w:szCs w:val="24"/>
        </w:rPr>
        <w:t>.</w:t>
      </w:r>
    </w:p>
    <w:p>
      <w:pPr>
        <w:pStyle w:val="Normal"/>
        <w:bidi w:val="0"/>
        <w:spacing w:lineRule="exact" w:line="276" w:before="0" w:after="200"/>
        <w:jc w:val="start"/>
        <w:rPr/>
      </w:pPr>
      <w:r>
        <w:rPr>
          <w:rFonts w:eastAsia="Georgia" w:cs="Georgia"/>
          <w:sz w:val="24"/>
          <w:szCs w:val="24"/>
        </w:rPr>
        <w:t>But by this point—and this is the critical claim—</w:t>
      </w:r>
      <w:r>
        <w:rPr>
          <w:rFonts w:eastAsia="Georgia" w:cs="Georgia"/>
          <w:b/>
          <w:bCs/>
          <w:sz w:val="24"/>
          <w:szCs w:val="24"/>
        </w:rPr>
        <w:t>all of these populations are already fully ensouled descendants of Adam</w:t>
      </w:r>
      <w:r>
        <w:rPr>
          <w:rFonts w:eastAsia="Georgia" w:cs="Georgia"/>
          <w:sz w:val="24"/>
          <w:szCs w:val="24"/>
        </w:rPr>
        <w:t>. That is why Neanderthals create cave art, bury their dead, wear jewelry, make musical instruments, and collect objects of no practical value. That is why Denisovans contributed genetic material to modern human populations through interbreeding. They are not separate creations, not soulless near-humans, not animals. They are Adam’s children, adapted to different environments over hundreds of thousands of years.</w:t>
      </w:r>
    </w:p>
    <w:p>
      <w:pPr>
        <w:pStyle w:val="Heading3"/>
        <w:bidi w:val="0"/>
        <w:spacing w:before="240" w:after="120"/>
        <w:jc w:val="start"/>
        <w:rPr/>
      </w:pPr>
      <w:r>
        <w:rPr/>
        <w:t>Stage Five: The Reunion (~100,000–40,000 Years Ago)</w:t>
      </w:r>
    </w:p>
    <w:p>
      <w:pPr>
        <w:pStyle w:val="Normal"/>
        <w:bidi w:val="0"/>
        <w:spacing w:lineRule="exact" w:line="276" w:before="0" w:after="200"/>
        <w:jc w:val="start"/>
        <w:rPr/>
      </w:pPr>
      <w:r>
        <w:rPr>
          <w:rFonts w:eastAsia="Georgia" w:cs="Georgia"/>
          <w:sz w:val="24"/>
          <w:szCs w:val="24"/>
        </w:rPr>
        <w:t xml:space="preserve">When anatomically modern </w:t>
      </w:r>
      <w:r>
        <w:rPr>
          <w:rFonts w:eastAsia="Georgia" w:cs="Georgia"/>
          <w:i/>
          <w:iCs/>
          <w:sz w:val="24"/>
          <w:szCs w:val="24"/>
        </w:rPr>
        <w:t>Homo sapiens</w:t>
      </w:r>
      <w:r>
        <w:rPr>
          <w:rFonts w:eastAsia="Georgia" w:cs="Georgia"/>
          <w:sz w:val="24"/>
          <w:szCs w:val="24"/>
        </w:rPr>
        <w:t xml:space="preserve"> migrate out of Africa and encounter Neanderthals in Europe and Denisovans in Asia, the interbreeding that the genetic evidence documents is family reuniting after long separation. All modern human populations outside Africa carry 1–4% Neanderthal DNA. Melanesian and Australian Aboriginal populations carry 4–6% Denisovan DNA. A first-generation hybrid child of a Neanderthal mother and Denisovan father (“Denny”) has been identified from a bone fragment found in Denisova Cave. This is not evidence against monogenism. It is evidence </w:t>
      </w:r>
      <w:r>
        <w:rPr>
          <w:rFonts w:eastAsia="Georgia" w:cs="Georgia"/>
          <w:i/>
          <w:iCs/>
          <w:sz w:val="24"/>
          <w:szCs w:val="24"/>
        </w:rPr>
        <w:t>for</w:t>
      </w:r>
      <w:r>
        <w:rPr>
          <w:rFonts w:eastAsia="Georgia" w:cs="Georgia"/>
          <w:sz w:val="24"/>
          <w:szCs w:val="24"/>
        </w:rPr>
        <w:t xml:space="preserve"> it—evidence of a single family tree reconnecting.</w:t>
      </w:r>
    </w:p>
    <w:p>
      <w:pPr>
        <w:pStyle w:val="Heading2"/>
        <w:bidi w:val="0"/>
        <w:spacing w:before="280" w:after="160"/>
        <w:jc w:val="start"/>
        <w:rPr/>
      </w:pPr>
      <w:r>
        <w:rPr/>
        <w:t>Required vs. Open: What the Church Demands of This Synthesis</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The dogmatic requirements constraining this synthesis are drawn from the highest levels of Church authority. Adam and Eve must be real, historical individuals (</w:t>
      </w:r>
      <w:hyperlink r:id="rId68">
        <w:r>
          <w:rPr>
            <w:rStyle w:val="ListLabel10"/>
            <w:rFonts w:eastAsia="Georgia" w:cs="Georgia"/>
            <w:i/>
            <w:iCs/>
            <w:color w:val="0563C1"/>
            <w:sz w:val="24"/>
            <w:szCs w:val="24"/>
            <w:u w:val="single"/>
          </w:rPr>
          <w:t>Humani Generis</w:t>
        </w:r>
      </w:hyperlink>
      <w:hyperlink r:id="rId69">
        <w:r>
          <w:rPr>
            <w:rStyle w:val="ListLabel12"/>
            <w:rFonts w:eastAsia="Georgia" w:cs="Georgia"/>
            <w:color w:val="0563C1"/>
            <w:sz w:val="24"/>
            <w:szCs w:val="24"/>
            <w:u w:val="single"/>
          </w:rPr>
          <w:t>, §37</w:t>
        </w:r>
      </w:hyperlink>
      <w:r>
        <w:rPr>
          <w:rFonts w:eastAsia="Georgia" w:cs="Georgia"/>
          <w:sz w:val="24"/>
          <w:szCs w:val="24"/>
        </w:rPr>
        <w:t>: the faithful “cannot embrace that opinion which maintains… that Adam represents a certain number of first parents”). All humans must descend from them through biological generation (</w:t>
      </w:r>
      <w:hyperlink r:id="rId70">
        <w:r>
          <w:rPr>
            <w:rStyle w:val="ListLabel12"/>
            <w:rFonts w:eastAsia="Georgia" w:cs="Georgia"/>
            <w:color w:val="0563C1"/>
            <w:sz w:val="24"/>
            <w:szCs w:val="24"/>
            <w:u w:val="single"/>
          </w:rPr>
          <w:t>Council of Trent, Session V, Canon 3</w:t>
        </w:r>
      </w:hyperlink>
      <w:r>
        <w:rPr>
          <w:rFonts w:eastAsia="Georgia" w:cs="Georgia"/>
          <w:sz w:val="24"/>
          <w:szCs w:val="24"/>
        </w:rPr>
        <w:t>: original sin “in its origin is one, and being transfused into all by propagation, not by imitation”). The soul must be directly created by God in each individual (</w:t>
      </w:r>
      <w:hyperlink r:id="rId71">
        <w:r>
          <w:rPr>
            <w:rStyle w:val="ListLabel12"/>
            <w:rFonts w:eastAsia="Georgia" w:cs="Georgia"/>
            <w:color w:val="0563C1"/>
            <w:sz w:val="24"/>
            <w:szCs w:val="24"/>
            <w:u w:val="single"/>
          </w:rPr>
          <w:t>CCC §366</w:t>
        </w:r>
      </w:hyperlink>
      <w:r>
        <w:rPr>
          <w:rFonts w:eastAsia="Georgia" w:cs="Georgia"/>
          <w:sz w:val="24"/>
          <w:szCs w:val="24"/>
        </w:rPr>
        <w:t xml:space="preserve">; </w:t>
      </w:r>
      <w:hyperlink r:id="rId72">
        <w:r>
          <w:rPr>
            <w:rStyle w:val="ListLabel10"/>
            <w:rFonts w:eastAsia="Georgia" w:cs="Georgia"/>
            <w:i/>
            <w:iCs/>
            <w:color w:val="0563C1"/>
            <w:sz w:val="24"/>
            <w:szCs w:val="24"/>
            <w:u w:val="single"/>
          </w:rPr>
          <w:t>Humani Generis</w:t>
        </w:r>
      </w:hyperlink>
      <w:hyperlink r:id="rId73">
        <w:r>
          <w:rPr>
            <w:rStyle w:val="ListLabel12"/>
            <w:rFonts w:eastAsia="Georgia" w:cs="Georgia"/>
            <w:color w:val="0563C1"/>
            <w:sz w:val="24"/>
            <w:szCs w:val="24"/>
            <w:u w:val="single"/>
          </w:rPr>
          <w:t>, §36</w:t>
        </w:r>
      </w:hyperlink>
      <w:r>
        <w:rPr>
          <w:rFonts w:eastAsia="Georgia" w:cs="Georgia"/>
          <w:sz w:val="24"/>
          <w:szCs w:val="24"/>
        </w:rPr>
        <w:t>). The soul is the form of the body, transforming the whole being (Council of Vienne, 1312). The Fall was a real event with real consequences for all humanity (</w:t>
      </w:r>
      <w:hyperlink r:id="rId74">
        <w:r>
          <w:rPr>
            <w:rStyle w:val="ListLabel12"/>
            <w:rFonts w:eastAsia="Georgia" w:cs="Georgia"/>
            <w:color w:val="0563C1"/>
            <w:sz w:val="24"/>
            <w:szCs w:val="24"/>
            <w:u w:val="single"/>
          </w:rPr>
          <w:t>CCC §390</w:t>
        </w:r>
      </w:hyperlink>
      <w:r>
        <w:rPr>
          <w:rFonts w:eastAsia="Georgia" w:cs="Georgia"/>
          <w:sz w:val="24"/>
          <w:szCs w:val="24"/>
        </w:rPr>
        <w:t xml:space="preserve">; </w:t>
      </w:r>
      <w:hyperlink r:id="rId75">
        <w:r>
          <w:rPr>
            <w:rStyle w:val="ListLabel12"/>
            <w:rFonts w:eastAsia="Georgia" w:cs="Georgia"/>
            <w:color w:val="0563C1"/>
            <w:sz w:val="24"/>
            <w:szCs w:val="24"/>
            <w:u w:val="single"/>
          </w:rPr>
          <w:t>Council of Trent, Session V, Canons 1–2</w:t>
        </w:r>
      </w:hyperlink>
      <w:r>
        <w:rPr>
          <w:rFonts w:eastAsia="Georgia" w:cs="Georgia"/>
          <w:sz w:val="24"/>
          <w:szCs w:val="24"/>
        </w:rPr>
        <w:t>). Our framework is constructed specifically to satisfy every one of these requirements.</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The specific date of ensoulment (our proposal of 750,000 to 1,000,000 years ago), the identification of Adam with </w:t>
      </w:r>
      <w:r>
        <w:rPr>
          <w:rFonts w:eastAsia="Georgia" w:cs="Georgia"/>
          <w:i/>
          <w:iCs/>
          <w:sz w:val="24"/>
          <w:szCs w:val="24"/>
        </w:rPr>
        <w:t>Homo heidelbergensis</w:t>
      </w:r>
      <w:r>
        <w:rPr>
          <w:rFonts w:eastAsia="Georgia" w:cs="Georgia"/>
          <w:sz w:val="24"/>
          <w:szCs w:val="24"/>
        </w:rPr>
        <w:t xml:space="preserve">, the mechanisms of genetic diversification, the exact timeline of dispersal, and the claim that all post-dispersal hominid groups are ensouled—these are all interpretive proposals operating within the open space Catholic theology permits. The International Theological Commission (2004) acknowledged that “the story of human origins is complex and subject to revision,” and </w:t>
      </w:r>
      <w:hyperlink r:id="rId76">
        <w:r>
          <w:rPr>
            <w:rStyle w:val="ListLabel10"/>
            <w:rFonts w:eastAsia="Georgia" w:cs="Georgia"/>
            <w:i/>
            <w:iCs/>
            <w:color w:val="0563C1"/>
            <w:sz w:val="24"/>
            <w:szCs w:val="24"/>
            <w:u w:val="single"/>
          </w:rPr>
          <w:t>Humani Generis</w:t>
        </w:r>
      </w:hyperlink>
      <w:hyperlink r:id="rId77">
        <w:r>
          <w:rPr>
            <w:rStyle w:val="ListLabel12"/>
            <w:rFonts w:eastAsia="Georgia" w:cs="Georgia"/>
            <w:color w:val="0563C1"/>
            <w:sz w:val="24"/>
            <w:szCs w:val="24"/>
            <w:u w:val="single"/>
          </w:rPr>
          <w:t>, §36</w:t>
        </w:r>
      </w:hyperlink>
      <w:r>
        <w:rPr>
          <w:rFonts w:eastAsia="Georgia" w:cs="Georgia"/>
          <w:sz w:val="24"/>
          <w:szCs w:val="24"/>
        </w:rPr>
        <w:t>, permits inquiry into bodily evolution “in as far as it inquires into the origin of the human body as coming from pre-existent and living matter.” The Pontifical Biblical Commission (1909) confirmed that Catholics may interpret the “days” of Genesis as periods of time. A Catholic could accept our framework’s dogmatic foundations while differing on its specific scientific and historical claims. The synthesis is offered as a coherent possibility, not as a binding interpretation.</w:t>
      </w:r>
    </w:p>
    <w:p>
      <w:pPr>
        <w:pStyle w:val="Normal"/>
        <w:bidi w:val="0"/>
        <w:jc w:val="start"/>
        <w:rPr/>
      </w:pPr>
      <w:r>
        <w:rPr/>
      </w:r>
      <w:r>
        <w:br w:type="page"/>
      </w:r>
    </w:p>
    <w:p>
      <w:pPr>
        <w:pStyle w:val="Heading1"/>
        <w:bidi w:val="0"/>
        <w:spacing w:before="0" w:after="200"/>
        <w:jc w:val="start"/>
        <w:rPr/>
      </w:pPr>
      <w:r>
        <w:rPr/>
        <w:t>Chapter 8: The Cain and Abel Problem</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If Adam and Eve are the first humans and the Fall happens before any children are born, then when Cain kills Abel and is exiled to the land of Nod, where are the other people he fears? Where does his wife come from?</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Genesis itself never explains this, regardless of timescale. The text simply introduces other people without accounting for them. This is a puzzle under any reading of Genesis—young earth, old earth, or otherwise.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Under the deep-time framework presented here, the resolution is straightforward. Adam and Eve fall before reproducing. They then have children. Over many generations—compressed by Genesis into a few verses—the population grows substantially. By the time the Cain and Abel event occurs, there are enough people for Cain to fear strangers and find a wife in Nod.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Under this framework, with Adam placed at 750,000 to 1,000,000 years ago, the population of his descendants has had an enormous span to grow before the Cain and Abel narrative. The “other people” Cain fears are simply other descendants of Adam—members of a large ensouled population that Genesis compresses into a few verses.</w:t>
      </w:r>
    </w:p>
    <w:p>
      <w:pPr>
        <w:pStyle w:val="Normal"/>
        <w:bidi w:val="0"/>
        <w:spacing w:lineRule="exact" w:line="276" w:before="0" w:after="200"/>
        <w:jc w:val="start"/>
        <w:rPr/>
      </w:pPr>
      <w:r>
        <w:rPr>
          <w:rFonts w:eastAsia="Georgia" w:cs="Georgia"/>
          <w:sz w:val="24"/>
          <w:szCs w:val="24"/>
        </w:rPr>
        <w:t xml:space="preserve">Cain and Abel, critically, are not necessarily the first and second children of Adam and Eve. They are the first </w:t>
      </w:r>
      <w:r>
        <w:rPr>
          <w:rFonts w:eastAsia="Georgia" w:cs="Georgia"/>
          <w:i/>
          <w:iCs/>
          <w:sz w:val="24"/>
          <w:szCs w:val="24"/>
        </w:rPr>
        <w:t>narratively and theologically important</w:t>
      </w:r>
      <w:r>
        <w:rPr>
          <w:rFonts w:eastAsia="Georgia" w:cs="Georgia"/>
          <w:sz w:val="24"/>
          <w:szCs w:val="24"/>
        </w:rPr>
        <w:t xml:space="preserve"> children. Genesis handles genealogy this way throughout—it skips generations freely, gives the significant figures, and compresses potentially vast stretches of time. Matthew’s genealogy of Jesus famously skips known kings. The Hebrew word for “son of” (</w:t>
      </w:r>
      <w:r>
        <w:rPr>
          <w:rFonts w:eastAsia="Georgia" w:cs="Georgia"/>
          <w:i/>
          <w:iCs/>
          <w:sz w:val="24"/>
          <w:szCs w:val="24"/>
        </w:rPr>
        <w:t>ben</w:t>
      </w:r>
      <w:r>
        <w:rPr>
          <w:rFonts w:eastAsia="Georgia" w:cs="Georgia"/>
          <w:sz w:val="24"/>
          <w:szCs w:val="24"/>
        </w:rPr>
        <w:t>) also means “descendant of.” The text is giving theological narrative, not a census.</w:t>
      </w:r>
    </w:p>
    <w:p>
      <w:pPr>
        <w:pStyle w:val="Heading2"/>
        <w:bidi w:val="0"/>
        <w:spacing w:before="280" w:after="160"/>
        <w:jc w:val="start"/>
        <w:rPr/>
      </w:pPr>
      <w:r>
        <w:rPr/>
        <w:t>Required vs. Open: What the Church Demands About Cain, Abel, and the “Other People”</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The narrative of the Fall conveys a real, historical event—“a deed that took place at the beginning of the history of man” (</w:t>
      </w:r>
      <w:hyperlink r:id="rId78">
        <w:r>
          <w:rPr>
            <w:rStyle w:val="ListLabel12"/>
            <w:rFonts w:eastAsia="Georgia" w:cs="Georgia"/>
            <w:color w:val="0563C1"/>
            <w:sz w:val="24"/>
            <w:szCs w:val="24"/>
            <w:u w:val="single"/>
          </w:rPr>
          <w:t>CCC §390</w:t>
        </w:r>
      </w:hyperlink>
      <w:r>
        <w:rPr>
          <w:rFonts w:eastAsia="Georgia" w:cs="Georgia"/>
          <w:sz w:val="24"/>
          <w:szCs w:val="24"/>
        </w:rPr>
        <w:t>). Sin and its consequences are real. The theological truths embedded in the Cain and Abel story—that sin escalates, that violence follows disobedience, that God holds us accountable—are matters of faith and morals.</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Whether Cain and Abel were literally the first and second children born to Adam and Eve, who the “other people” were, where Nod was located, and the chronological scope of the narrative are all open questions. The Catechism acknowledges that Genesis uses “figurative language” (§390), and the Pontifical Biblical Commission’s 1948 letter grants liberty regarding the literary forms of Genesis 1–11. The identity of Cain’s wife has been an open question since the patristic era—Augustine addressed it, as did Aquinas—and the Church has never issued a definitive answer.</w:t>
      </w:r>
    </w:p>
    <w:p>
      <w:pPr>
        <w:pStyle w:val="Normal"/>
        <w:bidi w:val="0"/>
        <w:jc w:val="start"/>
        <w:rPr/>
      </w:pPr>
      <w:r>
        <w:rPr/>
      </w:r>
      <w:r>
        <w:br w:type="page"/>
      </w:r>
    </w:p>
    <w:p>
      <w:pPr>
        <w:pStyle w:val="Heading1"/>
        <w:bidi w:val="0"/>
        <w:spacing w:before="0" w:after="200"/>
        <w:jc w:val="start"/>
        <w:rPr/>
      </w:pPr>
      <w:r>
        <w:rPr/>
        <w:t>Chapter 9: Original Sin and the Nature of the Fall</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Catholic claim about original sin is not that humanity has a design flaw that education, politics, technology, or evolution can fix. It is that humanity has a spiritual wound that only grace can heal.</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one of the most empirically testable claims in theology. Every civilization, every philosophy, every political system has grappled with the fact that human beings consistently choose wrong even when they know better. We build systems of justice because people are unjust. We write laws because people break them. No culture has ever had to teach children to be selfish—selfishness is the default, not a learned behavior.</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Every utopian project in history—every attempt to perfect humanity through education, revolution, social engineering, or technology—has failed. Not because the attempts were poorly executed, but because the people executing them carried the same wound they were trying to cure. The revolution devours its children. The reformers become tyrants. The technology designed to liberate becomes a tool of control.</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If original sin were ignorance, education would fix it. If it were bad social structures, politics would fix it. If it were evolutionary selfishness, we could evolve past it. The Catholic position is that none of these work at the fundamental level because the problem is spiritual, not material. Only grace heals it—grace that comes from outside us, from God, through the sacraments and ultimately through Christ’s redemptive act.</w:t>
      </w:r>
    </w:p>
    <w:p>
      <w:pPr>
        <w:pStyle w:val="Heading2"/>
        <w:bidi w:val="0"/>
        <w:spacing w:before="280" w:after="160"/>
        <w:jc w:val="start"/>
        <w:rPr/>
      </w:pPr>
      <w:r>
        <w:rPr/>
        <w:t>Biological Death and Spiritual Death</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One tension within our framework deserves acknowledgment. Traditional Catholic teaching has sometimes been read as claiming that physical death itself is a consequence of the Fall—that Adam and Eve, had they not sinned, would never have died bodily. This is difficult to maintain in light of the fossil record, which shows that animals had been dying for hundreds of millions of years before any human existed.</w:t>
      </w:r>
    </w:p>
    <w:p>
      <w:pPr>
        <w:pStyle w:val="Normal"/>
        <w:bidi w:val="0"/>
        <w:spacing w:lineRule="exact" w:line="276" w:before="0" w:after="200"/>
        <w:jc w:val="start"/>
        <w:rPr/>
      </w:pPr>
      <w:r>
        <w:rPr>
          <w:rFonts w:eastAsia="Georgia" w:cs="Georgia"/>
          <w:sz w:val="24"/>
          <w:szCs w:val="24"/>
        </w:rPr>
        <w:t xml:space="preserve">The more defensible position, and one well-supported in the Catholic tradition, is that biological death was natural all along—part of the created order for all living things, including the biological substrate from which God formed Adam. What the Fall introduced was </w:t>
      </w:r>
      <w:r>
        <w:rPr>
          <w:rFonts w:eastAsia="Georgia" w:cs="Georgia"/>
          <w:i/>
          <w:iCs/>
          <w:sz w:val="24"/>
          <w:szCs w:val="24"/>
        </w:rPr>
        <w:t>spiritual death</w:t>
      </w:r>
      <w:r>
        <w:rPr>
          <w:rFonts w:eastAsia="Georgia" w:cs="Georgia"/>
          <w:sz w:val="24"/>
          <w:szCs w:val="24"/>
        </w:rPr>
        <w:t xml:space="preserve">—separation from God, the loss of sanctifying grace, the transformation of natural death from a safe passage (under the preternatural gift of bodily immortality that God offered) into something final and terrifying. As the Society of Catholic Scientists explains: “The traditional Catholic doctrine is that the first humans were offered bodily immortality for themselves and their descendants as a preternatural gift—a gift that goes beyond what is natural—on the condition that they would not transgress the commandment God had given them.” </w:t>
      </w:r>
      <w:hyperlink r:id="rId79">
        <w:r>
          <w:rPr>
            <w:rStyle w:val="ListLabel11"/>
            <w:rFonts w:eastAsia="Georgia" w:cs="Georgia"/>
            <w:b/>
            <w:bCs/>
            <w:color w:val="0563C1"/>
            <w:sz w:val="24"/>
            <w:szCs w:val="24"/>
            <w:u w:val="single"/>
          </w:rPr>
          <w:t>Ecclesiastes 3:19</w:t>
        </w:r>
        <w:r>
          <w:rPr>
            <w:rStyle w:val="FootnoteReference"/>
          </w:rPr>
          <w:footnoteReference w:id="38"/>
        </w:r>
      </w:hyperlink>
      <w:r>
        <w:rPr>
          <w:rFonts w:eastAsia="Georgia" w:cs="Georgia"/>
          <w:sz w:val="24"/>
          <w:szCs w:val="24"/>
        </w:rPr>
        <w:t xml:space="preserve"> itself acknowledges: “Surely the fate of human beings is like that of the animals; the same fate awaits them both. As one dies, so dies the other.”</w:t>
      </w:r>
    </w:p>
    <w:p>
      <w:pPr>
        <w:pStyle w:val="Heading2"/>
        <w:bidi w:val="0"/>
        <w:spacing w:before="280" w:after="160"/>
        <w:jc w:val="start"/>
        <w:rPr/>
      </w:pPr>
      <w:r>
        <w:rPr/>
        <w:t>Required vs. Open: What the Church Demands About Original Sin and the Fall</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Original sin is real. It was committed by a real, historical Adam. It is transmitted to all his descendants through generation, not imitation (Council of Trent, Session V, Canons 1–4). All humans are born in a state of original sin and require baptism for its remission. The Fall resulted in the loss of sanctifying grace and of the preternatural gifts God had bestowed. Only the grace of Christ, applied through the sacraments, heals the wound of original sin. These are dogmatic, non-negotiable teachings.</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Whether physical death was a consequence of the Fall or only spiritual death is a matter of legitimate theological discussion. The nature of the preternatural gifts (bodily immortality, freedom from suffering, infused knowledge, integrity of the passions) and their exact scope are debated among theologians. The precise mechanism by which original sin is “transmitted through generation”—whether this is a biological, metaphysical, or combined process—has been discussed by theologians from Augustine to the present without a definitive resolution. The Catechism itself acknowledges that original sin’s transmission is “a mystery that we cannot fully understand” (§404). What the Church requires is the </w:t>
      </w:r>
      <w:r>
        <w:rPr>
          <w:rFonts w:eastAsia="Georgia" w:cs="Georgia"/>
          <w:i/>
          <w:iCs/>
          <w:sz w:val="24"/>
          <w:szCs w:val="24"/>
        </w:rPr>
        <w:t>fact</w:t>
      </w:r>
      <w:r>
        <w:rPr>
          <w:rFonts w:eastAsia="Georgia" w:cs="Georgia"/>
          <w:sz w:val="24"/>
          <w:szCs w:val="24"/>
        </w:rPr>
        <w:t xml:space="preserve"> of transmission through descent. The </w:t>
      </w:r>
      <w:r>
        <w:rPr>
          <w:rFonts w:eastAsia="Georgia" w:cs="Georgia"/>
          <w:i/>
          <w:iCs/>
          <w:sz w:val="24"/>
          <w:szCs w:val="24"/>
        </w:rPr>
        <w:t>mechanism</w:t>
      </w:r>
      <w:r>
        <w:rPr>
          <w:rFonts w:eastAsia="Georgia" w:cs="Georgia"/>
          <w:sz w:val="24"/>
          <w:szCs w:val="24"/>
        </w:rPr>
        <w:t xml:space="preserve"> remains open.</w:t>
      </w:r>
    </w:p>
    <w:p>
      <w:pPr>
        <w:pStyle w:val="Normal"/>
        <w:bidi w:val="0"/>
        <w:jc w:val="start"/>
        <w:rPr/>
      </w:pPr>
      <w:r>
        <w:rPr/>
      </w:r>
      <w:r>
        <w:br w:type="page"/>
      </w:r>
    </w:p>
    <w:p>
      <w:pPr>
        <w:pStyle w:val="Heading1"/>
        <w:bidi w:val="0"/>
        <w:spacing w:before="0" w:after="200"/>
        <w:jc w:val="start"/>
        <w:rPr/>
      </w:pPr>
      <w:r>
        <w:rPr/>
        <w:t>Chapter 10: The Flood and the Memory of Near-Extinction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Flood narrative in Genesis is one of the most debated passages in Scripture. This chapter examines what the Catholic Church requires its faithful to believe about the Flood, what it leaves open, and what the striking cross-cultural evidence of flood narratives might mean.</w:t>
      </w:r>
    </w:p>
    <w:p>
      <w:pPr>
        <w:pStyle w:val="Heading2"/>
        <w:bidi w:val="0"/>
        <w:spacing w:before="280" w:after="160"/>
        <w:jc w:val="start"/>
        <w:rPr/>
      </w:pPr>
      <w:r>
        <w:rPr/>
        <w:t>What the Church Does Not Require: Open Questions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On Noah and the Flood, the Church’s position is markedly different from its position on Adam. There is no dogmatic definition requiring belief in a literal global flood, a literal wooden ark, or a literal eight survivors.</w:t>
      </w:r>
    </w:p>
    <w:p>
      <w:pPr>
        <w:pStyle w:val="Normal"/>
        <w:bidi w:val="0"/>
        <w:spacing w:lineRule="exact" w:line="276" w:before="0" w:after="200"/>
        <w:jc w:val="start"/>
        <w:rPr/>
      </w:pPr>
      <w:r>
        <w:rPr>
          <w:rFonts w:eastAsia="Georgia" w:cs="Georgia"/>
          <w:sz w:val="24"/>
          <w:szCs w:val="24"/>
        </w:rPr>
        <w:t xml:space="preserve">The Catholic Answers apostolate summarizes the Church’s position clearly: the Church “does not prohibit interpretations of </w:t>
      </w:r>
      <w:hyperlink r:id="rId80">
        <w:r>
          <w:rPr>
            <w:rStyle w:val="ListLabel11"/>
            <w:rFonts w:eastAsia="Georgia" w:cs="Georgia"/>
            <w:b/>
            <w:bCs/>
            <w:color w:val="0563C1"/>
            <w:sz w:val="24"/>
            <w:szCs w:val="24"/>
            <w:u w:val="single"/>
          </w:rPr>
          <w:t>Genesis 6–8</w:t>
        </w:r>
      </w:hyperlink>
      <w:r>
        <w:rPr>
          <w:rFonts w:eastAsia="Georgia" w:cs="Georgia"/>
          <w:sz w:val="24"/>
          <w:szCs w:val="24"/>
        </w:rPr>
        <w:t xml:space="preserve"> that include a worldwide flood, but neither does the Church require there to be a worldwide flood.”</w:t>
      </w:r>
      <w:r>
        <w:rPr>
          <w:rStyle w:val="FootnoteReference"/>
        </w:rPr>
        <w:footnoteReference w:id="39"/>
      </w:r>
      <w:r>
        <w:rPr>
          <w:rFonts w:eastAsia="Georgia" w:cs="Georgia"/>
          <w:sz w:val="24"/>
          <w:szCs w:val="24"/>
        </w:rPr>
        <w:t xml:space="preserve"> Pius XII’s own </w:t>
      </w:r>
      <w:hyperlink r:id="rId81">
        <w:r>
          <w:rPr>
            <w:rStyle w:val="ListLabel10"/>
            <w:rFonts w:eastAsia="Georgia" w:cs="Georgia"/>
            <w:i/>
            <w:iCs/>
            <w:color w:val="0563C1"/>
            <w:sz w:val="24"/>
            <w:szCs w:val="24"/>
            <w:u w:val="single"/>
          </w:rPr>
          <w:t>Humani Generis</w:t>
        </w:r>
      </w:hyperlink>
      <w:r>
        <w:rPr>
          <w:rFonts w:eastAsia="Georgia" w:cs="Georgia"/>
          <w:sz w:val="24"/>
          <w:szCs w:val="24"/>
        </w:rPr>
        <w:t xml:space="preserve"> (paragraph 38) described the first eleven chapters of Genesis as conveying principal truths fundamental for salvation in “simple and metaphorical language adapted to the mentality of a people but little cultured.”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1948 letter from the Pontifical Biblical Commission to Cardinal Suhard of Paris granted Catholic scholars considerable liberty regarding “the literary genre of the first eleven chapters of Genesis,” noting that “these literary forms do not correspond exactly with any classical category” and that their “historicity can neither be denied nor affirmed simply.”</w:t>
      </w:r>
    </w:p>
    <w:p>
      <w:pPr>
        <w:pStyle w:val="Normal"/>
        <w:bidi w:val="0"/>
        <w:spacing w:lineRule="exact" w:line="276" w:before="0" w:after="200"/>
        <w:jc w:val="start"/>
        <w:rPr/>
      </w:pPr>
      <w:r>
        <w:rPr>
          <w:rFonts w:eastAsia="Georgia" w:cs="Georgia"/>
          <w:sz w:val="24"/>
          <w:szCs w:val="24"/>
        </w:rPr>
        <w:t>The Catholic Encyclopedia’s entry on the Deluge acknowledged that the question of whether the Flood narrative should be “considered as strictly historical throughout, or only in their outward form” is legitimate. It noted that the view which preserves “under the embroidery of poetical parlance, the memory of a fact handed down by a very old tradition” could “be readily accepted by a Catholic.”</w:t>
      </w:r>
      <w:r>
        <w:rPr>
          <w:rStyle w:val="FootnoteReference"/>
        </w:rPr>
        <w:footnoteReference w:id="40"/>
      </w:r>
    </w:p>
    <w:p>
      <w:pPr>
        <w:pStyle w:val="Normal"/>
        <w:bidi w:val="0"/>
        <w:spacing w:lineRule="exact" w:line="276" w:before="0" w:after="200"/>
        <w:jc w:val="start"/>
        <w:rPr/>
      </w:pPr>
      <w:r>
        <w:rPr>
          <w:rFonts w:eastAsia="Georgia" w:cs="Georgia"/>
          <w:sz w:val="24"/>
          <w:szCs w:val="24"/>
        </w:rPr>
        <w:t xml:space="preserve">What the Church </w:t>
      </w:r>
      <w:r>
        <w:rPr>
          <w:rFonts w:eastAsia="Georgia" w:cs="Georgia"/>
          <w:i/>
          <w:iCs/>
          <w:sz w:val="24"/>
          <w:szCs w:val="24"/>
        </w:rPr>
        <w:t>does</w:t>
      </w:r>
      <w:r>
        <w:rPr>
          <w:rFonts w:eastAsia="Georgia" w:cs="Georgia"/>
          <w:sz w:val="24"/>
          <w:szCs w:val="24"/>
        </w:rPr>
        <w:t xml:space="preserve"> require regarding the Flood is this: the narrative conveys real theological truth. God judges sin. God saves the righteous. God offers new beginnings. The Fathers of the Church regarded the Ark and the Flood as types (prefigurations) of baptism and the Church, based on </w:t>
      </w:r>
      <w:hyperlink r:id="rId82">
        <w:r>
          <w:rPr>
            <w:rStyle w:val="ListLabel11"/>
            <w:rFonts w:eastAsia="Georgia" w:cs="Georgia"/>
            <w:b/>
            <w:bCs/>
            <w:color w:val="0563C1"/>
            <w:sz w:val="24"/>
            <w:szCs w:val="24"/>
            <w:u w:val="single"/>
          </w:rPr>
          <w:t>1 Peter 3:20</w:t>
        </w:r>
      </w:hyperlink>
      <w:r>
        <w:rPr>
          <w:rFonts w:eastAsia="Georgia" w:cs="Georgia"/>
          <w:sz w:val="24"/>
          <w:szCs w:val="24"/>
        </w:rPr>
        <w:t>, and this typological significance belongs to matters of faith and morals. Jesus himself referred to Noah as a historical figure (</w:t>
      </w:r>
      <w:hyperlink r:id="rId83">
        <w:r>
          <w:rPr>
            <w:rStyle w:val="ListLabel11"/>
            <w:rFonts w:eastAsia="Georgia" w:cs="Georgia"/>
            <w:b/>
            <w:bCs/>
            <w:color w:val="0563C1"/>
            <w:sz w:val="24"/>
            <w:szCs w:val="24"/>
            <w:u w:val="single"/>
          </w:rPr>
          <w:t>Matthew 24:37–39</w:t>
        </w:r>
      </w:hyperlink>
      <w:r>
        <w:rPr>
          <w:rFonts w:eastAsia="Georgia" w:cs="Georgia"/>
          <w:sz w:val="24"/>
          <w:szCs w:val="24"/>
        </w:rPr>
        <w:t xml:space="preserve">, </w:t>
      </w:r>
      <w:hyperlink r:id="rId84">
        <w:r>
          <w:rPr>
            <w:rStyle w:val="ListLabel11"/>
            <w:rFonts w:eastAsia="Georgia" w:cs="Georgia"/>
            <w:b/>
            <w:bCs/>
            <w:color w:val="0563C1"/>
            <w:sz w:val="24"/>
            <w:szCs w:val="24"/>
            <w:u w:val="single"/>
          </w:rPr>
          <w:t>Luke 17:26–27</w:t>
        </w:r>
      </w:hyperlink>
      <w:r>
        <w:rPr>
          <w:rFonts w:eastAsia="Georgia" w:cs="Georgia"/>
          <w:sz w:val="24"/>
          <w:szCs w:val="24"/>
        </w:rPr>
        <w:t xml:space="preserve">). There must be </w:t>
      </w:r>
      <w:r>
        <w:rPr>
          <w:rFonts w:eastAsia="Georgia" w:cs="Georgia"/>
          <w:i/>
          <w:iCs/>
          <w:sz w:val="24"/>
          <w:szCs w:val="24"/>
        </w:rPr>
        <w:t>some</w:t>
      </w:r>
      <w:r>
        <w:rPr>
          <w:rFonts w:eastAsia="Georgia" w:cs="Georgia"/>
          <w:sz w:val="24"/>
          <w:szCs w:val="24"/>
        </w:rPr>
        <w:t xml:space="preserve"> real event underlying the narrative—but its scope, mechanism, exact number of survivors, and chronological placement are all open questions.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gives our framework genuine latitude. We need Adam and Eve to be real, historical, first parents of all humanity—the Church demands this dogmatically. With Noah, we need a real event of divine judgment and preservation, but the details are legitimately open to interpretation informed by science.</w:t>
      </w:r>
    </w:p>
    <w:p>
      <w:pPr>
        <w:pStyle w:val="Heading2"/>
        <w:bidi w:val="0"/>
        <w:spacing w:before="280" w:after="160"/>
        <w:jc w:val="start"/>
        <w:rPr/>
      </w:pPr>
      <w:r>
        <w:rPr/>
        <w:t>The Universal Memory: Flood Stories Across the World</w:t>
      </w:r>
    </w:p>
    <w:p>
      <w:pPr>
        <w:pStyle w:val="Normal"/>
        <w:bidi w:val="0"/>
        <w:spacing w:lineRule="exact" w:line="276" w:before="0" w:after="200"/>
        <w:jc w:val="start"/>
        <w:rPr/>
      </w:pPr>
      <w:r>
        <w:rPr>
          <w:rFonts w:eastAsia="Georgia" w:cs="Georgia"/>
          <w:sz w:val="24"/>
          <w:szCs w:val="24"/>
        </w:rPr>
        <w:t>Perhaps the most fascinating dimension of the Flood question is this: flood narratives appear across cultures worldwide, including cultures with no contact with each other or with the biblical tradition. Scholars have catalogued more than 270 distinct flood narratives from cultures around the world.</w:t>
      </w:r>
      <w:r>
        <w:rPr>
          <w:rStyle w:val="FootnoteReference"/>
        </w:rPr>
        <w:footnoteReference w:id="41"/>
      </w:r>
      <w:r>
        <w:rPr>
          <w:rStyle w:val="FootnoteReference"/>
        </w:rPr>
        <w:footnoteReference w:id="42"/>
      </w:r>
      <w:r>
        <w:rPr>
          <w:rFonts w:eastAsia="Georgia" w:cs="Georgia"/>
          <w:sz w:val="24"/>
          <w:szCs w:val="24"/>
        </w:rPr>
        <w:t xml:space="preserve"> The breadth of this distribution is genuinely striking.</w:t>
      </w:r>
    </w:p>
    <w:p>
      <w:pPr>
        <w:pStyle w:val="Normal"/>
        <w:bidi w:val="0"/>
        <w:spacing w:lineRule="exact" w:line="276" w:before="0" w:after="200"/>
        <w:jc w:val="start"/>
        <w:rPr/>
      </w:pPr>
      <w:r>
        <w:rPr>
          <w:rFonts w:eastAsia="Georgia" w:cs="Georgia"/>
          <w:b/>
          <w:bCs/>
          <w:sz w:val="24"/>
          <w:szCs w:val="24"/>
        </w:rPr>
        <w:t>Mesopotamia</w:t>
      </w:r>
      <w:r>
        <w:rPr>
          <w:rFonts w:eastAsia="Georgia" w:cs="Georgia"/>
          <w:sz w:val="24"/>
          <w:szCs w:val="24"/>
        </w:rPr>
        <w:t xml:space="preserve"> provides the most famous parallel. The Epic of Gilgamesh, committed to writing around 2100 BC but drawing on older Sumerian traditions, contains the story of Utnapishtim, who is warned by the gods to build a boat, loads it with animals and his family, survives a great flood, sends out birds to find land, and makes a sacrifice afterward. The parallels with Genesis are so close that scholars have debated the relationship for over a century. The even older Sumerian flood story of Ziusudra and the Akkadian Atrahasis epic tell essentially the same narrative.</w:t>
      </w:r>
    </w:p>
    <w:p>
      <w:pPr>
        <w:pStyle w:val="Normal"/>
        <w:bidi w:val="0"/>
        <w:spacing w:lineRule="exact" w:line="276" w:before="0" w:after="200"/>
        <w:jc w:val="start"/>
        <w:rPr/>
      </w:pPr>
      <w:r>
        <w:rPr>
          <w:rFonts w:eastAsia="Georgia" w:cs="Georgia"/>
          <w:b/>
          <w:bCs/>
          <w:sz w:val="24"/>
          <w:szCs w:val="24"/>
        </w:rPr>
        <w:t>Hindu tradition</w:t>
      </w:r>
      <w:r>
        <w:rPr>
          <w:rFonts w:eastAsia="Georgia" w:cs="Georgia"/>
          <w:sz w:val="24"/>
          <w:szCs w:val="24"/>
        </w:rPr>
        <w:t xml:space="preserve"> tells of Manu, the first man, who is warned by a fish (an avatar of Vishnu) about a coming deluge. He builds a boat, preserves the seeds of life, and repopulates the earth after the waters recede. This tradition is ancient, appearing in the Shatapatha Brahmana, one of the oldest Hindu texts. The concept of </w:t>
      </w:r>
      <w:r>
        <w:rPr>
          <w:rFonts w:eastAsia="Georgia" w:cs="Georgia"/>
          <w:i/>
          <w:iCs/>
          <w:sz w:val="24"/>
          <w:szCs w:val="24"/>
        </w:rPr>
        <w:t>manvantara-sandhya</w:t>
      </w:r>
      <w:r>
        <w:rPr>
          <w:rFonts w:eastAsia="Georgia" w:cs="Georgia"/>
          <w:sz w:val="24"/>
          <w:szCs w:val="24"/>
        </w:rPr>
        <w:t>—the period of dissolution between cosmic ages—frequently involves a universal flood.</w:t>
      </w:r>
    </w:p>
    <w:p>
      <w:pPr>
        <w:pStyle w:val="Normal"/>
        <w:bidi w:val="0"/>
        <w:spacing w:lineRule="exact" w:line="276" w:before="0" w:after="200"/>
        <w:jc w:val="start"/>
        <w:rPr/>
      </w:pPr>
      <w:r>
        <w:rPr>
          <w:rFonts w:eastAsia="Georgia" w:cs="Georgia"/>
          <w:b/>
          <w:bCs/>
          <w:sz w:val="24"/>
          <w:szCs w:val="24"/>
        </w:rPr>
        <w:t>Greek mythology</w:t>
      </w:r>
      <w:r>
        <w:rPr>
          <w:rFonts w:eastAsia="Georgia" w:cs="Georgia"/>
          <w:sz w:val="24"/>
          <w:szCs w:val="24"/>
        </w:rPr>
        <w:t xml:space="preserve"> gives us Deucalion and Pyrrha, who survive a flood sent by Zeus and repopulate the earth by throwing stones over their shoulders, which become human beings.</w:t>
      </w:r>
    </w:p>
    <w:p>
      <w:pPr>
        <w:pStyle w:val="Normal"/>
        <w:bidi w:val="0"/>
        <w:spacing w:lineRule="exact" w:line="276" w:before="0" w:after="200"/>
        <w:jc w:val="start"/>
        <w:rPr/>
      </w:pPr>
      <w:r>
        <w:rPr>
          <w:rFonts w:eastAsia="Georgia" w:cs="Georgia"/>
          <w:b/>
          <w:bCs/>
          <w:sz w:val="24"/>
          <w:szCs w:val="24"/>
        </w:rPr>
        <w:t>Pre-Columbian Americas</w:t>
      </w:r>
      <w:r>
        <w:rPr>
          <w:rFonts w:eastAsia="Georgia" w:cs="Georgia"/>
          <w:sz w:val="24"/>
          <w:szCs w:val="24"/>
        </w:rPr>
        <w:t>—and this is where the evidence truly challenges any diffusionist explanation, because there is no plausible route of biblical influence. The Maya Popol Vuh, their sacred text, describes a flood sent by the gods to destroy an earlier, flawed creation of humanity—wooden beings who lacked souls and could not properly worship the gods. The Aztecs had the story of a great flood that destroyed a previous world age. The Inca told of Unu Pachakuti, a deluge that spared only two people atop an Andean peak. The Hopi of Arizona recount a flood destroying a corrupt world, with Spider Woman aiding survivors to safety. The Ojibwe and many other Great Lakes nations tell of Nanabozho surviving a great flood on a raft with animals. The Blackfoot of the Great Plains preserve a story in which the deity Napi recounts a great flood that swept through the land. Across North and South America, flood narratives appear with remarkable frequency and striking structural parallels to the Genesis account.</w:t>
      </w:r>
    </w:p>
    <w:p>
      <w:pPr>
        <w:pStyle w:val="Normal"/>
        <w:bidi w:val="0"/>
        <w:spacing w:lineRule="exact" w:line="276" w:before="0" w:after="200"/>
        <w:jc w:val="start"/>
        <w:rPr/>
      </w:pPr>
      <w:r>
        <w:rPr>
          <w:rFonts w:eastAsia="Georgia" w:cs="Georgia"/>
          <w:b/>
          <w:bCs/>
          <w:sz w:val="24"/>
          <w:szCs w:val="24"/>
        </w:rPr>
        <w:t>Australian Aboriginal</w:t>
      </w:r>
      <w:r>
        <w:rPr>
          <w:rFonts w:eastAsia="Georgia" w:cs="Georgia"/>
          <w:sz w:val="24"/>
          <w:szCs w:val="24"/>
        </w:rPr>
        <w:t xml:space="preserve"> traditions—representing possibly the oldest continuous cultures on earth—contain stories of a time when the sea rose and covered the land. Research by Patrick Nunn of the University of the Sunshine Coast and Nicholas Reid of the University of New England, published in the </w:t>
      </w:r>
      <w:r>
        <w:rPr>
          <w:rFonts w:eastAsia="Georgia" w:cs="Georgia"/>
          <w:i/>
          <w:iCs/>
          <w:sz w:val="24"/>
          <w:szCs w:val="24"/>
        </w:rPr>
        <w:t>Australian Geographer</w:t>
      </w:r>
      <w:r>
        <w:rPr>
          <w:rFonts w:eastAsia="Georgia" w:cs="Georgia"/>
          <w:sz w:val="24"/>
          <w:szCs w:val="24"/>
        </w:rPr>
        <w:t>, has identified 21 Aboriginal stories from across the Australian coastline that accurately describe geographical features from a time when sea levels were lower than today.</w:t>
      </w:r>
      <w:r>
        <w:rPr>
          <w:rStyle w:val="FootnoteReference"/>
        </w:rPr>
        <w:footnoteReference w:id="43"/>
      </w:r>
      <w:r>
        <w:rPr>
          <w:rFonts w:eastAsia="Georgia" w:cs="Georgia"/>
          <w:sz w:val="24"/>
          <w:szCs w:val="24"/>
        </w:rPr>
        <w:t xml:space="preserve"> Their analysis suggests these oral traditions have endured for between 7,250 and 13,070 years—and more recent research published in the </w:t>
      </w:r>
      <w:r>
        <w:rPr>
          <w:rFonts w:eastAsia="Georgia" w:cs="Georgia"/>
          <w:i/>
          <w:iCs/>
          <w:sz w:val="24"/>
          <w:szCs w:val="24"/>
        </w:rPr>
        <w:t>Journal of Archaeological Science</w:t>
      </w:r>
      <w:r>
        <w:rPr>
          <w:rFonts w:eastAsia="Georgia" w:cs="Georgia"/>
          <w:sz w:val="24"/>
          <w:szCs w:val="24"/>
        </w:rPr>
        <w:t xml:space="preserve"> has demonstrated that Tasmanian Aboriginal stories have been passed down for more than 12,000 years, confirmed by multiple independent lines of evidence. Some Aboriginal tribes can still point to islands that no longer exist and provide their original names.</w:t>
      </w:r>
    </w:p>
    <w:p>
      <w:pPr>
        <w:pStyle w:val="Normal"/>
        <w:bidi w:val="0"/>
        <w:spacing w:lineRule="exact" w:line="276" w:before="0" w:after="200"/>
        <w:jc w:val="start"/>
        <w:rPr/>
      </w:pPr>
      <w:r>
        <w:rPr>
          <w:rFonts w:eastAsia="Georgia" w:cs="Georgia"/>
          <w:b/>
          <w:bCs/>
          <w:sz w:val="24"/>
          <w:szCs w:val="24"/>
        </w:rPr>
        <w:t>Chinese</w:t>
      </w:r>
      <w:r>
        <w:rPr>
          <w:rFonts w:eastAsia="Georgia" w:cs="Georgia"/>
          <w:sz w:val="24"/>
          <w:szCs w:val="24"/>
        </w:rPr>
        <w:t xml:space="preserve"> tradition tells of the Great Flood of Gun-Yu, in which floods covered the earth and the hero Yu spent years draining the waters.</w:t>
      </w:r>
    </w:p>
    <w:p>
      <w:pPr>
        <w:pStyle w:val="Heading2"/>
        <w:bidi w:val="0"/>
        <w:spacing w:before="280" w:after="160"/>
        <w:jc w:val="start"/>
        <w:rPr/>
      </w:pPr>
      <w:r>
        <w:rPr/>
        <w:t>Three Explanations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There are three standard explanations for why flood myths are so universal.</w:t>
      </w:r>
    </w:p>
    <w:p>
      <w:pPr>
        <w:pStyle w:val="Normal"/>
        <w:bidi w:val="0"/>
        <w:spacing w:lineRule="exact" w:line="276" w:before="0" w:after="200"/>
        <w:jc w:val="start"/>
        <w:rPr/>
      </w:pPr>
      <w:r>
        <w:rPr>
          <w:rFonts w:eastAsia="Georgia" w:cs="Georgia"/>
          <w:b/>
          <w:bCs/>
          <w:sz w:val="24"/>
          <w:szCs w:val="24"/>
        </w:rPr>
        <w:t>The independent invention view</w:t>
      </w:r>
      <w:r>
        <w:rPr>
          <w:rFonts w:eastAsia="Georgia" w:cs="Georgia"/>
          <w:sz w:val="24"/>
          <w:szCs w:val="24"/>
        </w:rPr>
        <w:t xml:space="preserve"> holds that floods are common natural disasters everywhere, so every culture develops flood myths independently. Rivers flood, coastlines change, tsunamis hit—it is simply a universal human experience being mythologized. This explains the existence of flood stories but struggles to account for their striking structural similarities: divine warning, one family or group saved, animals preserved, sacrifice or renewal afterward, a fresh start for humanity.</w:t>
      </w:r>
    </w:p>
    <w:p>
      <w:pPr>
        <w:pStyle w:val="Normal"/>
        <w:bidi w:val="0"/>
        <w:spacing w:lineRule="exact" w:line="276" w:before="0" w:after="200"/>
        <w:jc w:val="start"/>
        <w:rPr/>
      </w:pPr>
      <w:r>
        <w:rPr>
          <w:rFonts w:eastAsia="Georgia" w:cs="Georgia"/>
          <w:b/>
          <w:bCs/>
          <w:sz w:val="24"/>
          <w:szCs w:val="24"/>
        </w:rPr>
        <w:t>The diffusionist view</w:t>
      </w:r>
      <w:r>
        <w:rPr>
          <w:rFonts w:eastAsia="Georgia" w:cs="Georgia"/>
          <w:sz w:val="24"/>
          <w:szCs w:val="24"/>
        </w:rPr>
        <w:t xml:space="preserve"> proposes that all these stories trace back to one original story that spread as humans migrated and traded. This is plausible for the Mesopotamian-biblical connection but very difficult to sustain for pre-Columbian American, Aboriginal Australian, and other geographically isolated traditions.</w:t>
      </w:r>
    </w:p>
    <w:p>
      <w:pPr>
        <w:pStyle w:val="Normal"/>
        <w:bidi w:val="0"/>
        <w:spacing w:lineRule="exact" w:line="276" w:before="0" w:after="200"/>
        <w:jc w:val="start"/>
        <w:rPr/>
      </w:pPr>
      <w:r>
        <w:rPr>
          <w:rFonts w:eastAsia="Georgia" w:cs="Georgia"/>
          <w:b/>
          <w:bCs/>
          <w:sz w:val="24"/>
          <w:szCs w:val="24"/>
        </w:rPr>
        <w:t>The regional event view</w:t>
      </w:r>
      <w:r>
        <w:rPr>
          <w:rFonts w:eastAsia="Georgia" w:cs="Georgia"/>
          <w:sz w:val="24"/>
          <w:szCs w:val="24"/>
        </w:rPr>
        <w:t xml:space="preserve"> suggests that specific catastrophic floods—the flooding of the Black Sea around 5600 BC is a popular candidate, as is the post-Ice Age sea level rise—became mythologized in the cultures that experienced them. Archaeologist Bruce Masse has proposed that an oceanic asteroid impact around 2807 BC may have generated tsunamis remembered in multiple traditions.</w:t>
      </w:r>
      <w:r>
        <w:rPr>
          <w:rStyle w:val="FootnoteReference"/>
        </w:rPr>
        <w:footnoteReference w:id="44"/>
      </w:r>
      <w:r>
        <w:rPr>
          <w:rFonts w:eastAsia="Georgia" w:cs="Georgia"/>
          <w:sz w:val="24"/>
          <w:szCs w:val="24"/>
        </w:rPr>
        <w:t xml:space="preserve"> This view explains some flood stories well but cannot account for traditions from inland cultures or from peoples who experienced no known catastrophic flooding.</w:t>
      </w:r>
    </w:p>
    <w:p>
      <w:pPr>
        <w:pStyle w:val="Normal"/>
        <w:bidi w:val="0"/>
        <w:spacing w:lineRule="exact" w:line="276" w:before="0" w:after="200"/>
        <w:jc w:val="start"/>
        <w:rPr/>
      </w:pPr>
      <w:r>
        <w:rPr>
          <w:rFonts w:eastAsia="Georgia" w:cs="Georgia"/>
          <w:sz w:val="24"/>
          <w:szCs w:val="24"/>
        </w:rPr>
        <w:t xml:space="preserve">Each of these explanations captures part of the truth. What remains striking is the combination: not merely that flood stories exist everywhere, but that they so often share the same theological structure—divine judgment of a corrupt world, warning to a righteous remnant, preservation through the catastrophe, and a fresh beginning afterward. The Maya Popol Vuh specifies that the beings destroyed by the flood were those who </w:t>
      </w:r>
      <w:r>
        <w:rPr>
          <w:rFonts w:eastAsia="Georgia" w:cs="Georgia"/>
          <w:i/>
          <w:iCs/>
          <w:sz w:val="24"/>
          <w:szCs w:val="24"/>
        </w:rPr>
        <w:t>lacked souls</w:t>
      </w:r>
      <w:r>
        <w:rPr>
          <w:rFonts w:eastAsia="Georgia" w:cs="Georgia"/>
          <w:sz w:val="24"/>
          <w:szCs w:val="24"/>
        </w:rPr>
        <w:t>—a detail that resonates with the framework presented in this document. Whether these structural parallels reflect a shared ancestral experience, a common human intuition about divine justice, or both, they remain one of the most haunting patterns in all of human storytelling.</w:t>
      </w:r>
    </w:p>
    <w:p>
      <w:pPr>
        <w:pStyle w:val="Heading2"/>
        <w:bidi w:val="0"/>
        <w:spacing w:before="280" w:after="160"/>
        <w:jc w:val="start"/>
        <w:rPr/>
      </w:pPr>
      <w:r>
        <w:rPr/>
        <w:t>An Honest Assessment</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Church requires belief in a real Adam who really sinned and from whom all humans really descend. As Chapter 11 will show, the science of population genetics is compatible with this, given our framework’s placement of Adam at 750,000 to 1,000,000 years ago. The Church does not require belief in a literal global flood or literal eight survivors. There must be some real event underlying the Flood narrative, but its scope, mechanism, and chronological placement are legitimately open. The 270 flood narratives from cultures around the world testify to something real in the human experience—whether a single catastrophic event, multiple regional events, or a deep theological instinct about judgment and renewal written into the human soul itself.</w:t>
      </w:r>
    </w:p>
    <w:p>
      <w:pPr>
        <w:pStyle w:val="Heading2"/>
        <w:bidi w:val="0"/>
        <w:spacing w:before="280" w:after="160"/>
        <w:jc w:val="start"/>
        <w:rPr/>
      </w:pPr>
      <w:r>
        <w:rPr/>
        <w:t>Required vs. Open: Summary for the Flood</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On Adam, the requirements are dogmatic and non-negotiable: Adam was a real, historical individual who committed an actual sin, and all humans descend from him through generation (</w:t>
      </w:r>
      <w:hyperlink r:id="rId85">
        <w:r>
          <w:rPr>
            <w:rStyle w:val="ListLabel12"/>
            <w:rFonts w:eastAsia="Georgia" w:cs="Georgia"/>
            <w:color w:val="0563C1"/>
            <w:sz w:val="24"/>
            <w:szCs w:val="24"/>
            <w:u w:val="single"/>
          </w:rPr>
          <w:t>Council of Trent, Session V, Canons 1–4</w:t>
        </w:r>
      </w:hyperlink>
      <w:r>
        <w:rPr>
          <w:rFonts w:eastAsia="Georgia" w:cs="Georgia"/>
          <w:sz w:val="24"/>
          <w:szCs w:val="24"/>
        </w:rPr>
        <w:t xml:space="preserve">; </w:t>
      </w:r>
      <w:hyperlink r:id="rId86">
        <w:r>
          <w:rPr>
            <w:rStyle w:val="ListLabel10"/>
            <w:rFonts w:eastAsia="Georgia" w:cs="Georgia"/>
            <w:i/>
            <w:iCs/>
            <w:color w:val="0563C1"/>
            <w:sz w:val="24"/>
            <w:szCs w:val="24"/>
            <w:u w:val="single"/>
          </w:rPr>
          <w:t>Humani Generis</w:t>
        </w:r>
      </w:hyperlink>
      <w:hyperlink r:id="rId87">
        <w:r>
          <w:rPr>
            <w:rStyle w:val="ListLabel12"/>
            <w:rFonts w:eastAsia="Georgia" w:cs="Georgia"/>
            <w:color w:val="0563C1"/>
            <w:sz w:val="24"/>
            <w:szCs w:val="24"/>
            <w:u w:val="single"/>
          </w:rPr>
          <w:t>, §37</w:t>
        </w:r>
      </w:hyperlink>
      <w:r>
        <w:rPr>
          <w:rFonts w:eastAsia="Georgia" w:cs="Georgia"/>
          <w:sz w:val="24"/>
          <w:szCs w:val="24"/>
        </w:rPr>
        <w:t xml:space="preserve">; </w:t>
      </w:r>
      <w:hyperlink r:id="rId88">
        <w:r>
          <w:rPr>
            <w:rStyle w:val="ListLabel12"/>
            <w:rFonts w:eastAsia="Georgia" w:cs="Georgia"/>
            <w:color w:val="0563C1"/>
            <w:sz w:val="24"/>
            <w:szCs w:val="24"/>
            <w:u w:val="single"/>
          </w:rPr>
          <w:t>CCC §§390–404</w:t>
        </w:r>
      </w:hyperlink>
      <w:r>
        <w:rPr>
          <w:rFonts w:eastAsia="Georgia" w:cs="Georgia"/>
          <w:sz w:val="24"/>
          <w:szCs w:val="24"/>
        </w:rPr>
        <w:t>). Every human soul is directly created by God (</w:t>
      </w:r>
      <w:hyperlink r:id="rId89">
        <w:r>
          <w:rPr>
            <w:rStyle w:val="ListLabel12"/>
            <w:rFonts w:eastAsia="Georgia" w:cs="Georgia"/>
            <w:color w:val="0563C1"/>
            <w:sz w:val="24"/>
            <w:szCs w:val="24"/>
            <w:u w:val="single"/>
          </w:rPr>
          <w:t>CCC §366</w:t>
        </w:r>
      </w:hyperlink>
      <w:r>
        <w:rPr>
          <w:rFonts w:eastAsia="Georgia" w:cs="Georgia"/>
          <w:sz w:val="24"/>
          <w:szCs w:val="24"/>
        </w:rPr>
        <w:t xml:space="preserve">; </w:t>
      </w:r>
      <w:hyperlink r:id="rId90">
        <w:r>
          <w:rPr>
            <w:rStyle w:val="ListLabel10"/>
            <w:rFonts w:eastAsia="Georgia" w:cs="Georgia"/>
            <w:i/>
            <w:iCs/>
            <w:color w:val="0563C1"/>
            <w:sz w:val="24"/>
            <w:szCs w:val="24"/>
            <w:u w:val="single"/>
          </w:rPr>
          <w:t>Humani Generis</w:t>
        </w:r>
      </w:hyperlink>
      <w:hyperlink r:id="rId91">
        <w:r>
          <w:rPr>
            <w:rStyle w:val="ListLabel12"/>
            <w:rFonts w:eastAsia="Georgia" w:cs="Georgia"/>
            <w:color w:val="0563C1"/>
            <w:sz w:val="24"/>
            <w:szCs w:val="24"/>
            <w:u w:val="single"/>
          </w:rPr>
          <w:t>, §36</w:t>
        </w:r>
      </w:hyperlink>
      <w:r>
        <w:rPr>
          <w:rFonts w:eastAsia="Georgia" w:cs="Georgia"/>
          <w:sz w:val="24"/>
          <w:szCs w:val="24"/>
        </w:rPr>
        <w:t>). On the Flood, the Church requires that the narrative conveys real theological truth: God judges sin, God saves the righteous, God offers new beginnings. The Ark and the Flood are established types (prefigurations) of baptism and the Church (</w:t>
      </w:r>
      <w:hyperlink r:id="rId92">
        <w:r>
          <w:rPr>
            <w:rStyle w:val="ListLabel11"/>
            <w:rFonts w:eastAsia="Georgia" w:cs="Georgia"/>
            <w:b/>
            <w:bCs/>
            <w:color w:val="0563C1"/>
            <w:sz w:val="24"/>
            <w:szCs w:val="24"/>
            <w:u w:val="single"/>
          </w:rPr>
          <w:t>1 Peter 3:20–21</w:t>
        </w:r>
      </w:hyperlink>
      <w:r>
        <w:rPr>
          <w:rFonts w:eastAsia="Georgia" w:cs="Georgia"/>
          <w:sz w:val="24"/>
          <w:szCs w:val="24"/>
        </w:rPr>
        <w:t xml:space="preserve">; </w:t>
      </w:r>
      <w:hyperlink r:id="rId93">
        <w:r>
          <w:rPr>
            <w:rStyle w:val="ListLabel12"/>
            <w:rFonts w:eastAsia="Georgia" w:cs="Georgia"/>
            <w:color w:val="0563C1"/>
            <w:sz w:val="24"/>
            <w:szCs w:val="24"/>
            <w:u w:val="single"/>
          </w:rPr>
          <w:t>CCC §1219</w:t>
        </w:r>
      </w:hyperlink>
      <w:r>
        <w:rPr>
          <w:rFonts w:eastAsia="Georgia" w:cs="Georgia"/>
          <w:sz w:val="24"/>
          <w:szCs w:val="24"/>
        </w:rPr>
        <w:t>). Jesus referred to Noah as a historical figure (</w:t>
      </w:r>
      <w:hyperlink r:id="rId94">
        <w:r>
          <w:rPr>
            <w:rStyle w:val="ListLabel11"/>
            <w:rFonts w:eastAsia="Georgia" w:cs="Georgia"/>
            <w:b/>
            <w:bCs/>
            <w:color w:val="0563C1"/>
            <w:sz w:val="24"/>
            <w:szCs w:val="24"/>
            <w:u w:val="single"/>
          </w:rPr>
          <w:t>Matthew 24:37–39</w:t>
        </w:r>
      </w:hyperlink>
      <w:r>
        <w:rPr>
          <w:rFonts w:eastAsia="Georgia" w:cs="Georgia"/>
          <w:sz w:val="24"/>
          <w:szCs w:val="24"/>
        </w:rPr>
        <w:t xml:space="preserve">; </w:t>
      </w:r>
      <w:hyperlink r:id="rId95">
        <w:r>
          <w:rPr>
            <w:rStyle w:val="ListLabel11"/>
            <w:rFonts w:eastAsia="Georgia" w:cs="Georgia"/>
            <w:b/>
            <w:bCs/>
            <w:color w:val="0563C1"/>
            <w:sz w:val="24"/>
            <w:szCs w:val="24"/>
            <w:u w:val="single"/>
          </w:rPr>
          <w:t>Luke 17:26–27</w:t>
        </w:r>
      </w:hyperlink>
      <w:r>
        <w:rPr>
          <w:rFonts w:eastAsia="Georgia" w:cs="Georgia"/>
          <w:sz w:val="24"/>
          <w:szCs w:val="24"/>
        </w:rPr>
        <w:t>). There must be some real event underlying the narrative.</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Whether the Flood was global or regional, whether the ark was a literal vessel or a narrative vehicle, whether Noah’s family numbered literally eight or represents a compressed account of a larger remnant—these are all open questions. The Pontifical Biblical Commission’s 1948 letter to Cardinal Suhard granted “considerable liberty” regarding “the literary genre of the first eleven chapters of Genesis.” Pope Pius XII in </w:t>
      </w:r>
      <w:hyperlink r:id="rId96">
        <w:r>
          <w:rPr>
            <w:rStyle w:val="ListLabel10"/>
            <w:rFonts w:eastAsia="Georgia" w:cs="Georgia"/>
            <w:i/>
            <w:iCs/>
            <w:color w:val="0563C1"/>
            <w:sz w:val="24"/>
            <w:szCs w:val="24"/>
            <w:u w:val="single"/>
          </w:rPr>
          <w:t>Humani Generis</w:t>
        </w:r>
      </w:hyperlink>
      <w:hyperlink r:id="rId97">
        <w:r>
          <w:rPr>
            <w:rStyle w:val="ListLabel12"/>
            <w:rFonts w:eastAsia="Georgia" w:cs="Georgia"/>
            <w:color w:val="0563C1"/>
            <w:sz w:val="24"/>
            <w:szCs w:val="24"/>
            <w:u w:val="single"/>
          </w:rPr>
          <w:t>, §38</w:t>
        </w:r>
      </w:hyperlink>
      <w:r>
        <w:rPr>
          <w:rFonts w:eastAsia="Georgia" w:cs="Georgia"/>
          <w:sz w:val="24"/>
          <w:szCs w:val="24"/>
        </w:rPr>
        <w:t>, described these chapters as using “simple and metaphorical language adapted to the mentality of a people but little cultured.” The Catholic Encyclopedia’s article on the Deluge acknowledged that viewing the Flood as preserving “under the embroidery of poetical parlance, the memory of a fact handed down by a very old tradition” could “be readily accepted by a Catholic.” The specific nature, scope, and dating of the event behind the Flood narrative remain legitimately open questions.</w:t>
      </w:r>
    </w:p>
    <w:p>
      <w:pPr>
        <w:pStyle w:val="Normal"/>
        <w:bidi w:val="0"/>
        <w:jc w:val="start"/>
        <w:rPr/>
      </w:pPr>
      <w:r>
        <w:rPr/>
      </w:r>
      <w:r>
        <w:br w:type="page"/>
      </w:r>
    </w:p>
    <w:p>
      <w:pPr>
        <w:pStyle w:val="Heading1"/>
        <w:bidi w:val="0"/>
        <w:spacing w:before="0" w:after="200"/>
        <w:jc w:val="start"/>
        <w:rPr/>
      </w:pPr>
      <w:r>
        <w:rPr/>
        <w:t>Chapter 11: The Genetic Diversity Problem—An Honest Examination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For decades, the genetic diversity problem has been called the strongest scientific objection to a two-person human origin. Recent research—published between 2022 and 2025—has substantially weakened this objection. This chapter explains why, in language accessible to non-specialists.</w:t>
      </w:r>
    </w:p>
    <w:p>
      <w:pPr>
        <w:pStyle w:val="Heading2"/>
        <w:bidi w:val="0"/>
        <w:spacing w:before="280" w:after="160"/>
        <w:jc w:val="start"/>
        <w:rPr/>
      </w:pPr>
      <w:r>
        <w:rPr/>
        <w:t>The Problem Stated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Two individuals can carry at most four versions (alleles) of any given gene. Modern human populations carry thousands of variants at many gene loci. The HLA immune system genes—critical for disease resistance—are among the most variable in the human genome, with some variant lineages that appear to predate the human-chimpanzee split (approximately 6–7 million years ago). In 1998, geneticist Francisco Ayala presented this evidence to the United States Catholic Bishops, arguing that the diversity at HLA loci was too great to have passed through a bottleneck as narrow as a single couple.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argument has been enormously influential. It is cited in virtually every discussion of monogenism and genetics. But as we will see, the science has moved significantly since 1998—and the picture is far more favorable to monogenism than Ayala believed.</w:t>
      </w:r>
    </w:p>
    <w:p>
      <w:pPr>
        <w:pStyle w:val="Heading2"/>
        <w:bidi w:val="0"/>
        <w:spacing w:before="280" w:after="160"/>
        <w:jc w:val="start"/>
        <w:rPr/>
      </w:pPr>
      <w:r>
        <w:rPr/>
        <w:t>What Are These “HLA” Genes, and Why Do They Matter?</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Before diving into the evidence, a word about terminology. Genetics is full of labels that look like usernames or serial numbers: HLA-DRB1, HLA-DQB1, DRB1*0701, DQB1*03. These are not as intimidating as they appear.</w:t>
      </w:r>
    </w:p>
    <w:p>
      <w:pPr>
        <w:pStyle w:val="Normal"/>
        <w:bidi w:val="0"/>
        <w:spacing w:lineRule="exact" w:line="276" w:before="0" w:after="200"/>
        <w:jc w:val="start"/>
        <w:rPr/>
      </w:pPr>
      <w:r>
        <w:rPr>
          <w:rFonts w:eastAsia="Georgia" w:cs="Georgia"/>
          <w:b/>
          <w:bCs/>
          <w:sz w:val="24"/>
          <w:szCs w:val="24"/>
        </w:rPr>
        <w:t>HLA</w:t>
      </w:r>
      <w:r>
        <w:rPr>
          <w:rFonts w:eastAsia="Georgia" w:cs="Georgia"/>
          <w:sz w:val="24"/>
          <w:szCs w:val="24"/>
        </w:rPr>
        <w:t xml:space="preserve"> stands for Human Leukocyte Antigen—the system your body uses to tell the difference between your own cells and foreign invaders like viruses and bacteria. Think of HLA genes as the training manuals for your immune system. They teach your body which molecular shapes to recognize as threats. The more diverse these manuals are in a population, the more diseases that population can collectively fight off. This is why your body rejects organ transplants from most donors—their HLA “manuals” are different from yours, so your immune system reads the transplanted organ as an invader. (In older scientific literature, you may also see the term </w:t>
      </w:r>
      <w:r>
        <w:rPr>
          <w:rFonts w:eastAsia="Georgia" w:cs="Georgia"/>
          <w:b/>
          <w:bCs/>
          <w:sz w:val="24"/>
          <w:szCs w:val="24"/>
        </w:rPr>
        <w:t>MHC</w:t>
      </w:r>
      <w:r>
        <w:rPr>
          <w:rFonts w:eastAsia="Georgia" w:cs="Georgia"/>
          <w:sz w:val="24"/>
          <w:szCs w:val="24"/>
        </w:rPr>
        <w:t>—Major Histocompatibility Complex—which is the broader name for the same system across all vertebrates. HLA is just the human version of MHC.)</w:t>
      </w:r>
    </w:p>
    <w:p>
      <w:pPr>
        <w:pStyle w:val="Normal"/>
        <w:bidi w:val="0"/>
        <w:spacing w:lineRule="exact" w:line="276" w:before="0" w:after="200"/>
        <w:jc w:val="start"/>
        <w:rPr/>
      </w:pPr>
      <w:r>
        <w:rPr>
          <w:rFonts w:eastAsia="Georgia" w:cs="Georgia"/>
          <w:b/>
          <w:bCs/>
          <w:sz w:val="24"/>
          <w:szCs w:val="24"/>
        </w:rPr>
        <w:t>DRB1</w:t>
      </w:r>
      <w:r>
        <w:rPr>
          <w:rFonts w:eastAsia="Georgia" w:cs="Georgia"/>
          <w:sz w:val="24"/>
          <w:szCs w:val="24"/>
        </w:rPr>
        <w:t xml:space="preserve"> and </w:t>
      </w:r>
      <w:r>
        <w:rPr>
          <w:rFonts w:eastAsia="Georgia" w:cs="Georgia"/>
          <w:b/>
          <w:bCs/>
          <w:sz w:val="24"/>
          <w:szCs w:val="24"/>
        </w:rPr>
        <w:t>DQB1</w:t>
      </w:r>
      <w:r>
        <w:rPr>
          <w:rFonts w:eastAsia="Georgia" w:cs="Georgia"/>
          <w:sz w:val="24"/>
          <w:szCs w:val="24"/>
        </w:rPr>
        <w:t xml:space="preserve"> are specific HLA genes—two of the most variable genes in the entire human genome. The letters and numbers are simply a naming system, like a library’s call numbers. Here is how to decode them: the </w:t>
      </w:r>
      <w:r>
        <w:rPr>
          <w:rFonts w:eastAsia="Georgia" w:cs="Georgia"/>
          <w:b/>
          <w:bCs/>
          <w:sz w:val="24"/>
          <w:szCs w:val="24"/>
        </w:rPr>
        <w:t>D</w:t>
      </w:r>
      <w:r>
        <w:rPr>
          <w:rFonts w:eastAsia="Georgia" w:cs="Georgia"/>
          <w:sz w:val="24"/>
          <w:szCs w:val="24"/>
        </w:rPr>
        <w:t xml:space="preserve"> means it belongs to Class II of the immune system (the part that presents fragments of invaders to your immune cells). The next letter—</w:t>
      </w:r>
      <w:r>
        <w:rPr>
          <w:rFonts w:eastAsia="Georgia" w:cs="Georgia"/>
          <w:b/>
          <w:bCs/>
          <w:sz w:val="24"/>
          <w:szCs w:val="24"/>
        </w:rPr>
        <w:t>R</w:t>
      </w:r>
      <w:r>
        <w:rPr>
          <w:rFonts w:eastAsia="Georgia" w:cs="Georgia"/>
          <w:sz w:val="24"/>
          <w:szCs w:val="24"/>
        </w:rPr>
        <w:t xml:space="preserve"> in DRB1, </w:t>
      </w:r>
      <w:r>
        <w:rPr>
          <w:rFonts w:eastAsia="Georgia" w:cs="Georgia"/>
          <w:b/>
          <w:bCs/>
          <w:sz w:val="24"/>
          <w:szCs w:val="24"/>
        </w:rPr>
        <w:t>Q</w:t>
      </w:r>
      <w:r>
        <w:rPr>
          <w:rFonts w:eastAsia="Georgia" w:cs="Georgia"/>
          <w:sz w:val="24"/>
          <w:szCs w:val="24"/>
        </w:rPr>
        <w:t xml:space="preserve"> in DQB1—identifies which specific gene family within Class II (there are several families, labeled P, Q, R, and so on, each handling slightly different immune tasks). The </w:t>
      </w:r>
      <w:r>
        <w:rPr>
          <w:rFonts w:eastAsia="Georgia" w:cs="Georgia"/>
          <w:b/>
          <w:bCs/>
          <w:sz w:val="24"/>
          <w:szCs w:val="24"/>
        </w:rPr>
        <w:t>B</w:t>
      </w:r>
      <w:r>
        <w:rPr>
          <w:rFonts w:eastAsia="Georgia" w:cs="Georgia"/>
          <w:sz w:val="24"/>
          <w:szCs w:val="24"/>
        </w:rPr>
        <w:t xml:space="preserve"> means it encodes the beta chain of the protein (proteins in this system come in pairs—an alpha chain and a beta chain—and the beta chain is the more variable one). And the </w:t>
      </w:r>
      <w:r>
        <w:rPr>
          <w:rFonts w:eastAsia="Georgia" w:cs="Georgia"/>
          <w:b/>
          <w:bCs/>
          <w:sz w:val="24"/>
          <w:szCs w:val="24"/>
        </w:rPr>
        <w:t>1</w:t>
      </w:r>
      <w:r>
        <w:rPr>
          <w:rFonts w:eastAsia="Georgia" w:cs="Georgia"/>
          <w:sz w:val="24"/>
          <w:szCs w:val="24"/>
        </w:rPr>
        <w:t xml:space="preserve"> just means it’s the first (and in most cases, the primary) gene in that family. So DRB1 sits on chromosome 6 and helps your immune cells present fragments of bacteria and viruses for inspection. DQB1 sits nearby and does similar work with a slightly different set of molecular targets.</w:t>
      </w:r>
    </w:p>
    <w:p>
      <w:pPr>
        <w:pStyle w:val="Normal"/>
        <w:bidi w:val="0"/>
        <w:spacing w:lineRule="exact" w:line="276" w:before="0" w:after="200"/>
        <w:jc w:val="start"/>
        <w:rPr/>
      </w:pPr>
      <w:r>
        <w:rPr>
          <w:rFonts w:eastAsia="Georgia" w:cs="Georgia"/>
          <w:sz w:val="24"/>
          <w:szCs w:val="24"/>
        </w:rPr>
        <w:t xml:space="preserve">The numbers after the asterisk—like DRB1*0701 or DQB1*03—are specific variants. In genetics, these variants are called </w:t>
      </w:r>
      <w:r>
        <w:rPr>
          <w:rFonts w:eastAsia="Georgia" w:cs="Georgia"/>
          <w:b/>
          <w:bCs/>
          <w:sz w:val="24"/>
          <w:szCs w:val="24"/>
        </w:rPr>
        <w:t>alleles</w:t>
      </w:r>
      <w:r>
        <w:rPr>
          <w:rFonts w:eastAsia="Georgia" w:cs="Georgia"/>
          <w:sz w:val="24"/>
          <w:szCs w:val="24"/>
        </w:rPr>
        <w:t xml:space="preserve"> (pronounced uh-LEELZ)—different versions of the same gene, the way different editions of a textbook cover the same subject but with slightly different content. Think of them as different editions of the same training manual. DRB1*0701 is one edition; DRB1*0302 is another. Each edition teaches your immune system to recognize a slightly different set of molecular shapes. The more editions circulating in a population, the more diseases that population can collectively survive. When you see a chimpanzee variant written as </w:t>
      </w:r>
      <w:r>
        <w:rPr>
          <w:rFonts w:eastAsia="Georgia" w:cs="Georgia"/>
          <w:b/>
          <w:bCs/>
          <w:sz w:val="24"/>
          <w:szCs w:val="24"/>
        </w:rPr>
        <w:t>Patr</w:t>
      </w:r>
      <w:r>
        <w:rPr>
          <w:rFonts w:eastAsia="Georgia" w:cs="Georgia"/>
          <w:sz w:val="24"/>
          <w:szCs w:val="24"/>
        </w:rPr>
        <w:t xml:space="preserve">-DRB1*0702, the “Patr” is simply the species abbreviation for </w:t>
      </w:r>
      <w:r>
        <w:rPr>
          <w:rFonts w:eastAsia="Georgia" w:cs="Georgia"/>
          <w:i/>
          <w:iCs/>
          <w:sz w:val="24"/>
          <w:szCs w:val="24"/>
        </w:rPr>
        <w:t>Pan troglodytes</w:t>
      </w:r>
      <w:r>
        <w:rPr>
          <w:rFonts w:eastAsia="Georgia" w:cs="Georgia"/>
          <w:sz w:val="24"/>
          <w:szCs w:val="24"/>
        </w:rPr>
        <w:t xml:space="preserve"> (the common chimpanzee)—the same naming system, applied to a different species.</w:t>
      </w:r>
    </w:p>
    <w:p>
      <w:pPr>
        <w:pStyle w:val="Normal"/>
        <w:bidi w:val="0"/>
        <w:spacing w:lineRule="exact" w:line="276" w:before="0" w:after="200"/>
        <w:jc w:val="start"/>
        <w:rPr/>
      </w:pPr>
      <w:r>
        <w:rPr>
          <w:rFonts w:eastAsia="Georgia" w:cs="Georgia"/>
          <w:sz w:val="24"/>
          <w:szCs w:val="24"/>
        </w:rPr>
        <w:t xml:space="preserve">When geneticists talk about “trans-species polymorphism” (TSP) at HLA genes, they mean something specific and striking: some of these variant “editions” appear to predate the split between humans and chimpanzees. “Polymorphism” simply means “many forms”—many different versions of the same gene existing in a population. “Trans-species” means these different versions appear to cross the species boundary—the same variant lineage shows up in both humans and chimpanzees. For example, the human variant DRB1*0701 differs from the chimpanzee variant Patr-DRB1*0702 by only 2 letter changes in its DNA sequence—but differs from another </w:t>
      </w:r>
      <w:r>
        <w:rPr>
          <w:rFonts w:eastAsia="Georgia" w:cs="Georgia"/>
          <w:i/>
          <w:iCs/>
          <w:sz w:val="24"/>
          <w:szCs w:val="24"/>
        </w:rPr>
        <w:t>human</w:t>
      </w:r>
      <w:r>
        <w:rPr>
          <w:rFonts w:eastAsia="Georgia" w:cs="Georgia"/>
          <w:sz w:val="24"/>
          <w:szCs w:val="24"/>
        </w:rPr>
        <w:t xml:space="preserve"> variant (DRB1*0302) by 31 changes. This seems to imply that DRB1*0701 is more closely related to a chimpanzee gene than to another human gene—and therefore must be older than the human species itself.</w:t>
      </w:r>
    </w:p>
    <w:p>
      <w:pPr>
        <w:pStyle w:val="Normal"/>
        <w:bidi w:val="0"/>
        <w:spacing w:lineRule="exact" w:line="276" w:before="0" w:after="200"/>
        <w:jc w:val="start"/>
        <w:rPr/>
      </w:pPr>
      <w:r>
        <w:rPr>
          <w:rFonts w:eastAsia="Georgia" w:cs="Georgia"/>
          <w:sz w:val="24"/>
          <w:szCs w:val="24"/>
        </w:rPr>
        <w:t xml:space="preserve">This is the core of the genetic diversity argument against monogenism: if some HLA variants are older than our species, they must have been present in the ancestral population </w:t>
      </w:r>
      <w:r>
        <w:rPr>
          <w:rFonts w:eastAsia="Georgia" w:cs="Georgia"/>
          <w:i/>
          <w:iCs/>
          <w:sz w:val="24"/>
          <w:szCs w:val="24"/>
        </w:rPr>
        <w:t>before</w:t>
      </w:r>
      <w:r>
        <w:rPr>
          <w:rFonts w:eastAsia="Georgia" w:cs="Georgia"/>
          <w:sz w:val="24"/>
          <w:szCs w:val="24"/>
        </w:rPr>
        <w:t xml:space="preserve"> humans existed. A single couple cannot carry more than four variants. If there are seven or eight ancient variant lineages at DRB1 and eight at DQB1, they could not have come from just two people. Or so the argument goes.</w:t>
      </w:r>
    </w:p>
    <w:p>
      <w:pPr>
        <w:pStyle w:val="Heading2"/>
        <w:bidi w:val="0"/>
        <w:spacing w:before="280" w:after="160"/>
        <w:jc w:val="start"/>
        <w:rPr/>
      </w:pPr>
      <w:r>
        <w:rPr/>
        <w:t>Why the Argument Is Weaker Than It Appears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Recent research has revealed several mechanisms that make these “ancient lineages” look far older and more numerous than they actually are.</w:t>
      </w:r>
    </w:p>
    <w:p>
      <w:pPr>
        <w:pStyle w:val="Normal"/>
        <w:bidi w:val="0"/>
        <w:spacing w:lineRule="exact" w:line="276" w:before="0" w:after="200"/>
        <w:jc w:val="start"/>
        <w:rPr/>
      </w:pPr>
      <w:r>
        <w:rPr>
          <w:rFonts w:eastAsia="Georgia" w:cs="Georgia"/>
          <w:b/>
          <w:bCs/>
          <w:sz w:val="24"/>
          <w:szCs w:val="24"/>
        </w:rPr>
        <w:t>1. Gene Conversion Creates the Illusion of Ancient Diversity.</w:t>
      </w:r>
      <w:r>
        <w:rPr>
          <w:rFonts w:eastAsia="Georgia" w:cs="Georgia"/>
          <w:sz w:val="24"/>
          <w:szCs w:val="24"/>
        </w:rPr>
        <w:t xml:space="preserve"> Gene conversion is a molecular copying error in which one stretch of DNA overwrites a nearby stretch, creating “mosaic” sequences—alleles that look like patchwork quilts assembled from pieces of other alleles. This process operates at extraordinarily high rates in HLA genes. Sperm-typing studies have measured approximately one gene conversion event per 10,000 sperm at the DPB1 locus—an exceptionally high rate for such a localized event. The result is that the region of DRB1 that encodes the antigen-binding site (called exon 2—the part that actually interacts with viruses and bacteria) is constantly being reshuffled and recombined, creating new variants that carry mosaic fragments from multiple older variants. This makes individual alleles </w:t>
      </w:r>
      <w:r>
        <w:rPr>
          <w:rFonts w:eastAsia="Georgia" w:cs="Georgia"/>
          <w:i/>
          <w:iCs/>
          <w:sz w:val="24"/>
          <w:szCs w:val="24"/>
        </w:rPr>
        <w:t>look</w:t>
      </w:r>
      <w:r>
        <w:rPr>
          <w:rFonts w:eastAsia="Georgia" w:cs="Georgia"/>
          <w:sz w:val="24"/>
          <w:szCs w:val="24"/>
        </w:rPr>
        <w:t xml:space="preserve"> ancient based on the fragments they carry, even when the allele itself was assembled recently.</w:t>
      </w:r>
      <w:r>
        <w:rPr>
          <w:rStyle w:val="FootnoteReference"/>
        </w:rPr>
        <w:footnoteReference w:id="45"/>
      </w:r>
    </w:p>
    <w:p>
      <w:pPr>
        <w:pStyle w:val="Normal"/>
        <w:bidi w:val="0"/>
        <w:spacing w:lineRule="exact" w:line="276" w:before="0" w:after="200"/>
        <w:jc w:val="start"/>
        <w:rPr/>
      </w:pPr>
      <w:r>
        <w:rPr>
          <w:rFonts w:eastAsia="Georgia" w:cs="Georgia"/>
          <w:sz w:val="24"/>
          <w:szCs w:val="24"/>
        </w:rPr>
        <w:t xml:space="preserve">How recently? To understand the next piece of evidence, you need to know that genes are not one continuous stretch of meaningful code. They are broken into segments called </w:t>
      </w:r>
      <w:r>
        <w:rPr>
          <w:rFonts w:eastAsia="Georgia" w:cs="Georgia"/>
          <w:b/>
          <w:bCs/>
          <w:sz w:val="24"/>
          <w:szCs w:val="24"/>
        </w:rPr>
        <w:t>exons</w:t>
      </w:r>
      <w:r>
        <w:rPr>
          <w:rFonts w:eastAsia="Georgia" w:cs="Georgia"/>
          <w:sz w:val="24"/>
          <w:szCs w:val="24"/>
        </w:rPr>
        <w:t xml:space="preserve"> (the parts that actually encode the protein) separated by </w:t>
      </w:r>
      <w:r>
        <w:rPr>
          <w:rFonts w:eastAsia="Georgia" w:cs="Georgia"/>
          <w:b/>
          <w:bCs/>
          <w:sz w:val="24"/>
          <w:szCs w:val="24"/>
        </w:rPr>
        <w:t>introns</w:t>
      </w:r>
      <w:r>
        <w:rPr>
          <w:rFonts w:eastAsia="Georgia" w:cs="Georgia"/>
          <w:sz w:val="24"/>
          <w:szCs w:val="24"/>
        </w:rPr>
        <w:t xml:space="preserve"> (stretches of DNA between the exons that do not encode protein). Think of a gene as a book where the chapters (exons) contain the instructions, and the spaces between chapters (introns) are filler. Exon 2 of DRB1 is the chapter that encodes the antigen-binding site—the part of the protein that actually grabs onto fragments of viruses and bacteria. This is the most important chapter, and it is the one subject to the most intense natural selection and gene conversion. Exon 3 is the next chapter, encoding a structural part of the protein that does not directly interact with pathogens—and therefore evolves more normally, like a ticking clock. A landmark 1998 study in </w:t>
      </w:r>
      <w:r>
        <w:rPr>
          <w:rFonts w:eastAsia="Georgia" w:cs="Georgia"/>
          <w:i/>
          <w:iCs/>
          <w:sz w:val="24"/>
          <w:szCs w:val="24"/>
        </w:rPr>
        <w:t>Nature Genetics</w:t>
      </w:r>
      <w:r>
        <w:rPr>
          <w:rFonts w:eastAsia="Georgia" w:cs="Georgia"/>
          <w:sz w:val="24"/>
          <w:szCs w:val="24"/>
        </w:rPr>
        <w:t xml:space="preserve"> by Bergström et al. analyzed the non-coding regions of DRB1 alleles (the introns and stretches of DNA surrounding exon 2 that are not subject to natural selection or gene conversion) and found that </w:t>
      </w:r>
      <w:r>
        <w:rPr>
          <w:rFonts w:eastAsia="Georgia" w:cs="Georgia"/>
          <w:b/>
          <w:bCs/>
          <w:sz w:val="24"/>
          <w:szCs w:val="24"/>
        </w:rPr>
        <w:t>over 90% of DRB1 alleles originated less than 250,000 years ago</w:t>
      </w:r>
      <w:r>
        <w:rPr>
          <w:rFonts w:eastAsia="Georgia" w:cs="Georgia"/>
          <w:sz w:val="24"/>
          <w:szCs w:val="24"/>
        </w:rPr>
        <w:t>.</w:t>
      </w:r>
      <w:r>
        <w:rPr>
          <w:rStyle w:val="FootnoteReference"/>
        </w:rPr>
        <w:footnoteReference w:id="46"/>
      </w:r>
      <w:r>
        <w:rPr>
          <w:rFonts w:eastAsia="Georgia" w:cs="Georgia"/>
          <w:sz w:val="24"/>
          <w:szCs w:val="24"/>
        </w:rPr>
        <w:t xml:space="preserve"> A follow-up study by von Salomé, Gyllensten, and Bergström (2007), using full-length genomic sequences spanning 10–15 kilobases of DNA per allele, confirmed that with the exception of exon 2, both the coding and non-coding diversity of DRB1 alleles suggests a </w:t>
      </w:r>
      <w:r>
        <w:rPr>
          <w:rFonts w:eastAsia="Georgia" w:cs="Georgia"/>
          <w:b/>
          <w:bCs/>
          <w:sz w:val="24"/>
          <w:szCs w:val="24"/>
        </w:rPr>
        <w:t>recent origin—less than one million years ago—for most alleles</w:t>
      </w:r>
      <w:r>
        <w:rPr>
          <w:rFonts w:eastAsia="Georgia" w:cs="Georgia"/>
          <w:sz w:val="24"/>
          <w:szCs w:val="24"/>
        </w:rPr>
        <w:t>.</w:t>
      </w:r>
      <w:r>
        <w:rPr>
          <w:rStyle w:val="FootnoteReference"/>
        </w:rPr>
        <w:footnoteReference w:id="47"/>
      </w:r>
      <w:r>
        <w:rPr>
          <w:rFonts w:eastAsia="Georgia" w:cs="Georgia"/>
          <w:sz w:val="24"/>
          <w:szCs w:val="24"/>
        </w:rPr>
        <w:t xml:space="preserve"> The apparent deep antiquity of these alleles comes specifically from the reshuffled fragments in exon 2, not from the alleles as whole units.</w:t>
      </w:r>
    </w:p>
    <w:p>
      <w:pPr>
        <w:pStyle w:val="Normal"/>
        <w:bidi w:val="0"/>
        <w:spacing w:lineRule="exact" w:line="276" w:before="0" w:after="200"/>
        <w:jc w:val="start"/>
        <w:rPr/>
      </w:pPr>
      <w:r>
        <w:rPr>
          <w:rFonts w:eastAsia="Georgia" w:cs="Georgia"/>
          <w:b/>
          <w:bCs/>
          <w:sz w:val="24"/>
          <w:szCs w:val="24"/>
        </w:rPr>
        <w:t>2. Balancing Selection Inflates Apparent Divergence Times.</w:t>
      </w:r>
      <w:r>
        <w:rPr>
          <w:rFonts w:eastAsia="Georgia" w:cs="Georgia"/>
          <w:sz w:val="24"/>
          <w:szCs w:val="24"/>
        </w:rPr>
        <w:t xml:space="preserve"> Before explaining how this works, we need to understand what balancing selection actually is and why it happens—because this single mechanism is the key to the entire HLA puzzle.</w:t>
      </w:r>
    </w:p>
    <w:p>
      <w:pPr>
        <w:pStyle w:val="Normal"/>
        <w:bidi w:val="0"/>
        <w:spacing w:lineRule="exact" w:line="276" w:before="0" w:after="200"/>
        <w:jc w:val="start"/>
        <w:rPr/>
      </w:pPr>
      <w:r>
        <w:rPr>
          <w:rFonts w:eastAsia="Georgia" w:cs="Georgia"/>
          <w:sz w:val="24"/>
          <w:szCs w:val="24"/>
        </w:rPr>
        <w:t xml:space="preserve">Normal natural selection is </w:t>
      </w:r>
      <w:r>
        <w:rPr>
          <w:rFonts w:eastAsia="Georgia" w:cs="Georgia"/>
          <w:b/>
          <w:bCs/>
          <w:sz w:val="24"/>
          <w:szCs w:val="24"/>
        </w:rPr>
        <w:t>directional</w:t>
      </w:r>
      <w:r>
        <w:rPr>
          <w:rFonts w:eastAsia="Georgia" w:cs="Georgia"/>
          <w:sz w:val="24"/>
          <w:szCs w:val="24"/>
        </w:rPr>
        <w:t xml:space="preserve">—one version of a gene is better than the alternatives, it spreads through the population, and the inferior versions disappear. Resistance to malaria replaces vulnerability to malaria. A better eye replaces a worse one. Directional selection reduces diversity: one winner, many losers. Balancing selection is the opposite. It is a form of natural selection that actively </w:t>
      </w:r>
      <w:r>
        <w:rPr>
          <w:rFonts w:eastAsia="Georgia" w:cs="Georgia"/>
          <w:b/>
          <w:bCs/>
          <w:sz w:val="24"/>
          <w:szCs w:val="24"/>
        </w:rPr>
        <w:t>preserves multiple versions of a gene simultaneously</w:t>
      </w:r>
      <w:r>
        <w:rPr>
          <w:rFonts w:eastAsia="Georgia" w:cs="Georgia"/>
          <w:sz w:val="24"/>
          <w:szCs w:val="24"/>
        </w:rPr>
        <w:t xml:space="preserve">, sometimes for millions of years, because having </w:t>
      </w:r>
      <w:r>
        <w:rPr>
          <w:rFonts w:eastAsia="Georgia" w:cs="Georgia"/>
          <w:i/>
          <w:iCs/>
          <w:sz w:val="24"/>
          <w:szCs w:val="24"/>
        </w:rPr>
        <w:t>variety itself</w:t>
      </w:r>
      <w:r>
        <w:rPr>
          <w:rFonts w:eastAsia="Georgia" w:cs="Georgia"/>
          <w:sz w:val="24"/>
          <w:szCs w:val="24"/>
        </w:rPr>
        <w:t xml:space="preserve"> is what provides the survival advantage.</w:t>
      </w:r>
    </w:p>
    <w:p>
      <w:pPr>
        <w:pStyle w:val="Normal"/>
        <w:bidi w:val="0"/>
        <w:spacing w:lineRule="exact" w:line="276" w:before="0" w:after="200"/>
        <w:jc w:val="start"/>
        <w:rPr/>
      </w:pPr>
      <w:r>
        <w:rPr>
          <w:rFonts w:eastAsia="Georgia" w:cs="Georgia"/>
          <w:sz w:val="24"/>
          <w:szCs w:val="24"/>
        </w:rPr>
        <w:t xml:space="preserve">Here is why this happens at HLA genes. Your HLA molecules are the immune system’s “wanted posters.” They grab fragments of invading pathogens—pieces of viruses, bacteria, parasites, fungi—and display them on the surface of your cells. Your T-cells then read these displayed fragments and destroy any cell showing signs of infection. No display means no detection, and the pathogen wins. But here is the critical fact: </w:t>
      </w:r>
      <w:r>
        <w:rPr>
          <w:rFonts w:eastAsia="Georgia" w:cs="Georgia"/>
          <w:b/>
          <w:bCs/>
          <w:sz w:val="24"/>
          <w:szCs w:val="24"/>
        </w:rPr>
        <w:t>each HLA variant can only grab and display certain shapes of pathogen fragments</w:t>
      </w:r>
      <w:r>
        <w:rPr>
          <w:rFonts w:eastAsia="Georgia" w:cs="Georgia"/>
          <w:sz w:val="24"/>
          <w:szCs w:val="24"/>
        </w:rPr>
        <w:t>. One variant (say, DRB1*07:01) might be excellent at displaying tuberculosis fragments but poor at displaying malaria fragments. Another variant (DRB1*15:01) might be the reverse. Two different wanted posters catch more criminals than two identical ones.</w:t>
      </w:r>
    </w:p>
    <w:p>
      <w:pPr>
        <w:pStyle w:val="Normal"/>
        <w:bidi w:val="0"/>
        <w:spacing w:lineRule="exact" w:line="276" w:before="0" w:after="200"/>
        <w:jc w:val="start"/>
        <w:rPr/>
      </w:pPr>
      <w:r>
        <w:rPr>
          <w:rFonts w:eastAsia="Georgia" w:cs="Georgia"/>
          <w:sz w:val="24"/>
          <w:szCs w:val="24"/>
        </w:rPr>
        <w:t xml:space="preserve">This means that a person who is </w:t>
      </w:r>
      <w:r>
        <w:rPr>
          <w:rFonts w:eastAsia="Georgia" w:cs="Georgia"/>
          <w:b/>
          <w:bCs/>
          <w:sz w:val="24"/>
          <w:szCs w:val="24"/>
        </w:rPr>
        <w:t>heterozygous</w:t>
      </w:r>
      <w:r>
        <w:rPr>
          <w:rFonts w:eastAsia="Georgia" w:cs="Georgia"/>
          <w:sz w:val="24"/>
          <w:szCs w:val="24"/>
        </w:rPr>
        <w:t xml:space="preserve"> at an HLA gene—carrying two </w:t>
      </w:r>
      <w:r>
        <w:rPr>
          <w:rFonts w:eastAsia="Georgia" w:cs="Georgia"/>
          <w:i/>
          <w:iCs/>
          <w:sz w:val="24"/>
          <w:szCs w:val="24"/>
        </w:rPr>
        <w:t>different</w:t>
      </w:r>
      <w:r>
        <w:rPr>
          <w:rFonts w:eastAsia="Georgia" w:cs="Georgia"/>
          <w:sz w:val="24"/>
          <w:szCs w:val="24"/>
        </w:rPr>
        <w:t xml:space="preserve"> variants, one from each parent—can display a wider range of pathogen fragments than a person who is homozygous (carrying two copies of the same variant). The heterozygous person has a broader immune repertoire and is harder for diseases to kill. This is called </w:t>
      </w:r>
      <w:r>
        <w:rPr>
          <w:rFonts w:eastAsia="Georgia" w:cs="Georgia"/>
          <w:b/>
          <w:bCs/>
          <w:sz w:val="24"/>
          <w:szCs w:val="24"/>
        </w:rPr>
        <w:t>heterozygote advantage</w:t>
      </w:r>
      <w:r>
        <w:rPr>
          <w:rFonts w:eastAsia="Georgia" w:cs="Georgia"/>
          <w:sz w:val="24"/>
          <w:szCs w:val="24"/>
        </w:rPr>
        <w:t>, and it is one of the most powerful selective forces in biology.</w:t>
      </w:r>
    </w:p>
    <w:p>
      <w:pPr>
        <w:pStyle w:val="Normal"/>
        <w:bidi w:val="0"/>
        <w:spacing w:lineRule="exact" w:line="276" w:before="0" w:after="200"/>
        <w:jc w:val="start"/>
        <w:rPr/>
      </w:pPr>
      <w:r>
        <w:rPr>
          <w:rFonts w:eastAsia="Georgia" w:cs="Georgia"/>
          <w:sz w:val="24"/>
          <w:szCs w:val="24"/>
        </w:rPr>
        <w:t xml:space="preserve">But it gets even more powerful than that. Pathogens evolve too. They tend to evolve ways to evade the </w:t>
      </w:r>
      <w:r>
        <w:rPr>
          <w:rFonts w:eastAsia="Georgia" w:cs="Georgia"/>
          <w:i/>
          <w:iCs/>
          <w:sz w:val="24"/>
          <w:szCs w:val="24"/>
        </w:rPr>
        <w:t>most common</w:t>
      </w:r>
      <w:r>
        <w:rPr>
          <w:rFonts w:eastAsia="Georgia" w:cs="Georgia"/>
          <w:sz w:val="24"/>
          <w:szCs w:val="24"/>
        </w:rPr>
        <w:t xml:space="preserve"> HLA variants in a population, because those are the immune defenses they encounter most often. This means </w:t>
      </w:r>
      <w:r>
        <w:rPr>
          <w:rFonts w:eastAsia="Georgia" w:cs="Georgia"/>
          <w:b/>
          <w:bCs/>
          <w:sz w:val="24"/>
          <w:szCs w:val="24"/>
        </w:rPr>
        <w:t>rare HLA variants have an automatic survival advantage</w:t>
      </w:r>
      <w:r>
        <w:rPr>
          <w:rFonts w:eastAsia="Georgia" w:cs="Georgia"/>
          <w:sz w:val="24"/>
          <w:szCs w:val="24"/>
        </w:rPr>
        <w:t xml:space="preserve">—the diseases circulating in the population have not yet evolved to evade them. If 90% of the population carries Variant A and a new plague arrives that has evolved to slip past Variant A’s defenses, the 10% carrying rare Variant B survive and reproduce. Now Variant B becomes more common. But then a different pathogen evolves to exploit Variant B carriers—and the cycle reverses. This is called </w:t>
      </w:r>
      <w:r>
        <w:rPr>
          <w:rFonts w:eastAsia="Georgia" w:cs="Georgia"/>
          <w:b/>
          <w:bCs/>
          <w:sz w:val="24"/>
          <w:szCs w:val="24"/>
        </w:rPr>
        <w:t>frequency-dependent selection</w:t>
      </w:r>
      <w:r>
        <w:rPr>
          <w:rFonts w:eastAsia="Georgia" w:cs="Georgia"/>
          <w:sz w:val="24"/>
          <w:szCs w:val="24"/>
        </w:rPr>
        <w:t xml:space="preserve">: the rarer you are, the more valuable you become, because pathogens always evolve to attack the majority. The result is that natural selection </w:t>
      </w:r>
      <w:r>
        <w:rPr>
          <w:rFonts w:eastAsia="Georgia" w:cs="Georgia"/>
          <w:i/>
          <w:iCs/>
          <w:sz w:val="24"/>
          <w:szCs w:val="24"/>
        </w:rPr>
        <w:t>never lets any HLA variant win permanently</w:t>
      </w:r>
      <w:r>
        <w:rPr>
          <w:rFonts w:eastAsia="Georgia" w:cs="Georgia"/>
          <w:sz w:val="24"/>
          <w:szCs w:val="24"/>
        </w:rPr>
        <w:t>. Multiple variants are actively maintained in the population indefinitely, in a perpetual arms race with infectious disease.</w:t>
      </w:r>
    </w:p>
    <w:p>
      <w:pPr>
        <w:pStyle w:val="Normal"/>
        <w:bidi w:val="0"/>
        <w:spacing w:lineRule="exact" w:line="276" w:before="0" w:after="200"/>
        <w:jc w:val="start"/>
        <w:rPr/>
      </w:pPr>
      <w:r>
        <w:rPr>
          <w:rFonts w:eastAsia="Georgia" w:cs="Georgia"/>
          <w:sz w:val="24"/>
          <w:szCs w:val="24"/>
        </w:rPr>
        <w:t>Now here is where this distorts the molecular clock. When geneticists estimate how old a gene variant is, they count the number of DNA differences between two variants and divide by the known mutation rate. More differences means more time. This is the “molecular clock.” But the clock assumes variants are accumulating mutations at a neutral rate—randomly, like a ticking metronome. HLA genes violate this assumption dramatically.</w:t>
      </w:r>
    </w:p>
    <w:p>
      <w:pPr>
        <w:pStyle w:val="Normal"/>
        <w:bidi w:val="0"/>
        <w:spacing w:lineRule="exact" w:line="276" w:before="0" w:after="200"/>
        <w:jc w:val="start"/>
        <w:rPr/>
      </w:pPr>
      <w:r>
        <w:rPr>
          <w:rFonts w:eastAsia="Georgia" w:cs="Georgia"/>
          <w:sz w:val="24"/>
          <w:szCs w:val="24"/>
        </w:rPr>
        <w:t xml:space="preserve">Normally, genetic drift periodically eliminates gene variants from a population—one lineage goes extinct by chance, and the clock “resets” because the surviving variants are now more closely related to each other. Under balancing selection, </w:t>
      </w:r>
      <w:r>
        <w:rPr>
          <w:rFonts w:eastAsia="Georgia" w:cs="Georgia"/>
          <w:b/>
          <w:bCs/>
          <w:sz w:val="24"/>
          <w:szCs w:val="24"/>
        </w:rPr>
        <w:t>this reset never happens</w:t>
      </w:r>
      <w:r>
        <w:rPr>
          <w:rFonts w:eastAsia="Georgia" w:cs="Georgia"/>
          <w:sz w:val="24"/>
          <w:szCs w:val="24"/>
        </w:rPr>
        <w:t xml:space="preserve">. Selection actively prevents any HLA lineage from going extinct. Both lineages keep accumulating mutations independently, generation after generation, for hundreds of thousands of years—without the periodic collapses that would normally bring them back together. The result is that two HLA variants that </w:t>
      </w:r>
      <w:r>
        <w:rPr>
          <w:rFonts w:eastAsia="Georgia" w:cs="Georgia"/>
          <w:i/>
          <w:iCs/>
          <w:sz w:val="24"/>
          <w:szCs w:val="24"/>
        </w:rPr>
        <w:t>actually</w:t>
      </w:r>
      <w:r>
        <w:rPr>
          <w:rFonts w:eastAsia="Georgia" w:cs="Georgia"/>
          <w:sz w:val="24"/>
          <w:szCs w:val="24"/>
        </w:rPr>
        <w:t xml:space="preserve"> diverged one million years ago can </w:t>
      </w:r>
      <w:r>
        <w:rPr>
          <w:rFonts w:eastAsia="Georgia" w:cs="Georgia"/>
          <w:i/>
          <w:iCs/>
          <w:sz w:val="24"/>
          <w:szCs w:val="24"/>
        </w:rPr>
        <w:t>look like</w:t>
      </w:r>
      <w:r>
        <w:rPr>
          <w:rFonts w:eastAsia="Georgia" w:cs="Georgia"/>
          <w:sz w:val="24"/>
          <w:szCs w:val="24"/>
        </w:rPr>
        <w:t xml:space="preserve"> they diverged five million, ten million, or even thirty million years ago—because the selection pressure prevented the normal pruning events that would have reset the apparent age.</w:t>
      </w:r>
    </w:p>
    <w:p>
      <w:pPr>
        <w:pStyle w:val="Normal"/>
        <w:bidi w:val="0"/>
        <w:spacing w:lineRule="exact" w:line="276" w:before="0" w:after="200"/>
        <w:jc w:val="start"/>
        <w:rPr/>
      </w:pPr>
      <w:r>
        <w:rPr>
          <w:rFonts w:eastAsia="Georgia" w:cs="Georgia"/>
          <w:sz w:val="24"/>
          <w:szCs w:val="24"/>
        </w:rPr>
        <w:t xml:space="preserve">This is not speculation. The Japanese population geneticist Naoyuki Takahata showed mathematically in 1990 that under balancing selection, the apparent </w:t>
      </w:r>
      <w:r>
        <w:rPr>
          <w:rFonts w:eastAsia="Georgia" w:cs="Georgia"/>
          <w:b/>
          <w:bCs/>
          <w:sz w:val="24"/>
          <w:szCs w:val="24"/>
        </w:rPr>
        <w:t>coalescence time</w:t>
      </w:r>
      <w:r>
        <w:rPr>
          <w:rFonts w:eastAsia="Georgia" w:cs="Georgia"/>
          <w:sz w:val="24"/>
          <w:szCs w:val="24"/>
        </w:rPr>
        <w:t>—the estimated date when two gene variants last shared a common ancestor—is inflated by a factor that can be enormous, potentially making 6 million years of actual history look like 30 million years.</w:t>
      </w:r>
      <w:r>
        <w:rPr>
          <w:rStyle w:val="FootnoteReference"/>
        </w:rPr>
        <w:footnoteReference w:id="48"/>
      </w:r>
      <w:r>
        <w:rPr>
          <w:rFonts w:eastAsia="Georgia" w:cs="Georgia"/>
          <w:sz w:val="24"/>
          <w:szCs w:val="24"/>
        </w:rPr>
        <w:t xml:space="preserve"> Montgomery Slatkin of UC Berkeley refined this analysis in 2022, showing that the inflation factor is proportional to the square root of the ratio of selection intensity to mutation rate.</w:t>
      </w:r>
      <w:r>
        <w:rPr>
          <w:rStyle w:val="FootnoteReference"/>
        </w:rPr>
        <w:footnoteReference w:id="49"/>
      </w:r>
      <w:r>
        <w:rPr>
          <w:rFonts w:eastAsia="Georgia" w:cs="Georgia"/>
          <w:sz w:val="24"/>
          <w:szCs w:val="24"/>
        </w:rPr>
        <w:t xml:space="preserve"> For HLA genes, where selection is among the strongest anywhere in the genome and the relevant mutation rate is low, this ratio can be very large. The “30-million-year-old lineages” at DRB1 and DQB1 may represent significantly less real time—the clock is running fast because selection is actively maintaining diversity, generating the </w:t>
      </w:r>
      <w:r>
        <w:rPr>
          <w:rFonts w:eastAsia="Georgia" w:cs="Georgia"/>
          <w:i/>
          <w:iCs/>
          <w:sz w:val="24"/>
          <w:szCs w:val="24"/>
        </w:rPr>
        <w:t>appearance</w:t>
      </w:r>
      <w:r>
        <w:rPr>
          <w:rFonts w:eastAsia="Georgia" w:cs="Georgia"/>
          <w:sz w:val="24"/>
          <w:szCs w:val="24"/>
        </w:rPr>
        <w:t xml:space="preserve"> of extreme antiquity.</w:t>
      </w:r>
    </w:p>
    <w:p>
      <w:pPr>
        <w:pStyle w:val="Normal"/>
        <w:bidi w:val="0"/>
        <w:spacing w:lineRule="exact" w:line="276" w:before="0" w:after="200"/>
        <w:jc w:val="start"/>
        <w:rPr/>
      </w:pPr>
      <w:r>
        <w:rPr>
          <w:rFonts w:eastAsia="Georgia" w:cs="Georgia"/>
          <w:b/>
          <w:bCs/>
          <w:sz w:val="24"/>
          <w:szCs w:val="24"/>
        </w:rPr>
        <w:t>3. The Most Rigorous Modern Study Found Less TSP Than Expected.</w:t>
      </w:r>
      <w:r>
        <w:rPr>
          <w:rFonts w:eastAsia="Georgia" w:cs="Georgia"/>
          <w:sz w:val="24"/>
          <w:szCs w:val="24"/>
        </w:rPr>
        <w:t xml:space="preserve"> In 2025, Fortier and Pritchard published two companion papers in </w:t>
      </w:r>
      <w:r>
        <w:rPr>
          <w:rFonts w:eastAsia="Georgia" w:cs="Georgia"/>
          <w:i/>
          <w:iCs/>
          <w:sz w:val="24"/>
          <w:szCs w:val="24"/>
        </w:rPr>
        <w:t>eLife</w:t>
      </w:r>
      <w:r>
        <w:rPr>
          <w:rFonts w:eastAsia="Georgia" w:cs="Georgia"/>
          <w:sz w:val="24"/>
          <w:szCs w:val="24"/>
        </w:rPr>
        <w:t>—the most comprehensive phylogenetic analysis of primate MHC genes to date, using data from 106 primate species and Bayesian statistical methods.</w:t>
      </w:r>
      <w:r>
        <w:rPr>
          <w:rStyle w:val="FootnoteReference"/>
        </w:rPr>
        <w:footnoteReference w:id="50"/>
      </w:r>
      <w:r>
        <w:rPr>
          <w:rStyle w:val="FootnoteReference"/>
        </w:rPr>
        <w:footnoteReference w:id="51"/>
      </w:r>
      <w:r>
        <w:rPr>
          <w:rFonts w:eastAsia="Georgia" w:cs="Georgia"/>
          <w:sz w:val="24"/>
          <w:szCs w:val="24"/>
        </w:rPr>
        <w:t xml:space="preserve"> Their key finding for DRB1 was striking: trans-species polymorphism at DRB1 is supported by exon 2 (the antigen-binding region, which is subject to gene conversion) </w:t>
      </w:r>
      <w:r>
        <w:rPr>
          <w:rFonts w:eastAsia="Georgia" w:cs="Georgia"/>
          <w:b/>
          <w:bCs/>
          <w:sz w:val="24"/>
          <w:szCs w:val="24"/>
        </w:rPr>
        <w:t>but not by exon 3</w:t>
      </w:r>
      <w:r>
        <w:rPr>
          <w:rFonts w:eastAsia="Georgia" w:cs="Georgia"/>
          <w:sz w:val="24"/>
          <w:szCs w:val="24"/>
        </w:rPr>
        <w:t xml:space="preserve"> (the adjacent region, which evolves more normally). The authors themselves state that this “could mean alleles are not actually that ancient” and that “previous work may have overstated the extent of TSP at this locus.” In other words, the region of DRB1 that shows deep ancestry is precisely the region that is constantly being reshuffled by gene conversion—while the rest of the gene tells a much more recent story.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DQB1 is the one locus where deep TSP survived even this rigorous analysis, with lineages confirmed at approximately 31 million years with strong statistical support. This remains the most challenging data point for any two-person origin model. However, the same coalescence-inflation factors apply: balancing selection at DQB1 is intense, and the apparent 31-million-year divergence may represent significantly less real time.</w:t>
      </w:r>
    </w:p>
    <w:p>
      <w:pPr>
        <w:pStyle w:val="Normal"/>
        <w:bidi w:val="0"/>
        <w:spacing w:lineRule="exact" w:line="276" w:before="0" w:after="200"/>
        <w:jc w:val="start"/>
        <w:rPr/>
      </w:pPr>
      <w:r>
        <w:rPr>
          <w:rFonts w:eastAsia="Georgia" w:cs="Georgia"/>
          <w:b/>
          <w:bCs/>
          <w:sz w:val="24"/>
          <w:szCs w:val="24"/>
        </w:rPr>
        <w:t>4. African Populations Prove Balancing Selection Alone Generates Massive Diversity.</w:t>
      </w:r>
      <w:r>
        <w:rPr>
          <w:rFonts w:eastAsia="Georgia" w:cs="Georgia"/>
          <w:sz w:val="24"/>
          <w:szCs w:val="24"/>
        </w:rPr>
        <w:t xml:space="preserve"> Perhaps the most important evidence comes from a simple observation: African populations have equal or </w:t>
      </w:r>
      <w:r>
        <w:rPr>
          <w:rFonts w:eastAsia="Georgia" w:cs="Georgia"/>
          <w:i/>
          <w:iCs/>
          <w:sz w:val="24"/>
          <w:szCs w:val="24"/>
        </w:rPr>
        <w:t>greater</w:t>
      </w:r>
      <w:r>
        <w:rPr>
          <w:rFonts w:eastAsia="Georgia" w:cs="Georgia"/>
          <w:sz w:val="24"/>
          <w:szCs w:val="24"/>
        </w:rPr>
        <w:t xml:space="preserve"> HLA diversity than Eurasian populations, despite having essentially zero Neanderthal or Denisovan admixture. If HLA diversity required contributions from multiple ancient populations or species, Africans—who remained isolated from Neanderthals and Denisovans—should have less diversity, not more. Instead, they have the most. This demonstrates that balancing selection, operating within a single population lineage over sufficient time, is fully capable of generating all the HLA diversity we observe. No interbreeding with archaic populations is required.</w:t>
      </w:r>
    </w:p>
    <w:p>
      <w:pPr>
        <w:pStyle w:val="Normal"/>
        <w:bidi w:val="0"/>
        <w:spacing w:lineRule="exact" w:line="276" w:before="0" w:after="200"/>
        <w:jc w:val="start"/>
        <w:rPr/>
      </w:pPr>
      <w:r>
        <w:rPr>
          <w:rFonts w:eastAsia="Georgia" w:cs="Georgia"/>
          <w:b/>
          <w:bCs/>
          <w:sz w:val="24"/>
          <w:szCs w:val="24"/>
        </w:rPr>
        <w:t>A critical point must be emphasized: none of this is ad hoc reasoning invented to rescue monogenism.</w:t>
      </w:r>
      <w:r>
        <w:rPr>
          <w:rFonts w:eastAsia="Georgia" w:cs="Georgia"/>
          <w:sz w:val="24"/>
          <w:szCs w:val="24"/>
        </w:rPr>
        <w:t xml:space="preserve"> Balancing selection, heterozygote advantage, and frequency-dependent selection are standard textbook population genetics—established science taught in every graduate program in the field. The coalescence-time inflation under balancing selection was demonstrated mathematically by Takahata in 1990 and refined by Slatkin in 2022—neither of whom had any interest in the monogenism question. Gene conversion at HLA loci was documented by Bergström et al. in </w:t>
      </w:r>
      <w:r>
        <w:rPr>
          <w:rFonts w:eastAsia="Georgia" w:cs="Georgia"/>
          <w:i/>
          <w:iCs/>
          <w:sz w:val="24"/>
          <w:szCs w:val="24"/>
        </w:rPr>
        <w:t>Nature Genetics</w:t>
      </w:r>
      <w:r>
        <w:rPr>
          <w:rFonts w:eastAsia="Georgia" w:cs="Georgia"/>
          <w:sz w:val="24"/>
          <w:szCs w:val="24"/>
        </w:rPr>
        <w:t xml:space="preserve"> in 1998 and confirmed by Fortier and Pritchard in </w:t>
      </w:r>
      <w:r>
        <w:rPr>
          <w:rFonts w:eastAsia="Georgia" w:cs="Georgia"/>
          <w:i/>
          <w:iCs/>
          <w:sz w:val="24"/>
          <w:szCs w:val="24"/>
        </w:rPr>
        <w:t>eLife</w:t>
      </w:r>
      <w:r>
        <w:rPr>
          <w:rFonts w:eastAsia="Georgia" w:cs="Georgia"/>
          <w:sz w:val="24"/>
          <w:szCs w:val="24"/>
        </w:rPr>
        <w:t xml:space="preserve"> in 2025. The exon 2 versus exon 3 discordance at DRB1—the most dramatic evidence that apparent deep ancestry is an artifact—was discovered by mainstream evolutionary biologists studying primate immunology, not by anyone attempting to defend a theological position.</w:t>
      </w:r>
    </w:p>
    <w:p>
      <w:pPr>
        <w:pStyle w:val="Normal"/>
        <w:bidi w:val="0"/>
        <w:spacing w:lineRule="exact" w:line="276" w:before="0" w:after="200"/>
        <w:jc w:val="start"/>
        <w:rPr/>
      </w:pPr>
      <w:r>
        <w:rPr>
          <w:rFonts w:eastAsia="Georgia" w:cs="Georgia"/>
          <w:sz w:val="24"/>
          <w:szCs w:val="24"/>
        </w:rPr>
        <w:t xml:space="preserve">What has been refuted is not monogenism. What has been refuted is the </w:t>
      </w:r>
      <w:r>
        <w:rPr>
          <w:rFonts w:eastAsia="Georgia" w:cs="Georgia"/>
          <w:i/>
          <w:iCs/>
          <w:sz w:val="24"/>
          <w:szCs w:val="24"/>
        </w:rPr>
        <w:t>assumption</w:t>
      </w:r>
      <w:r>
        <w:rPr>
          <w:rFonts w:eastAsia="Georgia" w:cs="Georgia"/>
          <w:sz w:val="24"/>
          <w:szCs w:val="24"/>
        </w:rPr>
        <w:t xml:space="preserve"> on which the original argument against monogenism was built. Ayala’s 1998 argument to the US Catholic Bishops rested on a neutral molecular clock applied to HLA genes: count the DNA differences between alleles, divide by the mutation rate, conclude the lineages are tens of millions of years old, therefore a single couple cannot account for them. But this calculation </w:t>
      </w:r>
      <w:r>
        <w:rPr>
          <w:rFonts w:eastAsia="Georgia" w:cs="Georgia"/>
          <w:i/>
          <w:iCs/>
          <w:sz w:val="24"/>
          <w:szCs w:val="24"/>
        </w:rPr>
        <w:t>assumed</w:t>
      </w:r>
      <w:r>
        <w:rPr>
          <w:rFonts w:eastAsia="Georgia" w:cs="Georgia"/>
          <w:sz w:val="24"/>
          <w:szCs w:val="24"/>
        </w:rPr>
        <w:t xml:space="preserve"> that HLA genes evolve at a neutral rate. They do not. They are under the strongest balancing selection in the entire genome. The neutral clock assumption was always wrong for these genes—and the field now knows it. Every “millions of years old” estimate for HLA lineages that was calculated under a neutral model is an overestimate, likely by an order of magnitude or more. The trajectory of the science has been consistent and one-directional: every major study since 1998 has reduced the apparent depth and number of truly independent ancient HLA lineages, not increased them.</w:t>
      </w:r>
    </w:p>
    <w:p>
      <w:pPr>
        <w:pStyle w:val="Heading2"/>
        <w:bidi w:val="0"/>
        <w:spacing w:before="280" w:after="160"/>
        <w:jc w:val="start"/>
        <w:rPr/>
      </w:pPr>
      <w:r>
        <w:rPr/>
        <w:t>The TMR4A Number: The Key to the Puzzle</w:t>
      </w:r>
    </w:p>
    <w:p>
      <w:pPr>
        <w:pStyle w:val="Normal"/>
        <w:bidi w:val="0"/>
        <w:spacing w:lineRule="exact" w:line="276" w:before="0" w:after="200"/>
        <w:jc w:val="start"/>
        <w:rPr/>
      </w:pPr>
      <w:r>
        <w:rPr>
          <w:rFonts w:eastAsia="Georgia" w:cs="Georgia"/>
          <w:sz w:val="24"/>
          <w:szCs w:val="24"/>
        </w:rPr>
        <w:t>In 2017–2018, computational biologist S. Joshua Swamidass and population geneticist Richard Buggs developed a concept called TMR4A—Time to Most Recent Four Alleles.</w:t>
      </w:r>
      <w:r>
        <w:rPr>
          <w:rStyle w:val="FootnoteReference"/>
        </w:rPr>
        <w:footnoteReference w:id="52"/>
      </w:r>
      <w:r>
        <w:rPr>
          <w:rFonts w:eastAsia="Georgia" w:cs="Georgia"/>
          <w:sz w:val="24"/>
          <w:szCs w:val="24"/>
        </w:rPr>
        <w:t xml:space="preserve"> The reasoning is simple: a couple (two people) can carry at most four versions of any gene (each person is diploid—carrying two copies of each gene). TMR4A asks: how far back in time would you have to go before mutation, recombination, and gene conversion alone—starting from just four alleles—could generate all the genetic diversity we observe </w:t>
      </w:r>
      <w:r>
        <w:rPr>
          <w:rFonts w:eastAsia="Georgia" w:cs="Georgia"/>
          <w:i/>
          <w:iCs/>
          <w:sz w:val="24"/>
          <w:szCs w:val="24"/>
        </w:rPr>
        <w:t>across the entire human genome</w:t>
      </w:r>
      <w:r>
        <w:rPr>
          <w:rFonts w:eastAsia="Georgia" w:cs="Georgia"/>
          <w:sz w:val="24"/>
          <w:szCs w:val="24"/>
        </w:rPr>
        <w:t>?</w:t>
      </w:r>
    </w:p>
    <w:p>
      <w:pPr>
        <w:pStyle w:val="Normal"/>
        <w:bidi w:val="0"/>
        <w:spacing w:lineRule="exact" w:line="276" w:before="0" w:after="200"/>
        <w:jc w:val="start"/>
        <w:rPr/>
      </w:pPr>
      <w:r>
        <w:rPr>
          <w:rFonts w:eastAsia="Georgia" w:cs="Georgia"/>
          <w:sz w:val="24"/>
          <w:szCs w:val="24"/>
        </w:rPr>
        <w:t xml:space="preserve">The answer: </w:t>
      </w:r>
      <w:r>
        <w:rPr>
          <w:rFonts w:eastAsia="Georgia" w:cs="Georgia"/>
          <w:b/>
          <w:bCs/>
          <w:sz w:val="24"/>
          <w:szCs w:val="24"/>
        </w:rPr>
        <w:t>approximately 500,000 years ago</w:t>
      </w:r>
      <w:r>
        <w:rPr>
          <w:rFonts w:eastAsia="Georgia" w:cs="Georgia"/>
          <w:sz w:val="24"/>
          <w:szCs w:val="24"/>
        </w:rPr>
        <w:t xml:space="preserve">, with an uncertainty range of plus or minus 100,000 years. This means that a bottleneck to two individuals more recent than about 500,000 years ago would leave a detectable signature in the genome—there simply would not be enough time for four starting alleles to diversify into what we observe. But a bottleneck older than 500,000 years ago is </w:t>
      </w:r>
      <w:r>
        <w:rPr>
          <w:rFonts w:eastAsia="Georgia" w:cs="Georgia"/>
          <w:i/>
          <w:iCs/>
          <w:sz w:val="24"/>
          <w:szCs w:val="24"/>
        </w:rPr>
        <w:t>consistent with the data</w:t>
      </w:r>
      <w:r>
        <w:rPr>
          <w:rFonts w:eastAsia="Georgia" w:cs="Georgia"/>
          <w:sz w:val="24"/>
          <w:szCs w:val="24"/>
        </w:rPr>
        <w:t>—the diversity we see could have been generated from just four alleles given that much time.</w:t>
      </w:r>
    </w:p>
    <w:p>
      <w:pPr>
        <w:pStyle w:val="Normal"/>
        <w:bidi w:val="0"/>
        <w:spacing w:lineRule="exact" w:line="276" w:before="0" w:after="200"/>
        <w:jc w:val="start"/>
        <w:rPr/>
      </w:pPr>
      <w:r>
        <w:rPr>
          <w:rFonts w:eastAsia="Georgia" w:cs="Georgia"/>
          <w:sz w:val="24"/>
          <w:szCs w:val="24"/>
        </w:rPr>
        <w:t xml:space="preserve">This result has been independently confirmed. Ola Hössjer and Ann Gauger, in a 2019 paper in </w:t>
      </w:r>
      <w:r>
        <w:rPr>
          <w:rFonts w:eastAsia="Georgia" w:cs="Georgia"/>
          <w:i/>
          <w:iCs/>
          <w:sz w:val="24"/>
          <w:szCs w:val="24"/>
        </w:rPr>
        <w:t>BIO-Complexity</w:t>
      </w:r>
      <w:r>
        <w:rPr>
          <w:rFonts w:eastAsia="Georgia" w:cs="Georgia"/>
          <w:sz w:val="24"/>
          <w:szCs w:val="24"/>
        </w:rPr>
        <w:t>, used allele frequency spectra and linkage disequilibrium statistics to show that the genetic data are consistent with a single-couple origin as recent as 500,000 years ago.</w:t>
      </w:r>
      <w:r>
        <w:rPr>
          <w:rStyle w:val="FootnoteReference"/>
        </w:rPr>
        <w:footnoteReference w:id="53"/>
      </w:r>
      <w:r>
        <w:rPr>
          <w:rFonts w:eastAsia="Georgia" w:cs="Georgia"/>
          <w:sz w:val="24"/>
          <w:szCs w:val="24"/>
        </w:rPr>
        <w:t xml:space="preserve"> Steve Schaffner of the Broad Institute at MIT and Harvard independently ran simulations reaching the same conclusion: at dates older than 500,000 years ago, a bottleneck to two individuals cannot be ruled out by current genomic data.</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Our framework places Adam and Eve at 750,000 to 1,000,000 years ago. This is well beyond the TMR4A threshold. The genetic diversity we observe in modern humans—including at HLA loci—is consistent with descent from two individuals at these timescales, given the powerful diversifying mechanisms of mutation, gene conversion, recombination, and balancing selection.</w:t>
      </w:r>
    </w:p>
    <w:p>
      <w:pPr>
        <w:pStyle w:val="Heading2"/>
        <w:bidi w:val="0"/>
        <w:spacing w:before="280" w:after="160"/>
        <w:jc w:val="start"/>
        <w:rPr/>
      </w:pPr>
      <w:r>
        <w:rPr/>
        <w:t>The Family Reunion: Beautiful but Not Necessary</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Earlier versions of this framework relied on interbreeding between Adam’s descendants and non-ensouled hominids as the primary mechanism for introducing genetic diversity into the human lineage. The research summarized above makes this mechanism unnecessary. Balancing selection, gene conversion, and deep time are sufficient.</w:t>
      </w:r>
    </w:p>
    <w:p>
      <w:pPr>
        <w:pStyle w:val="Normal"/>
        <w:bidi w:val="0"/>
        <w:spacing w:lineRule="exact" w:line="276" w:before="0" w:after="200"/>
        <w:jc w:val="start"/>
        <w:rPr/>
      </w:pPr>
      <w:r>
        <w:rPr>
          <w:rFonts w:eastAsia="Georgia" w:cs="Georgia"/>
          <w:sz w:val="24"/>
          <w:szCs w:val="24"/>
        </w:rPr>
        <w:t xml:space="preserve">However, the later interbreeding between long-separated human populations—anatomically modern </w:t>
      </w:r>
      <w:r>
        <w:rPr>
          <w:rFonts w:eastAsia="Georgia" w:cs="Georgia"/>
          <w:i/>
          <w:iCs/>
          <w:sz w:val="24"/>
          <w:szCs w:val="24"/>
        </w:rPr>
        <w:t>Homo sapiens</w:t>
      </w:r>
      <w:r>
        <w:rPr>
          <w:rFonts w:eastAsia="Georgia" w:cs="Georgia"/>
          <w:sz w:val="24"/>
          <w:szCs w:val="24"/>
        </w:rPr>
        <w:t xml:space="preserve"> encountering Neanderthals in Europe and Denisovans in Asia between 100,000 and 40,000 years ago—is documented science and remains a beautiful element of the framework. All modern non-African populations carry 1–4% Neanderthal DNA. Melanesian and Australian Aboriginal populations carry 4–6% Denisovan DNA. A first-generation hybrid child of a Neanderthal mother and Denisovan father (“Denny”) has been identified from a bone fragment in Denisova Cave.</w:t>
      </w:r>
    </w:p>
    <w:p>
      <w:pPr>
        <w:pStyle w:val="Normal"/>
        <w:bidi w:val="0"/>
        <w:spacing w:lineRule="exact" w:line="276" w:before="0" w:after="200"/>
        <w:jc w:val="start"/>
        <w:rPr/>
      </w:pPr>
      <w:r>
        <w:rPr>
          <w:rFonts w:eastAsia="Georgia" w:cs="Georgia"/>
          <w:sz w:val="24"/>
          <w:szCs w:val="24"/>
        </w:rPr>
        <w:t xml:space="preserve">In our framework, this interbreeding is not hybridization between humans and non-humans. It is </w:t>
      </w:r>
      <w:r>
        <w:rPr>
          <w:rFonts w:eastAsia="Georgia" w:cs="Georgia"/>
          <w:i/>
          <w:iCs/>
          <w:sz w:val="24"/>
          <w:szCs w:val="24"/>
        </w:rPr>
        <w:t>family reuniting</w:t>
      </w:r>
      <w:r>
        <w:rPr>
          <w:rFonts w:eastAsia="Georgia" w:cs="Georgia"/>
          <w:sz w:val="24"/>
          <w:szCs w:val="24"/>
        </w:rPr>
        <w:t xml:space="preserve"> after hundreds of thousands of years of separation—descendants of Adam, long adapted to different environments and climates, encountering each other again. It is a poignant detail, not a genetic necessity.</w:t>
      </w:r>
    </w:p>
    <w:p>
      <w:pPr>
        <w:pStyle w:val="Heading2"/>
        <w:bidi w:val="0"/>
        <w:spacing w:before="280" w:after="160"/>
        <w:jc w:val="start"/>
        <w:rPr/>
      </w:pPr>
      <w:r>
        <w:rPr/>
        <w:t>An Honest Acknowledgment: DQB1 Remains an Open Question</w:t>
      </w:r>
    </w:p>
    <w:p>
      <w:pPr>
        <w:pStyle w:val="Normal"/>
        <w:bidi w:val="0"/>
        <w:spacing w:lineRule="exact" w:line="276" w:before="0" w:after="200"/>
        <w:jc w:val="start"/>
        <w:rPr/>
      </w:pPr>
      <w:r>
        <w:rPr>
          <w:rFonts w:eastAsia="Georgia" w:cs="Georgia"/>
          <w:sz w:val="24"/>
          <w:szCs w:val="24"/>
        </w:rPr>
        <w:t>Intellectual honesty requires noting where the argument is strongest against us. The DQB1 locus, with its eight deep lineage groups and trans-species polymorphism confirmed at approximately 31 million years even by the most rigorous modern analysis (Fortier and Pritchard, 2025), remains the most challenging single data point for any two-person origin model.</w:t>
      </w:r>
      <w:r>
        <w:rPr>
          <w:rStyle w:val="FootnoteReference"/>
        </w:rPr>
        <w:footnoteReference w:id="54"/>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However, several factors mitigate this challenge. First, the 31-million-year estimate is subject to the same coalescence-inflation effects described above—balancing selection at DQB1 is among the strongest anywhere in the genome, and the real divergence time may be considerably shorter than the apparent one. Second, the Fortier and Pritchard study itself revised this estimate downward from approximately 45 million years (in their 2022 preprint) to 31 million years (in the published version)—a 30% reduction, suggesting the true figure may still be in flux. Third, the question of how many truly independent lineages exist at DQB1, versus how many are mosaic products of gene conversion, remains open. The science itself is uncertain about the true depth and number of these lineages.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We present this honestly: the DQB1 data do not prove a two-person origin impossible, but they remain the data point that any monogenist framework must continue to watch as the science develops. The trajectory of the research is worth noting: from Ayala’s confident 1998 assertion that monogenism was genetically impossible, to the 2025 findings that even the flagship DRB1 locus may have overstated its ancient lineages, every major study has moved toward a smaller number of genuinely independent ancient lineages, not a larger one. The science has not confirmed monogenism—but it has steadily dismantled the argument that was supposed to have refuted it.</w:t>
      </w:r>
    </w:p>
    <w:p>
      <w:pPr>
        <w:pStyle w:val="Heading2"/>
        <w:bidi w:val="0"/>
        <w:spacing w:before="280" w:after="160"/>
        <w:jc w:val="start"/>
        <w:rPr/>
      </w:pPr>
      <w:r>
        <w:rPr/>
        <w:t>Required vs. Open: What the Church Demands About Genetic Origins</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 xml:space="preserve">Monogenism—all humans descend from one original pair. This is stated clearly in </w:t>
      </w:r>
      <w:hyperlink r:id="rId98">
        <w:r>
          <w:rPr>
            <w:rStyle w:val="ListLabel10"/>
            <w:rFonts w:eastAsia="Georgia" w:cs="Georgia"/>
            <w:i/>
            <w:iCs/>
            <w:color w:val="0563C1"/>
            <w:sz w:val="24"/>
            <w:szCs w:val="24"/>
            <w:u w:val="single"/>
          </w:rPr>
          <w:t>Humani Generis</w:t>
        </w:r>
      </w:hyperlink>
      <w:hyperlink r:id="rId99">
        <w:r>
          <w:rPr>
            <w:rStyle w:val="ListLabel12"/>
            <w:rFonts w:eastAsia="Georgia" w:cs="Georgia"/>
            <w:color w:val="0563C1"/>
            <w:sz w:val="24"/>
            <w:szCs w:val="24"/>
            <w:u w:val="single"/>
          </w:rPr>
          <w:t>, §37</w:t>
        </w:r>
      </w:hyperlink>
      <w:r>
        <w:rPr>
          <w:rFonts w:eastAsia="Georgia" w:cs="Georgia"/>
          <w:sz w:val="24"/>
          <w:szCs w:val="24"/>
        </w:rPr>
        <w:t xml:space="preserve"> and is grounded in the Council of Trent’s teaching that original sin is “in its origin one” and is transmitted “by propagation, not by imitation.” The framework must account for universal descent from Adam and Eve.</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The mechanism by which genetic diversity arose from a founding pair is entirely open. Whether diversity accumulated through mutation, gene conversion, recombination, and balancing selection operating over deep time (as this chapter argues), or through some other mechanism—these are scientific questions on which the Church has no dogmatic position. The Church teaches </w:t>
      </w:r>
      <w:r>
        <w:rPr>
          <w:rFonts w:eastAsia="Georgia" w:cs="Georgia"/>
          <w:i/>
          <w:iCs/>
          <w:sz w:val="24"/>
          <w:szCs w:val="24"/>
        </w:rPr>
        <w:t>that</w:t>
      </w:r>
      <w:r>
        <w:rPr>
          <w:rFonts w:eastAsia="Georgia" w:cs="Georgia"/>
          <w:sz w:val="24"/>
          <w:szCs w:val="24"/>
        </w:rPr>
        <w:t xml:space="preserve"> all humans descend from Adam, not </w:t>
      </w:r>
      <w:r>
        <w:rPr>
          <w:rFonts w:eastAsia="Georgia" w:cs="Georgia"/>
          <w:i/>
          <w:iCs/>
          <w:sz w:val="24"/>
          <w:szCs w:val="24"/>
        </w:rPr>
        <w:t>how</w:t>
      </w:r>
      <w:r>
        <w:rPr>
          <w:rFonts w:eastAsia="Georgia" w:cs="Georgia"/>
          <w:sz w:val="24"/>
          <w:szCs w:val="24"/>
        </w:rPr>
        <w:t xml:space="preserve"> the genetic mathematics work out. Catholics are free to explore any mechanism that preserves universal Adamic descent.</w:t>
      </w:r>
    </w:p>
    <w:p>
      <w:pPr>
        <w:pStyle w:val="Normal"/>
        <w:bidi w:val="0"/>
        <w:jc w:val="start"/>
        <w:rPr/>
      </w:pPr>
      <w:r>
        <w:rPr/>
      </w:r>
      <w:r>
        <w:br w:type="page"/>
      </w:r>
    </w:p>
    <w:p>
      <w:pPr>
        <w:pStyle w:val="Heading1"/>
        <w:bidi w:val="0"/>
        <w:spacing w:before="0" w:after="200"/>
        <w:jc w:val="start"/>
        <w:rPr/>
      </w:pPr>
      <w:r>
        <w:rPr/>
        <w:t>Chapter 12: The Hard Problem of Consciousness—The Strongest Argument</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strongest evidence for a divine act in human origins is not a gap in the fossil record. It is a gap in scientific explanation itself.</w:t>
      </w:r>
    </w:p>
    <w:p>
      <w:pPr>
        <w:pStyle w:val="Normal"/>
        <w:bidi w:val="0"/>
        <w:spacing w:lineRule="exact" w:line="276" w:before="0" w:after="200"/>
        <w:jc w:val="start"/>
        <w:rPr/>
      </w:pPr>
      <w:r>
        <w:rPr>
          <w:rFonts w:eastAsia="Georgia" w:cs="Georgia"/>
          <w:sz w:val="24"/>
          <w:szCs w:val="24"/>
        </w:rPr>
        <w:t>In 1994, philosopher David Chalmers identified what he called the “hard problem of consciousness.”</w:t>
      </w:r>
      <w:r>
        <w:rPr>
          <w:rStyle w:val="FootnoteReference"/>
        </w:rPr>
        <w:footnoteReference w:id="55"/>
      </w:r>
      <w:r>
        <w:rPr>
          <w:rFonts w:eastAsia="Georgia" w:cs="Georgia"/>
          <w:sz w:val="24"/>
          <w:szCs w:val="24"/>
        </w:rPr>
        <w:t xml:space="preserve"> The “easy problems” of consciousness—how the brain integrates information, categorizes stimuli, focuses attention—are amenable to standard neuroscience. They are difficult in practice but not in principle. The hard problem is different: even after all the relevant functional facts are explained, there remains a further question—why is the performance of these functions accompanied by subjective </w:t>
      </w:r>
      <w:r>
        <w:rPr>
          <w:rFonts w:eastAsia="Georgia" w:cs="Georgia"/>
          <w:i/>
          <w:iCs/>
          <w:sz w:val="24"/>
          <w:szCs w:val="24"/>
        </w:rPr>
        <w:t>experience</w:t>
      </w:r>
      <w:r>
        <w:rPr>
          <w:rFonts w:eastAsia="Georgia" w:cs="Georgia"/>
          <w:sz w:val="24"/>
          <w:szCs w:val="24"/>
        </w:rPr>
        <w:t>? Why does it feel like something to be you?</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Ian Tattersall, curator of anthropology at the American Museum of Natural History, puts it bluntly: “We have no idea how the brain translates a mass of electrochemical symbols into what we subjectively experience as consciousness. As long as we don’t understand that, we really won’t know what symbolism means in terms of brain architecture and mental process.”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not a theological claim. It is a claim made by secular scientists and philosophers. The hard problem of consciousness is recognized across disciplines as potentially unsolvable within a purely materialist framework. Some philosophers (Daniel Dennett, for example) deny the problem exists; others (like Chalmers) argue it points to something fundamental about the relationship between mind and matter that our current science cannot explain.</w:t>
      </w:r>
    </w:p>
    <w:p>
      <w:pPr>
        <w:pStyle w:val="Heading2"/>
        <w:bidi w:val="0"/>
        <w:spacing w:before="280" w:after="160"/>
        <w:jc w:val="start"/>
        <w:rPr/>
      </w:pPr>
      <w:r>
        <w:rPr/>
        <w:t>What This Means for Our Framework</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 dog has a complex brain. A dog processes information, responds to stimuli, shows something like emotion. But a dog does not ask why it exists. A dog does not create art for aesthetic contemplation. A dog does not bury its dead with ritual significance. A dog does not reason abstractly about justice or contemplate the existence of God.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gap between the most sophisticated animal cognition and the simplest human rational thought is not a matter of degree—it is a matter of kind. Catholic philosophy calls this the difference between a sensitive soul (which animals possess) and a rational soul (which only humans possess). The hard problem of consciousness is, from the Catholic perspective, not a problem at all. It is exactly what you would expect if human rational thought originates not from matter but from an immaterial rational soul created directly by God.</w:t>
      </w:r>
    </w:p>
    <w:p>
      <w:pPr>
        <w:pStyle w:val="Normal"/>
        <w:bidi w:val="0"/>
        <w:spacing w:lineRule="exact" w:line="276" w:before="0" w:after="200"/>
        <w:jc w:val="start"/>
        <w:rPr/>
      </w:pPr>
      <w:r>
        <w:rPr>
          <w:rFonts w:eastAsia="Georgia" w:cs="Georgia"/>
          <w:sz w:val="24"/>
          <w:szCs w:val="24"/>
        </w:rPr>
        <w:t xml:space="preserve">The appearance of rational, symbolic behavior in the hominid record—burial of the dead, creation of art, body ornamentation, collection of objects with no practical purpose, the creation of musical instruments—marks the point at which ensouled beings, children of Adam, began to leave their traces in the world. Science can document </w:t>
      </w:r>
      <w:r>
        <w:rPr>
          <w:rFonts w:eastAsia="Georgia" w:cs="Georgia"/>
          <w:i/>
          <w:iCs/>
          <w:sz w:val="24"/>
          <w:szCs w:val="24"/>
        </w:rPr>
        <w:t>when</w:t>
      </w:r>
      <w:r>
        <w:rPr>
          <w:rFonts w:eastAsia="Georgia" w:cs="Georgia"/>
          <w:sz w:val="24"/>
          <w:szCs w:val="24"/>
        </w:rPr>
        <w:t xml:space="preserve"> this behavior appears. It can describe the brain structures associated with it. What it cannot do—and what its leading philosophers openly acknowledge it cannot do—is explain </w:t>
      </w:r>
      <w:r>
        <w:rPr>
          <w:rFonts w:eastAsia="Georgia" w:cs="Georgia"/>
          <w:i/>
          <w:iCs/>
          <w:sz w:val="24"/>
          <w:szCs w:val="24"/>
        </w:rPr>
        <w:t>why</w:t>
      </w:r>
      <w:r>
        <w:rPr>
          <w:rFonts w:eastAsia="Georgia" w:cs="Georgia"/>
          <w:sz w:val="24"/>
          <w:szCs w:val="24"/>
        </w:rPr>
        <w:t xml:space="preserve"> physical processes produce subjective experience, self-awareness, moral reasoning, or the capacity for abstract thought.</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This is the “jump”—not a missing fossil, not a gap in the geological record, but an explanatory gap at the very foundation of science’s understanding of the human mind. Catholic theology offers a straightforward answer: these capacities exist because they originate not from matter alone but from the rational soul, which God alone creates.</w:t>
      </w:r>
    </w:p>
    <w:p>
      <w:pPr>
        <w:pStyle w:val="Normal"/>
        <w:bidi w:val="0"/>
        <w:spacing w:lineRule="exact" w:line="276" w:before="0" w:after="200"/>
        <w:jc w:val="start"/>
        <w:rPr/>
      </w:pPr>
      <w:r>
        <w:rPr>
          <w:rFonts w:eastAsia="Georgia" w:cs="Georgia"/>
          <w:sz w:val="24"/>
          <w:szCs w:val="24"/>
        </w:rPr>
        <w:t xml:space="preserve">Pope St. John Paul II addressed this directly in </w:t>
      </w:r>
      <w:hyperlink r:id="rId100">
        <w:r>
          <w:rPr>
            <w:rStyle w:val="ListLabel10"/>
            <w:rFonts w:eastAsia="Georgia" w:cs="Georgia"/>
            <w:i/>
            <w:iCs/>
            <w:color w:val="0563C1"/>
            <w:sz w:val="24"/>
            <w:szCs w:val="24"/>
            <w:u w:val="single"/>
          </w:rPr>
          <w:t>Fides et Ratio</w:t>
        </w:r>
      </w:hyperlink>
      <w:r>
        <w:rPr>
          <w:rFonts w:eastAsia="Georgia" w:cs="Georgia"/>
          <w:sz w:val="24"/>
          <w:szCs w:val="24"/>
        </w:rPr>
        <w:t xml:space="preserve"> (1998).</w:t>
      </w:r>
      <w:r>
        <w:rPr>
          <w:rStyle w:val="FootnoteReference"/>
        </w:rPr>
        <w:footnoteReference w:id="56"/>
      </w:r>
      <w:r>
        <w:rPr>
          <w:rFonts w:eastAsia="Georgia" w:cs="Georgia"/>
          <w:sz w:val="24"/>
          <w:szCs w:val="24"/>
        </w:rPr>
        <w:t xml:space="preserve"> In §§80–83, he warned against scientism—the philosophical position that the methods of the natural sciences are the only valid path to knowledge—calling it a “philosophical impoverishment” that leaves the deepest human questions unanswered. The encyclical insists that the human person transcends what the empirical sciences can measure: “The results [of the natural sciences] could even be helpful in understanding of the universe and of the human person. But these are not enough. Those who search for the truth cannot ignore the contribution of the moral and religious knowledge which reaches the very heart of the human person.” The hard problem of consciousness is, in a sense, the vindication of this warning. Science can map every neuron, trace every electrical impulse, catalog every chemical reaction in the brain—and still cannot answer why any of it produces the experience of being someone. The knot that materialism cannot untie, Catholic philosophy cuts cleanly: the rational soul, immaterial and directly created by God, is the source of consciousness, self-awareness, moral reasoning, and the capacity to know truth. Science cannot explain what consciousness is, where it comes from, how matter produces it, or why it exists at all. The Catholic understanding does not struggle with this question—it answers it.</w:t>
      </w:r>
    </w:p>
    <w:p>
      <w:pPr>
        <w:pStyle w:val="Heading2"/>
        <w:bidi w:val="0"/>
        <w:spacing w:before="280" w:after="160"/>
        <w:jc w:val="start"/>
        <w:rPr/>
      </w:pPr>
      <w:r>
        <w:rPr/>
        <w:t>Required vs. Open: What the Church Demands About the Soul and Consciousness</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The rational soul is directly created by God and is immaterial—it is not “produced” by the parents (</w:t>
      </w:r>
      <w:hyperlink r:id="rId101">
        <w:r>
          <w:rPr>
            <w:rStyle w:val="ListLabel12"/>
            <w:rFonts w:eastAsia="Georgia" w:cs="Georgia"/>
            <w:color w:val="0563C1"/>
            <w:sz w:val="24"/>
            <w:szCs w:val="24"/>
            <w:u w:val="single"/>
          </w:rPr>
          <w:t>CCC §366</w:t>
        </w:r>
      </w:hyperlink>
      <w:r>
        <w:rPr>
          <w:rFonts w:eastAsia="Georgia" w:cs="Georgia"/>
          <w:sz w:val="24"/>
          <w:szCs w:val="24"/>
        </w:rPr>
        <w:t xml:space="preserve">). The soul is the form of the body (Council of Vienne, 1312; </w:t>
      </w:r>
      <w:hyperlink r:id="rId102">
        <w:r>
          <w:rPr>
            <w:rStyle w:val="ListLabel12"/>
            <w:rFonts w:eastAsia="Georgia" w:cs="Georgia"/>
            <w:color w:val="0563C1"/>
            <w:sz w:val="24"/>
            <w:szCs w:val="24"/>
            <w:u w:val="single"/>
          </w:rPr>
          <w:t>CCC §365</w:t>
        </w:r>
      </w:hyperlink>
      <w:r>
        <w:rPr>
          <w:rFonts w:eastAsia="Georgia" w:cs="Georgia"/>
          <w:sz w:val="24"/>
          <w:szCs w:val="24"/>
        </w:rPr>
        <w:t>). Human dignity is grounded in the fact that human beings are made in the image of God, possessing intellect and free will (</w:t>
      </w:r>
      <w:hyperlink r:id="rId103">
        <w:r>
          <w:rPr>
            <w:rStyle w:val="ListLabel12"/>
            <w:rFonts w:eastAsia="Georgia" w:cs="Georgia"/>
            <w:color w:val="0563C1"/>
            <w:sz w:val="24"/>
            <w:szCs w:val="24"/>
            <w:u w:val="single"/>
          </w:rPr>
          <w:t>CCC §§1700–1706</w:t>
        </w:r>
      </w:hyperlink>
      <w:r>
        <w:rPr>
          <w:rFonts w:eastAsia="Georgia" w:cs="Georgia"/>
          <w:sz w:val="24"/>
          <w:szCs w:val="24"/>
        </w:rPr>
        <w:t>). The difference between human beings and animals is not merely one of degree but of kind—the rational soul confers capacities that matter alone cannot produce.</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The relationship between brain structures and rational thought, the precise mechanisms by which the immaterial soul interacts with the material body, and the philosophical analysis of the hard problem of consciousness are all open questions. Whether the hard problem is genuinely unsolvable or merely unsolved, whether animal cognition admits of degrees that blur the line more than traditional Thomistic categories suggest, and how exactly to interpret the archaeological evidence of symbolic behavior—these are matters of legitimate philosophical and scientific debate. The Church requires the reality of the rational soul. It does not require any particular theory of consciousness or any specific account of how soul and brain interact.</w:t>
      </w:r>
    </w:p>
    <w:p>
      <w:pPr>
        <w:pStyle w:val="Normal"/>
        <w:bidi w:val="0"/>
        <w:jc w:val="start"/>
        <w:rPr/>
      </w:pPr>
      <w:r>
        <w:rPr/>
      </w:r>
      <w:r>
        <w:br w:type="page"/>
      </w:r>
    </w:p>
    <w:p>
      <w:pPr>
        <w:pStyle w:val="Heading1"/>
        <w:bidi w:val="0"/>
        <w:spacing w:before="0" w:after="200"/>
        <w:jc w:val="start"/>
        <w:rPr/>
      </w:pPr>
      <w:r>
        <w:rPr/>
        <w:t>Chapter 13: What a Scientist Would Say—An Honest Assessment</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Any framework that claims compatibility with science must be willing to face scientific scrutiny. Here is an honest assessment of how a fair-minded, non-believing scientist would likely evaluate our proposal.</w:t>
      </w:r>
    </w:p>
    <w:p>
      <w:pPr>
        <w:pStyle w:val="Heading2"/>
        <w:bidi w:val="0"/>
        <w:spacing w:before="280" w:after="160"/>
        <w:jc w:val="start"/>
        <w:rPr/>
      </w:pPr>
      <w:r>
        <w:rPr/>
        <w:t>What They Would Accept</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deep timeline. Placing human origins at 750,000 to 1,000,000 years ago is within the range that paleoanthropology recognizes for the emergence of the hominid lineage leading to modern humans. The hominid diversification through geographic isolation. This is standard paleoanthropology. The interbreeding among hominid groups (the “family reunion”). This is established, peer-reviewed science. The evidence of rational behavior across hominid groups. The scientific trend strongly supports this. The genetic mechanisms cited—balancing selection, gene conversion, coalescence-time inflation—are all published, peer-reviewed science. The TMR4A calculation showing a two-person bottleneck older than 500,000 years ago is undetectable. This has been independently confirmed by multiple researchers.</w:t>
      </w:r>
    </w:p>
    <w:p>
      <w:pPr>
        <w:pStyle w:val="Heading2"/>
        <w:bidi w:val="0"/>
        <w:spacing w:before="280" w:after="160"/>
        <w:jc w:val="start"/>
        <w:rPr/>
      </w:pPr>
      <w:r>
        <w:rPr/>
        <w:t>What They Would Push Back On</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Whether balancing selection and gene conversion are truly sufficient to generate all observed HLA diversity from four starting alleles in 750,000–1,000,000 years. This is an active area of research, and DQB1 in particular remains a challenge. The TMR4A calculation shows genome-wide compatibility, but individual loci under extreme balancing selection may tell a different story. A fair scientist would note that the science is genuinely uncertain here—not settled against monogenism, but not settled in its favor either.</w:t>
      </w:r>
    </w:p>
    <w:p>
      <w:pPr>
        <w:pStyle w:val="Normal"/>
        <w:bidi w:val="0"/>
        <w:spacing w:lineRule="exact" w:line="276" w:before="0" w:after="200"/>
        <w:jc w:val="start"/>
        <w:rPr/>
      </w:pPr>
      <w:r>
        <w:rPr>
          <w:rFonts w:eastAsia="Georgia" w:cs="Georgia"/>
          <w:sz w:val="24"/>
          <w:szCs w:val="24"/>
        </w:rPr>
        <w:t xml:space="preserve">The ensoulment claim itself. A methodological naturalist cannot accept “God breathed a rational soul into two hominids” as a scientific explanation. But our document is not claiming to do science. It is claiming that the theological narrative is </w:t>
      </w:r>
      <w:r>
        <w:rPr>
          <w:rFonts w:eastAsia="Georgia" w:cs="Georgia"/>
          <w:i/>
          <w:iCs/>
          <w:sz w:val="24"/>
          <w:szCs w:val="24"/>
        </w:rPr>
        <w:t>compatible</w:t>
      </w:r>
      <w:r>
        <w:rPr>
          <w:rFonts w:eastAsia="Georgia" w:cs="Georgia"/>
          <w:sz w:val="24"/>
          <w:szCs w:val="24"/>
        </w:rPr>
        <w:t xml:space="preserve"> with science—that the two accounts do not contradict each other even if they operate in different domains.</w:t>
      </w:r>
    </w:p>
    <w:p>
      <w:pPr>
        <w:pStyle w:val="Heading2"/>
        <w:bidi w:val="0"/>
        <w:spacing w:before="280" w:after="160"/>
        <w:jc w:val="start"/>
        <w:rPr/>
      </w:pPr>
      <w:r>
        <w:rPr/>
        <w:t>What They Would Find Interesting</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The correlation between the proposed timeline and the actual fossil record. If the framework predicts that all hominid groups after the ensoulment event should show evidence of symbolic, rational behavior while groups before it should not, this is a pattern that could in principle be checked against the archaeological record—and it roughly fits. The earliest clear evidence of symbolic thought appears in the Middle Pleistocene, roughly 300,000–500,000 years ago.</w:t>
      </w:r>
    </w:p>
    <w:p>
      <w:pPr>
        <w:pStyle w:val="Normal"/>
        <w:bidi w:val="0"/>
        <w:spacing w:lineRule="exact" w:line="276" w:before="0" w:after="200"/>
        <w:jc w:val="start"/>
        <w:rPr/>
      </w:pPr>
      <w:r>
        <w:rPr>
          <w:rFonts w:eastAsia="Georgia" w:cs="Georgia"/>
          <w:sz w:val="24"/>
          <w:szCs w:val="24"/>
        </w:rPr>
        <w:t xml:space="preserve">The fact that the framework </w:t>
      </w:r>
      <w:r>
        <w:rPr>
          <w:rFonts w:eastAsia="Georgia" w:cs="Georgia"/>
          <w:i/>
          <w:iCs/>
          <w:sz w:val="24"/>
          <w:szCs w:val="24"/>
        </w:rPr>
        <w:t>predicts</w:t>
      </w:r>
      <w:r>
        <w:rPr>
          <w:rFonts w:eastAsia="Georgia" w:cs="Georgia"/>
          <w:sz w:val="24"/>
          <w:szCs w:val="24"/>
        </w:rPr>
        <w:t xml:space="preserve"> Neanderthals and Denisovans should be rational is also significant, because science is increasingly confirming exactly that. A framework that anticipated this before the evidence came in would have genuine intellectual credibility.</w:t>
      </w:r>
    </w:p>
    <w:p>
      <w:pPr>
        <w:pStyle w:val="Heading2"/>
        <w:bidi w:val="0"/>
        <w:spacing w:before="280" w:after="160"/>
        <w:jc w:val="start"/>
        <w:rPr/>
      </w:pPr>
      <w:r>
        <w:rPr/>
        <w:t>The Bottom Line</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A fair-minded non-believing scientist would probably say something like: “This is not science, and I do not accept the metaphysical claims. But I acknowledge that it does not contradict anything we know scientifically. The timeline is plausible. The genetic mechanisms are real—balancing selection, gene conversion, and coalescence-time inflation are established science, and the TMR4A analysis is mathematically sound. The claim that ensoulment is genetically invisible is logically coherent even if I find it unnecessary. The prediction that all post-dispersal hominid groups should show rational behavior is interestingly consistent with the evidence. DQB1 is a legitimate challenge, but the science there is genuinely uncertain. Overall, it is the most scientifically literate theological framework I have encountered on this topic.”</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That assessment—not agreement, but acknowledgment of intellectual coherence and compatibility with the evidence—is about the most that any theological framework can hope for from empirical science. And it is considerably more than most theological frameworks on human origins currently achieve.</w:t>
      </w:r>
    </w:p>
    <w:p>
      <w:pPr>
        <w:pStyle w:val="Heading2"/>
        <w:bidi w:val="0"/>
        <w:spacing w:before="280" w:after="160"/>
        <w:jc w:val="start"/>
        <w:rPr/>
      </w:pPr>
      <w:r>
        <w:rPr/>
        <w:t>Required vs. Open: What the Church Demands About the Relationship Between Faith and Science</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 xml:space="preserve">Faith and reason cannot contradict each other. The First Vatican Council, </w:t>
      </w:r>
      <w:hyperlink r:id="rId104">
        <w:r>
          <w:rPr>
            <w:rStyle w:val="ListLabel10"/>
            <w:rFonts w:eastAsia="Georgia" w:cs="Georgia"/>
            <w:i/>
            <w:iCs/>
            <w:color w:val="0563C1"/>
            <w:sz w:val="24"/>
            <w:szCs w:val="24"/>
            <w:u w:val="single"/>
          </w:rPr>
          <w:t>Dei Filius</w:t>
        </w:r>
      </w:hyperlink>
      <w:hyperlink r:id="rId105">
        <w:r>
          <w:rPr>
            <w:rStyle w:val="ListLabel12"/>
            <w:rFonts w:eastAsia="Georgia" w:cs="Georgia"/>
            <w:color w:val="0563C1"/>
            <w:sz w:val="24"/>
            <w:szCs w:val="24"/>
            <w:u w:val="single"/>
          </w:rPr>
          <w:t>, Chapter 4</w:t>
        </w:r>
      </w:hyperlink>
      <w:r>
        <w:rPr>
          <w:rFonts w:eastAsia="Georgia" w:cs="Georgia"/>
          <w:sz w:val="24"/>
          <w:szCs w:val="24"/>
        </w:rPr>
        <w:t>, teaches: “Since the same God who reveals mysteries and infuses faith has bestowed the light of reason on the human mind, God cannot deny himself, nor can truth ever contradict truth.” The same document (</w:t>
      </w:r>
      <w:hyperlink r:id="rId106">
        <w:r>
          <w:rPr>
            <w:rStyle w:val="ListLabel12"/>
            <w:rFonts w:eastAsia="Georgia" w:cs="Georgia"/>
            <w:color w:val="0563C1"/>
            <w:sz w:val="24"/>
            <w:szCs w:val="24"/>
            <w:u w:val="single"/>
          </w:rPr>
          <w:t>Chapter 2, Canon 1</w:t>
        </w:r>
      </w:hyperlink>
      <w:r>
        <w:rPr>
          <w:rFonts w:eastAsia="Georgia" w:cs="Georgia"/>
          <w:sz w:val="24"/>
          <w:szCs w:val="24"/>
        </w:rPr>
        <w:t xml:space="preserve">) defines under anathema that God “can be known with certainty from the things that have been made, by the natural light of human reason.” Pope St. John Paul II, in </w:t>
      </w:r>
      <w:hyperlink r:id="rId107">
        <w:r>
          <w:rPr>
            <w:rStyle w:val="ListLabel10"/>
            <w:rFonts w:eastAsia="Georgia" w:cs="Georgia"/>
            <w:i/>
            <w:iCs/>
            <w:color w:val="0563C1"/>
            <w:sz w:val="24"/>
            <w:szCs w:val="24"/>
            <w:u w:val="single"/>
          </w:rPr>
          <w:t>Fides et Ratio</w:t>
        </w:r>
      </w:hyperlink>
      <w:hyperlink r:id="rId108">
        <w:r>
          <w:rPr>
            <w:rStyle w:val="ListLabel12"/>
            <w:rFonts w:eastAsia="Georgia" w:cs="Georgia"/>
            <w:color w:val="0563C1"/>
            <w:sz w:val="24"/>
            <w:szCs w:val="24"/>
            <w:u w:val="single"/>
          </w:rPr>
          <w:t>, §§13–16</w:t>
        </w:r>
      </w:hyperlink>
      <w:r>
        <w:rPr>
          <w:rFonts w:eastAsia="Georgia" w:cs="Georgia"/>
          <w:sz w:val="24"/>
          <w:szCs w:val="24"/>
        </w:rPr>
        <w:t>, affirmed that faith and reason are “like two wings on which the human spirit rises to the contemplation of truth” and that reason retains its proper autonomy within its own domain.</w:t>
      </w:r>
      <w:r>
        <w:rPr>
          <w:rStyle w:val="FootnoteReference"/>
        </w:rPr>
        <w:footnoteReference w:id="57"/>
      </w:r>
      <w:r>
        <w:rPr>
          <w:rFonts w:eastAsia="Georgia" w:cs="Georgia"/>
          <w:sz w:val="24"/>
          <w:szCs w:val="24"/>
        </w:rPr>
        <w:t xml:space="preserve"> The Pontifical Academy of Sciences, established by Pope Pius XI in 1936 and renewed by John Paul II in 1986, exists precisely to honor the Church’s commitment to genuine scientific inquiry.</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The precise relationship between theological claims and scientific methodology—how non-overlapping magisteria interact, whether and how theology may inform scientific interpretation, and what counts as genuine conflict versus mere apparent tension—these are matters of ongoing discussion. Pope Benedict XVI, in his 2007 meeting at Castel Gandolfo, noted that “the question of origins is not merely a scientific question but also a philosophical and theological one.” The Church does not require any particular philosophy of science. It requires only that science’s legitimate findings not be dismissed, and that theology’s legitimate claims not be surrendered. Our framework operates within this space: accepting the findings of science while maintaining the theological commitments the Church defines as non-negotiable.</w:t>
      </w:r>
    </w:p>
    <w:p>
      <w:pPr>
        <w:pStyle w:val="Normal"/>
        <w:bidi w:val="0"/>
        <w:jc w:val="start"/>
        <w:rPr/>
      </w:pPr>
      <w:r>
        <w:rPr/>
      </w:r>
      <w:r>
        <w:br w:type="page"/>
      </w:r>
    </w:p>
    <w:p>
      <w:pPr>
        <w:pStyle w:val="Heading1"/>
        <w:bidi w:val="0"/>
        <w:spacing w:before="0" w:after="200"/>
        <w:jc w:val="start"/>
        <w:rPr/>
      </w:pPr>
      <w:r>
        <w:rPr/>
        <w:t>Chapter 14: The Framework Summarized</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For clarity, here is the complete framework in condensed form:</w:t>
      </w:r>
    </w:p>
    <w:p>
      <w:pPr>
        <w:pStyle w:val="Normal"/>
        <w:bidi w:val="0"/>
        <w:spacing w:lineRule="exact" w:line="276" w:before="0" w:after="200"/>
        <w:jc w:val="start"/>
        <w:rPr/>
      </w:pPr>
      <w:r>
        <w:rPr>
          <w:rFonts w:eastAsia="Georgia" w:cs="Georgia"/>
          <w:b/>
          <w:bCs/>
          <w:sz w:val="24"/>
          <w:szCs w:val="24"/>
        </w:rPr>
        <w:t xml:space="preserve">1. </w:t>
      </w:r>
      <w:r>
        <w:rPr>
          <w:rFonts w:eastAsia="Georgia" w:cs="Georgia"/>
          <w:sz w:val="24"/>
          <w:szCs w:val="24"/>
        </w:rPr>
        <w:t>God’s creation unfolds over billions of years. Through processes built into nature—including the latent unfolding of biological potential—the primate lineage produces increasingly sophisticated hominids.</w:t>
      </w:r>
    </w:p>
    <w:p>
      <w:pPr>
        <w:pStyle w:val="Normal"/>
        <w:bidi w:val="0"/>
        <w:spacing w:lineRule="exact" w:line="276" w:before="0" w:after="200"/>
        <w:jc w:val="start"/>
        <w:rPr/>
      </w:pPr>
      <w:r>
        <w:rPr>
          <w:rFonts w:eastAsia="Georgia" w:cs="Georgia"/>
          <w:b/>
          <w:bCs/>
          <w:sz w:val="24"/>
          <w:szCs w:val="24"/>
        </w:rPr>
        <w:t xml:space="preserve">2. </w:t>
      </w:r>
      <w:r>
        <w:rPr>
          <w:rFonts w:eastAsia="Georgia" w:cs="Georgia"/>
          <w:sz w:val="24"/>
          <w:szCs w:val="24"/>
        </w:rPr>
        <w:t>God creates and ensouls Adam and Eve approximately 750,000 to 1,000,000 years ago in Africa, using the most advanced hominid form as biological substrate. The rational soul transforms them into genuinely new beings—observably different from the surrounding hominid population in cognitive capacity, moral reasoning, and self-awareness.</w:t>
      </w:r>
    </w:p>
    <w:p>
      <w:pPr>
        <w:pStyle w:val="Normal"/>
        <w:bidi w:val="0"/>
        <w:spacing w:lineRule="exact" w:line="276" w:before="0" w:after="200"/>
        <w:jc w:val="start"/>
        <w:rPr/>
      </w:pPr>
      <w:r>
        <w:rPr>
          <w:rFonts w:eastAsia="Georgia" w:cs="Georgia"/>
          <w:b/>
          <w:bCs/>
          <w:sz w:val="24"/>
          <w:szCs w:val="24"/>
        </w:rPr>
        <w:t xml:space="preserve">3. </w:t>
      </w:r>
      <w:r>
        <w:rPr>
          <w:rFonts w:eastAsia="Georgia" w:cs="Georgia"/>
          <w:sz w:val="24"/>
          <w:szCs w:val="24"/>
        </w:rPr>
        <w:t>They fall before reproducing. The Genesis sequence is preserved: creation, Garden, Fall, then children. Original sin enters the human story.</w:t>
      </w:r>
    </w:p>
    <w:p>
      <w:pPr>
        <w:pStyle w:val="Normal"/>
        <w:bidi w:val="0"/>
        <w:spacing w:lineRule="exact" w:line="276" w:before="0" w:after="200"/>
        <w:jc w:val="start"/>
        <w:rPr/>
      </w:pPr>
      <w:r>
        <w:rPr>
          <w:rFonts w:eastAsia="Georgia" w:cs="Georgia"/>
          <w:b/>
          <w:bCs/>
          <w:sz w:val="24"/>
          <w:szCs w:val="24"/>
        </w:rPr>
        <w:t xml:space="preserve">4. </w:t>
      </w:r>
      <w:r>
        <w:rPr>
          <w:rFonts w:eastAsia="Georgia" w:cs="Georgia"/>
          <w:sz w:val="24"/>
          <w:szCs w:val="24"/>
        </w:rPr>
        <w:t>In the earliest generations, Adam’s descendants marry within the family, as Catholic theology already recognizes was necessary and permitted in the first generations. Genetic diversity accumulates naturally through mutation, recombination, gene conversion, and balancing selection—the same mechanisms that operate in every population, but which are especially powerful at the HLA immune system genes, where rare variants confer survival advantages. Over 750,000 to 1,000,000 years, these mechanisms generate the vast diversity we observe (see Chapter 11).</w:t>
      </w:r>
    </w:p>
    <w:p>
      <w:pPr>
        <w:pStyle w:val="Normal"/>
        <w:bidi w:val="0"/>
        <w:spacing w:lineRule="exact" w:line="276" w:before="0" w:after="200"/>
        <w:jc w:val="start"/>
        <w:rPr/>
      </w:pPr>
      <w:r>
        <w:rPr>
          <w:rFonts w:eastAsia="Georgia" w:cs="Georgia"/>
          <w:b/>
          <w:bCs/>
          <w:sz w:val="24"/>
          <w:szCs w:val="24"/>
        </w:rPr>
        <w:t xml:space="preserve">5. </w:t>
      </w:r>
      <w:r>
        <w:rPr>
          <w:rFonts w:eastAsia="Georgia" w:cs="Georgia"/>
          <w:sz w:val="24"/>
          <w:szCs w:val="24"/>
        </w:rPr>
        <w:t>Over generations, the ensouled population grows and expands. Eventually, the descendants of Adam spread across Africa, Europe, and Asia, becoming the only hominid population on earth.</w:t>
      </w:r>
    </w:p>
    <w:p>
      <w:pPr>
        <w:pStyle w:val="Normal"/>
        <w:bidi w:val="0"/>
        <w:spacing w:lineRule="exact" w:line="276" w:before="0" w:after="200"/>
        <w:jc w:val="start"/>
        <w:rPr/>
      </w:pPr>
      <w:r>
        <w:rPr>
          <w:rFonts w:eastAsia="Georgia" w:cs="Georgia"/>
          <w:b/>
          <w:bCs/>
          <w:sz w:val="24"/>
          <w:szCs w:val="24"/>
        </w:rPr>
        <w:t xml:space="preserve">6. </w:t>
      </w:r>
      <w:r>
        <w:rPr>
          <w:rFonts w:eastAsia="Georgia" w:cs="Georgia"/>
          <w:sz w:val="24"/>
          <w:szCs w:val="24"/>
        </w:rPr>
        <w:t>As the ensouled population spreads across Africa, Europe, and Asia, geographic isolation and climate adaptation produce the various hominid groups in the fossil record: Neanderthals in Europe, Denisovans in Asia, anatomically modern Homo sapiens in Africa, and others. All are ensouled. All carry original sin. All are genuinely human.</w:t>
      </w:r>
    </w:p>
    <w:p>
      <w:pPr>
        <w:pStyle w:val="Normal"/>
        <w:bidi w:val="0"/>
        <w:spacing w:lineRule="exact" w:line="276" w:before="0" w:after="200"/>
        <w:jc w:val="start"/>
        <w:rPr/>
      </w:pPr>
      <w:r>
        <w:rPr>
          <w:rFonts w:eastAsia="Georgia" w:cs="Georgia"/>
          <w:b/>
          <w:bCs/>
          <w:sz w:val="24"/>
          <w:szCs w:val="24"/>
        </w:rPr>
        <w:t xml:space="preserve">7. </w:t>
      </w:r>
      <w:r>
        <w:rPr>
          <w:rFonts w:eastAsia="Georgia" w:cs="Georgia"/>
          <w:sz w:val="24"/>
          <w:szCs w:val="24"/>
        </w:rPr>
        <w:t>The archaeological evidence of symbolic thought, burial, art, and rational behavior across these hominid groups is exactly what the framework predicts—they are all children of Adam.</w:t>
      </w:r>
    </w:p>
    <w:p>
      <w:pPr>
        <w:pStyle w:val="Normal"/>
        <w:bidi w:val="0"/>
        <w:spacing w:lineRule="exact" w:line="276" w:before="0" w:after="200"/>
        <w:jc w:val="start"/>
        <w:rPr/>
      </w:pPr>
      <w:r>
        <w:rPr>
          <w:rFonts w:eastAsia="Georgia" w:cs="Georgia"/>
          <w:b/>
          <w:bCs/>
          <w:sz w:val="24"/>
          <w:szCs w:val="24"/>
        </w:rPr>
        <w:t xml:space="preserve">8. </w:t>
      </w:r>
      <w:r>
        <w:rPr>
          <w:rFonts w:eastAsia="Georgia" w:cs="Georgia"/>
          <w:sz w:val="24"/>
          <w:szCs w:val="24"/>
        </w:rPr>
        <w:t>When these long-separated populations re-encounter and interbreed (documented in modern DNA), it is family reuniting—not human/non-human hybridization.</w:t>
      </w:r>
    </w:p>
    <w:p>
      <w:pPr>
        <w:pStyle w:val="Normal"/>
        <w:bidi w:val="0"/>
        <w:spacing w:lineRule="exact" w:line="276" w:before="0" w:after="200"/>
        <w:jc w:val="start"/>
        <w:rPr/>
      </w:pPr>
      <w:r>
        <w:rPr>
          <w:rFonts w:eastAsia="Georgia" w:cs="Georgia"/>
          <w:b/>
          <w:bCs/>
          <w:sz w:val="24"/>
          <w:szCs w:val="24"/>
        </w:rPr>
        <w:t xml:space="preserve">9. </w:t>
      </w:r>
      <w:r>
        <w:rPr>
          <w:rFonts w:eastAsia="Georgia" w:cs="Georgia"/>
          <w:sz w:val="24"/>
          <w:szCs w:val="24"/>
        </w:rPr>
        <w:t>The “hard problem of consciousness”—the inability of materialist science to explain why physical processes produce subjective experience—is the deepest evidence that something happened in human origins that nature alone cannot account for. The rational soul, directly created by God, is the Catholic answer.</w:t>
      </w:r>
    </w:p>
    <w:p>
      <w:pPr>
        <w:pStyle w:val="Normal"/>
        <w:bidi w:val="0"/>
        <w:spacing w:lineRule="exact" w:line="276" w:before="0" w:after="200"/>
        <w:jc w:val="start"/>
        <w:rPr/>
      </w:pPr>
      <w:r>
        <w:rPr>
          <w:rFonts w:eastAsia="Georgia" w:cs="Georgia"/>
          <w:b/>
          <w:bCs/>
          <w:sz w:val="24"/>
          <w:szCs w:val="24"/>
        </w:rPr>
        <w:t xml:space="preserve">10. </w:t>
      </w:r>
      <w:r>
        <w:rPr>
          <w:rFonts w:eastAsia="Georgia" w:cs="Georgia"/>
          <w:sz w:val="24"/>
          <w:szCs w:val="24"/>
        </w:rPr>
        <w:t>The fact that something is fundamentally broken in the human condition is widely recognized across cultures, religions, and philosophical traditions—it is one of the few points on which virtually all serious thinkers agree, however much they differ on the cause and cure. The Catholic claim is that this brokenness has a name (original sin), an origin (the Fall), and a cure (redemption through Christ).</w:t>
      </w:r>
    </w:p>
    <w:p>
      <w:pPr>
        <w:pStyle w:val="Heading2"/>
        <w:bidi w:val="0"/>
        <w:spacing w:before="280" w:after="160"/>
        <w:jc w:val="start"/>
        <w:rPr/>
      </w:pPr>
      <w:r>
        <w:rPr/>
        <w:t>Required vs. Open: The Dogmatic Core of the Framework</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Of the ten points above, the following are grounded in dogmatic teaching and are non-negotiable for any Catholic framework:</w:t>
      </w:r>
    </w:p>
    <w:p>
      <w:pPr>
        <w:pStyle w:val="Normal"/>
        <w:bidi w:val="0"/>
        <w:spacing w:lineRule="exact" w:line="276" w:before="0" w:after="200"/>
        <w:jc w:val="start"/>
        <w:rPr/>
      </w:pPr>
      <w:r>
        <w:rPr>
          <w:rFonts w:eastAsia="Georgia" w:cs="Georgia"/>
          <w:b/>
          <w:bCs/>
          <w:sz w:val="24"/>
          <w:szCs w:val="24"/>
        </w:rPr>
        <w:t xml:space="preserve">Dogmatic (Required): </w:t>
      </w:r>
      <w:r>
        <w:rPr>
          <w:rFonts w:eastAsia="Georgia" w:cs="Georgia"/>
          <w:sz w:val="24"/>
          <w:szCs w:val="24"/>
        </w:rPr>
        <w:t xml:space="preserve">God is Creator of all things (Nicene Creed; Fourth Lateran Council, 1215; First Vatican Council, </w:t>
      </w:r>
      <w:hyperlink r:id="rId109">
        <w:r>
          <w:rPr>
            <w:rStyle w:val="ListLabel10"/>
            <w:rFonts w:eastAsia="Georgia" w:cs="Georgia"/>
            <w:i/>
            <w:iCs/>
            <w:color w:val="0563C1"/>
            <w:sz w:val="24"/>
            <w:szCs w:val="24"/>
            <w:u w:val="single"/>
          </w:rPr>
          <w:t>Dei Filius</w:t>
        </w:r>
      </w:hyperlink>
      <w:hyperlink r:id="rId110">
        <w:r>
          <w:rPr>
            <w:rStyle w:val="ListLabel12"/>
            <w:rFonts w:eastAsia="Georgia" w:cs="Georgia"/>
            <w:color w:val="0563C1"/>
            <w:sz w:val="24"/>
            <w:szCs w:val="24"/>
            <w:u w:val="single"/>
          </w:rPr>
          <w:t>, Chapter 1</w:t>
        </w:r>
      </w:hyperlink>
      <w:r>
        <w:rPr>
          <w:rFonts w:eastAsia="Georgia" w:cs="Georgia"/>
          <w:sz w:val="24"/>
          <w:szCs w:val="24"/>
        </w:rPr>
        <w:t>). Adam and Eve are real, historical individuals (</w:t>
      </w:r>
      <w:hyperlink r:id="rId111">
        <w:r>
          <w:rPr>
            <w:rStyle w:val="ListLabel10"/>
            <w:rFonts w:eastAsia="Georgia" w:cs="Georgia"/>
            <w:i/>
            <w:iCs/>
            <w:color w:val="0563C1"/>
            <w:sz w:val="24"/>
            <w:szCs w:val="24"/>
            <w:u w:val="single"/>
          </w:rPr>
          <w:t>Humani Generis</w:t>
        </w:r>
      </w:hyperlink>
      <w:hyperlink r:id="rId112">
        <w:r>
          <w:rPr>
            <w:rStyle w:val="ListLabel12"/>
            <w:rFonts w:eastAsia="Georgia" w:cs="Georgia"/>
            <w:color w:val="0563C1"/>
            <w:sz w:val="24"/>
            <w:szCs w:val="24"/>
            <w:u w:val="single"/>
          </w:rPr>
          <w:t>, §37</w:t>
        </w:r>
      </w:hyperlink>
      <w:r>
        <w:rPr>
          <w:rFonts w:eastAsia="Georgia" w:cs="Georgia"/>
          <w:sz w:val="24"/>
          <w:szCs w:val="24"/>
        </w:rPr>
        <w:t>). All humans descend from them through generation (</w:t>
      </w:r>
      <w:hyperlink r:id="rId113">
        <w:r>
          <w:rPr>
            <w:rStyle w:val="ListLabel12"/>
            <w:rFonts w:eastAsia="Georgia" w:cs="Georgia"/>
            <w:color w:val="0563C1"/>
            <w:sz w:val="24"/>
            <w:szCs w:val="24"/>
            <w:u w:val="single"/>
          </w:rPr>
          <w:t>Council of Trent, Session V, Canon 3</w:t>
        </w:r>
      </w:hyperlink>
      <w:r>
        <w:rPr>
          <w:rFonts w:eastAsia="Georgia" w:cs="Georgia"/>
          <w:sz w:val="24"/>
          <w:szCs w:val="24"/>
        </w:rPr>
        <w:t>: original sin is “transfused into all by propagation, not by imitation”). The Fall was a real, historical event (</w:t>
      </w:r>
      <w:hyperlink r:id="rId114">
        <w:r>
          <w:rPr>
            <w:rStyle w:val="ListLabel12"/>
            <w:rFonts w:eastAsia="Georgia" w:cs="Georgia"/>
            <w:color w:val="0563C1"/>
            <w:sz w:val="24"/>
            <w:szCs w:val="24"/>
            <w:u w:val="single"/>
          </w:rPr>
          <w:t>CCC §390</w:t>
        </w:r>
      </w:hyperlink>
      <w:r>
        <w:rPr>
          <w:rFonts w:eastAsia="Georgia" w:cs="Georgia"/>
          <w:sz w:val="24"/>
          <w:szCs w:val="24"/>
        </w:rPr>
        <w:t>). Original sin is transmitted to all descendants (</w:t>
      </w:r>
      <w:hyperlink r:id="rId115">
        <w:r>
          <w:rPr>
            <w:rStyle w:val="ListLabel12"/>
            <w:rFonts w:eastAsia="Georgia" w:cs="Georgia"/>
            <w:color w:val="0563C1"/>
            <w:sz w:val="24"/>
            <w:szCs w:val="24"/>
            <w:u w:val="single"/>
          </w:rPr>
          <w:t>Council of Trent, Session V, Canons 1–4</w:t>
        </w:r>
      </w:hyperlink>
      <w:r>
        <w:rPr>
          <w:rFonts w:eastAsia="Georgia" w:cs="Georgia"/>
          <w:sz w:val="24"/>
          <w:szCs w:val="24"/>
        </w:rPr>
        <w:t>). Every human soul is directly created by God (</w:t>
      </w:r>
      <w:hyperlink r:id="rId116">
        <w:r>
          <w:rPr>
            <w:rStyle w:val="ListLabel12"/>
            <w:rFonts w:eastAsia="Georgia" w:cs="Georgia"/>
            <w:color w:val="0563C1"/>
            <w:sz w:val="24"/>
            <w:szCs w:val="24"/>
            <w:u w:val="single"/>
          </w:rPr>
          <w:t>CCC §366</w:t>
        </w:r>
      </w:hyperlink>
      <w:r>
        <w:rPr>
          <w:rFonts w:eastAsia="Georgia" w:cs="Georgia"/>
          <w:sz w:val="24"/>
          <w:szCs w:val="24"/>
        </w:rPr>
        <w:t xml:space="preserve">; </w:t>
      </w:r>
      <w:hyperlink r:id="rId117">
        <w:r>
          <w:rPr>
            <w:rStyle w:val="ListLabel10"/>
            <w:rFonts w:eastAsia="Georgia" w:cs="Georgia"/>
            <w:i/>
            <w:iCs/>
            <w:color w:val="0563C1"/>
            <w:sz w:val="24"/>
            <w:szCs w:val="24"/>
            <w:u w:val="single"/>
          </w:rPr>
          <w:t>Humani Generis</w:t>
        </w:r>
      </w:hyperlink>
      <w:hyperlink r:id="rId118">
        <w:r>
          <w:rPr>
            <w:rStyle w:val="ListLabel12"/>
            <w:rFonts w:eastAsia="Georgia" w:cs="Georgia"/>
            <w:color w:val="0563C1"/>
            <w:sz w:val="24"/>
            <w:szCs w:val="24"/>
            <w:u w:val="single"/>
          </w:rPr>
          <w:t>, §36</w:t>
        </w:r>
      </w:hyperlink>
      <w:r>
        <w:rPr>
          <w:rFonts w:eastAsia="Georgia" w:cs="Georgia"/>
          <w:sz w:val="24"/>
          <w:szCs w:val="24"/>
        </w:rPr>
        <w:t xml:space="preserve">). The soul is the form of the body (Council of Vienne, 1312; </w:t>
      </w:r>
      <w:hyperlink r:id="rId119">
        <w:r>
          <w:rPr>
            <w:rStyle w:val="ListLabel12"/>
            <w:rFonts w:eastAsia="Georgia" w:cs="Georgia"/>
            <w:color w:val="0563C1"/>
            <w:sz w:val="24"/>
            <w:szCs w:val="24"/>
            <w:u w:val="single"/>
          </w:rPr>
          <w:t>CCC §365</w:t>
        </w:r>
      </w:hyperlink>
      <w:r>
        <w:rPr>
          <w:rFonts w:eastAsia="Georgia" w:cs="Georgia"/>
          <w:sz w:val="24"/>
          <w:szCs w:val="24"/>
        </w:rPr>
        <w:t>). Redemption comes through Christ alone (</w:t>
      </w:r>
      <w:hyperlink r:id="rId120">
        <w:r>
          <w:rPr>
            <w:rStyle w:val="ListLabel12"/>
            <w:rFonts w:eastAsia="Georgia" w:cs="Georgia"/>
            <w:color w:val="0563C1"/>
            <w:sz w:val="24"/>
            <w:szCs w:val="24"/>
            <w:u w:val="single"/>
          </w:rPr>
          <w:t>Council of Trent, Session VI, Chapter 3</w:t>
        </w:r>
      </w:hyperlink>
      <w:r>
        <w:rPr>
          <w:rFonts w:eastAsia="Georgia" w:cs="Georgia"/>
          <w:sz w:val="24"/>
          <w:szCs w:val="24"/>
        </w:rPr>
        <w:t xml:space="preserve">; </w:t>
      </w:r>
      <w:hyperlink r:id="rId121">
        <w:r>
          <w:rPr>
            <w:rStyle w:val="ListLabel12"/>
            <w:rFonts w:eastAsia="Georgia" w:cs="Georgia"/>
            <w:color w:val="0563C1"/>
            <w:sz w:val="24"/>
            <w:szCs w:val="24"/>
            <w:u w:val="single"/>
          </w:rPr>
          <w:t>CCC §§388–405</w:t>
        </w:r>
      </w:hyperlink>
      <w:r>
        <w:rPr>
          <w:rFonts w:eastAsia="Georgia" w:cs="Georgia"/>
          <w:sz w:val="24"/>
          <w:szCs w:val="24"/>
        </w:rPr>
        <w:t>).</w:t>
      </w:r>
    </w:p>
    <w:p>
      <w:pPr>
        <w:pStyle w:val="Normal"/>
        <w:bidi w:val="0"/>
        <w:spacing w:lineRule="exact" w:line="276" w:before="0" w:after="200"/>
        <w:jc w:val="start"/>
        <w:rPr/>
      </w:pPr>
      <w:r>
        <w:rPr>
          <w:rFonts w:eastAsia="Georgia" w:cs="Georgia"/>
          <w:b/>
          <w:bCs/>
          <w:sz w:val="24"/>
          <w:szCs w:val="24"/>
        </w:rPr>
        <w:t xml:space="preserve">Interpretive (Open): </w:t>
      </w:r>
      <w:r>
        <w:rPr>
          <w:rFonts w:eastAsia="Georgia" w:cs="Georgia"/>
          <w:sz w:val="24"/>
          <w:szCs w:val="24"/>
        </w:rPr>
        <w:t xml:space="preserve">The specific dating of Adam and Eve (~750,000–1,000,000 years ago). The identification of the biological substrate with </w:t>
      </w:r>
      <w:r>
        <w:rPr>
          <w:rFonts w:eastAsia="Georgia" w:cs="Georgia"/>
          <w:i/>
          <w:iCs/>
          <w:sz w:val="24"/>
          <w:szCs w:val="24"/>
        </w:rPr>
        <w:t>Homo heidelbergensis</w:t>
      </w:r>
      <w:r>
        <w:rPr>
          <w:rFonts w:eastAsia="Georgia" w:cs="Georgia"/>
          <w:sz w:val="24"/>
          <w:szCs w:val="24"/>
        </w:rPr>
        <w:t>. The mechanisms of genetic diversification (balancing selection, gene conversion, deep time). The claim that all post-dispersal hominid groups (Neanderthals, Denisovans) are ensouled descendants of Adam. The Augros/Stanciu model of latent biological potential. The “jump” argument from the hard problem of consciousness. These are all proposals within the open space Catholic theology permits—the best synthesis we can construct from available evidence, offered as a coherent possibility rather than a binding interpretation.</w:t>
      </w:r>
    </w:p>
    <w:p>
      <w:pPr>
        <w:pStyle w:val="Normal"/>
        <w:bidi w:val="0"/>
        <w:jc w:val="start"/>
        <w:rPr/>
      </w:pPr>
      <w:r>
        <w:rPr/>
      </w:r>
      <w:r>
        <w:br w:type="page"/>
      </w:r>
    </w:p>
    <w:p>
      <w:pPr>
        <w:pStyle w:val="Heading1"/>
        <w:bidi w:val="0"/>
        <w:spacing w:before="0" w:after="200"/>
        <w:jc w:val="start"/>
        <w:rPr/>
      </w:pPr>
      <w:r>
        <w:rPr/>
        <w:t>Chapter 15: Acknowledged Weaknesses and Open Questions</w:t>
      </w:r>
    </w:p>
    <w:p>
      <w:pPr>
        <w:pStyle w:val="Normal"/>
        <w:bidi w:val="0"/>
        <w:spacing w:lineRule="exact" w:line="276" w:before="0" w:after="200"/>
        <w:jc w:val="start"/>
        <w:rPr>
          <w:rFonts w:ascii="Georgia" w:hAnsi="Georgia" w:eastAsia="Georgia" w:cs="Georgia"/>
          <w:sz w:val="24"/>
          <w:szCs w:val="24"/>
        </w:rPr>
      </w:pPr>
      <w:r>
        <w:rPr>
          <w:rFonts w:eastAsia="Georgia" w:cs="Georgia"/>
          <w:sz w:val="24"/>
          <w:szCs w:val="24"/>
        </w:rPr>
        <w:t>Intellectual honesty requires acknowledging where this framework is weakest and where questions remain open.</w:t>
      </w:r>
    </w:p>
    <w:p>
      <w:pPr>
        <w:pStyle w:val="Normal"/>
        <w:bidi w:val="0"/>
        <w:spacing w:lineRule="exact" w:line="276" w:before="0" w:after="200"/>
        <w:jc w:val="start"/>
        <w:rPr/>
      </w:pPr>
      <w:r>
        <w:rPr>
          <w:rFonts w:eastAsia="Georgia" w:cs="Georgia"/>
          <w:b/>
          <w:bCs/>
          <w:sz w:val="24"/>
          <w:szCs w:val="24"/>
        </w:rPr>
        <w:t>DQB1 trans-species polymorphism remains an open challenge</w:t>
      </w:r>
      <w:r>
        <w:rPr>
          <w:rFonts w:eastAsia="Georgia" w:cs="Georgia"/>
          <w:sz w:val="24"/>
          <w:szCs w:val="24"/>
        </w:rPr>
        <w:t>. While DRB1’s deep lineages have been substantially questioned by recent research (Fortier and Pritchard, 2025), DQB1 retains strong statistical support for lineages extending approximately 31 million years. The coalescence-time inflation from balancing selection likely reduces this apparent age, but by how much remains uncertain. This is the single strongest data point against a two-person origin, and we acknowledge it honestly.</w:t>
      </w:r>
    </w:p>
    <w:p>
      <w:pPr>
        <w:pStyle w:val="Normal"/>
        <w:bidi w:val="0"/>
        <w:spacing w:lineRule="exact" w:line="276" w:before="0" w:after="200"/>
        <w:jc w:val="start"/>
        <w:rPr/>
      </w:pPr>
      <w:r>
        <w:rPr>
          <w:rFonts w:eastAsia="Georgia" w:cs="Georgia"/>
          <w:b/>
          <w:bCs/>
          <w:sz w:val="24"/>
          <w:szCs w:val="24"/>
        </w:rPr>
        <w:t>The “dust of the ground” reading is metaphorical</w:t>
      </w:r>
      <w:r>
        <w:rPr>
          <w:rFonts w:eastAsia="Georgia" w:cs="Georgia"/>
          <w:sz w:val="24"/>
          <w:szCs w:val="24"/>
        </w:rPr>
        <w:t>. Interpreting “formed man from the dust of the ground” as “used pre-existing biological material” is standard in Catholic theistic evolution but is not the only traditional reading. Some Catholics maintain that Adam’s body was created directly and miraculously, with no biological precursor. Our framework requires the metaphorical reading.</w:t>
      </w:r>
    </w:p>
    <w:p>
      <w:pPr>
        <w:pStyle w:val="Normal"/>
        <w:bidi w:val="0"/>
        <w:spacing w:lineRule="exact" w:line="276" w:before="0" w:after="200"/>
        <w:jc w:val="start"/>
        <w:rPr/>
      </w:pPr>
      <w:r>
        <w:rPr>
          <w:rFonts w:eastAsia="Georgia" w:cs="Georgia"/>
          <w:b/>
          <w:bCs/>
          <w:sz w:val="24"/>
          <w:szCs w:val="24"/>
        </w:rPr>
        <w:t>The Augros/Stanciu mechanism is not mainstream biology</w:t>
      </w:r>
      <w:r>
        <w:rPr>
          <w:rFonts w:eastAsia="Georgia" w:cs="Georgia"/>
          <w:sz w:val="24"/>
          <w:szCs w:val="24"/>
        </w:rPr>
        <w:t xml:space="preserve">. While the evo-devo revolution has moved science somewhat toward the idea of latent developmental potential, the specific model Augros and Stanciu propose remains outside the scientific mainstream. Our framework does not strictly require their model—it could work with standard evolutionary mechanisms producing the hominid substrate—but the Augros/Stanciu framework provides a more philosophically satisfying account of </w:t>
      </w:r>
      <w:r>
        <w:rPr>
          <w:rFonts w:eastAsia="Georgia" w:cs="Georgia"/>
          <w:i/>
          <w:iCs/>
          <w:sz w:val="24"/>
          <w:szCs w:val="24"/>
        </w:rPr>
        <w:t>why</w:t>
      </w:r>
      <w:r>
        <w:rPr>
          <w:rFonts w:eastAsia="Georgia" w:cs="Georgia"/>
          <w:sz w:val="24"/>
          <w:szCs w:val="24"/>
        </w:rPr>
        <w:t xml:space="preserve"> the biological preparation was so precisely directed toward a form capable of receiving a rational soul.</w:t>
      </w:r>
    </w:p>
    <w:p>
      <w:pPr>
        <w:pStyle w:val="Normal"/>
        <w:bidi w:val="0"/>
        <w:spacing w:lineRule="exact" w:line="276" w:before="0" w:after="200"/>
        <w:jc w:val="start"/>
        <w:rPr/>
      </w:pPr>
      <w:r>
        <w:rPr>
          <w:rFonts w:eastAsia="Georgia" w:cs="Georgia"/>
          <w:b/>
          <w:bCs/>
          <w:sz w:val="24"/>
          <w:szCs w:val="24"/>
        </w:rPr>
        <w:t>The framework is unfalsifiable at its core</w:t>
      </w:r>
      <w:r>
        <w:rPr>
          <w:rFonts w:eastAsia="Georgia" w:cs="Georgia"/>
          <w:sz w:val="24"/>
          <w:szCs w:val="24"/>
        </w:rPr>
        <w:t>. The ensoulment event leaves no genetic or fossil signature. This is a genuine weakness from a scientific standpoint, even though it is a logical feature of the model (immaterial souls would not be expected to leave material traces). The framework’s compatibility with evidence should not be confused with confirmation by evidence.</w:t>
      </w:r>
    </w:p>
    <w:p>
      <w:pPr>
        <w:pStyle w:val="Normal"/>
        <w:bidi w:val="0"/>
        <w:spacing w:lineRule="exact" w:line="276" w:before="0" w:after="200"/>
        <w:jc w:val="start"/>
        <w:rPr/>
      </w:pPr>
      <w:r>
        <w:rPr>
          <w:rFonts w:eastAsia="Georgia" w:cs="Georgia"/>
          <w:b/>
          <w:bCs/>
          <w:sz w:val="24"/>
          <w:szCs w:val="24"/>
        </w:rPr>
        <w:t>The early generations require sibling marriage</w:t>
      </w:r>
      <w:r>
        <w:rPr>
          <w:rFonts w:eastAsia="Georgia" w:cs="Georgia"/>
          <w:sz w:val="24"/>
          <w:szCs w:val="24"/>
        </w:rPr>
        <w:t>. Catholic theology has always acknowledged this as a necessity in the first generations, and it is not presented as sinful under pre-law conditions. But some will find it uncomfortable. The genetic argument—that a newly created pair without inherited genetic load could sustain several generations of close intermarriage—is reasonable but not empirically testable.</w:t>
      </w:r>
    </w:p>
    <w:p>
      <w:pPr>
        <w:pStyle w:val="Heading2"/>
        <w:bidi w:val="0"/>
        <w:spacing w:before="280" w:after="160"/>
        <w:jc w:val="start"/>
        <w:rPr/>
      </w:pPr>
      <w:r>
        <w:rPr/>
        <w:t>Required vs. Open: Why Acknowledging Weakness Is Itself a Theological Requirement</w:t>
      </w:r>
    </w:p>
    <w:p>
      <w:pPr>
        <w:pStyle w:val="Normal"/>
        <w:bidi w:val="0"/>
        <w:spacing w:lineRule="exact" w:line="276" w:before="0" w:after="200"/>
        <w:jc w:val="start"/>
        <w:rPr/>
      </w:pPr>
      <w:r>
        <w:rPr>
          <w:rFonts w:eastAsia="Georgia" w:cs="Georgia"/>
          <w:b/>
          <w:bCs/>
          <w:sz w:val="24"/>
          <w:szCs w:val="24"/>
        </w:rPr>
        <w:t xml:space="preserve">Required: </w:t>
      </w:r>
      <w:r>
        <w:rPr>
          <w:rFonts w:eastAsia="Georgia" w:cs="Georgia"/>
          <w:sz w:val="24"/>
          <w:szCs w:val="24"/>
        </w:rPr>
        <w:t xml:space="preserve">Intellectual honesty is a theological obligation, not merely a rhetorical strategy. The First Vatican Council, </w:t>
      </w:r>
      <w:hyperlink r:id="rId122">
        <w:r>
          <w:rPr>
            <w:rStyle w:val="ListLabel10"/>
            <w:rFonts w:eastAsia="Georgia" w:cs="Georgia"/>
            <w:i/>
            <w:iCs/>
            <w:color w:val="0563C1"/>
            <w:sz w:val="24"/>
            <w:szCs w:val="24"/>
            <w:u w:val="single"/>
          </w:rPr>
          <w:t>Dei Filius</w:t>
        </w:r>
      </w:hyperlink>
      <w:hyperlink r:id="rId123">
        <w:r>
          <w:rPr>
            <w:rStyle w:val="ListLabel12"/>
            <w:rFonts w:eastAsia="Georgia" w:cs="Georgia"/>
            <w:color w:val="0563C1"/>
            <w:sz w:val="24"/>
            <w:szCs w:val="24"/>
            <w:u w:val="single"/>
          </w:rPr>
          <w:t>, Chapter 4</w:t>
        </w:r>
      </w:hyperlink>
      <w:r>
        <w:rPr>
          <w:rFonts w:eastAsia="Georgia" w:cs="Georgia"/>
          <w:sz w:val="24"/>
          <w:szCs w:val="24"/>
        </w:rPr>
        <w:t xml:space="preserve">, teaches that “reason, illuminated by faith, when it seeks earnestly, piously and calmly, attains by a gift from God some understanding, and that a most fruitful one, of mysteries.” The word “some” is significant—the Council explicitly acknowledges the limits of human understanding even when aided by faith. The same document warns against “that false appearance of knowledge” which presents speculation as certainty. Pope St. John Paul II, in </w:t>
      </w:r>
      <w:hyperlink r:id="rId124">
        <w:r>
          <w:rPr>
            <w:rStyle w:val="ListLabel10"/>
            <w:rFonts w:eastAsia="Georgia" w:cs="Georgia"/>
            <w:i/>
            <w:iCs/>
            <w:color w:val="0563C1"/>
            <w:sz w:val="24"/>
            <w:szCs w:val="24"/>
            <w:u w:val="single"/>
          </w:rPr>
          <w:t>Fides et Ratio</w:t>
        </w:r>
      </w:hyperlink>
      <w:hyperlink r:id="rId125">
        <w:r>
          <w:rPr>
            <w:rStyle w:val="ListLabel12"/>
            <w:rFonts w:eastAsia="Georgia" w:cs="Georgia"/>
            <w:color w:val="0563C1"/>
            <w:sz w:val="24"/>
            <w:szCs w:val="24"/>
            <w:u w:val="single"/>
          </w:rPr>
          <w:t>, §4</w:t>
        </w:r>
      </w:hyperlink>
      <w:r>
        <w:rPr>
          <w:rFonts w:eastAsia="Georgia" w:cs="Georgia"/>
          <w:sz w:val="24"/>
          <w:szCs w:val="24"/>
        </w:rPr>
        <w:t>, insisted that philosophy and theology must maintain “a legitimate autonomy” and that faith “does not fear reason, but seeks it out and has trust in it.” Acknowledging weaknesses in a theological framework is not a failure of faith; it is fidelity to the Church’s own teaching about the limits of human reasoning.</w:t>
      </w:r>
    </w:p>
    <w:p>
      <w:pPr>
        <w:pStyle w:val="Normal"/>
        <w:bidi w:val="0"/>
        <w:spacing w:lineRule="exact" w:line="276" w:before="0" w:after="200"/>
        <w:jc w:val="start"/>
        <w:rPr/>
      </w:pPr>
      <w:r>
        <w:rPr>
          <w:rFonts w:eastAsia="Georgia" w:cs="Georgia"/>
          <w:b/>
          <w:bCs/>
          <w:sz w:val="24"/>
          <w:szCs w:val="24"/>
        </w:rPr>
        <w:t xml:space="preserve">Open: </w:t>
      </w:r>
      <w:r>
        <w:rPr>
          <w:rFonts w:eastAsia="Georgia" w:cs="Georgia"/>
          <w:sz w:val="24"/>
          <w:szCs w:val="24"/>
        </w:rPr>
        <w:t xml:space="preserve">All five weaknesses acknowledged above operate within the open space of Catholic theology. The DQB1 challenge is an area of active scientific research where the trend has consistently moved toward fewer and shallower truly independent ancient lineages—not more and deeper ones. The metaphorical reading of “dust of the ground” is permitted by </w:t>
      </w:r>
      <w:hyperlink r:id="rId126">
        <w:r>
          <w:rPr>
            <w:rStyle w:val="ListLabel10"/>
            <w:rFonts w:eastAsia="Georgia" w:cs="Georgia"/>
            <w:i/>
            <w:iCs/>
            <w:color w:val="0563C1"/>
            <w:sz w:val="24"/>
            <w:szCs w:val="24"/>
            <w:u w:val="single"/>
          </w:rPr>
          <w:t>Humani Generis</w:t>
        </w:r>
      </w:hyperlink>
      <w:hyperlink r:id="rId127">
        <w:r>
          <w:rPr>
            <w:rStyle w:val="ListLabel12"/>
            <w:rFonts w:eastAsia="Georgia" w:cs="Georgia"/>
            <w:color w:val="0563C1"/>
            <w:sz w:val="24"/>
            <w:szCs w:val="24"/>
            <w:u w:val="single"/>
          </w:rPr>
          <w:t>, §36</w:t>
        </w:r>
      </w:hyperlink>
      <w:r>
        <w:rPr>
          <w:rFonts w:eastAsia="Georgia" w:cs="Georgia"/>
          <w:sz w:val="24"/>
          <w:szCs w:val="24"/>
        </w:rPr>
        <w:t>, which allows that the human body may derive from “pre-existing and living matter.” The Augros/Stanciu mechanism is a philosophical proposal, not a doctrinal commitment. The unfalsifiability of ensoulment is a necessary feature of any claim about an immaterial reality acting on a material world—a feature shared by every Catholic doctrine about the soul. And sibling marriage in the first generations is the standard theological answer, held since the patristic era.</w:t>
      </w:r>
    </w:p>
    <w:p>
      <w:pPr>
        <w:pStyle w:val="Normal"/>
        <w:bidi w:val="0"/>
        <w:jc w:val="start"/>
        <w:rPr/>
      </w:pPr>
      <w:r>
        <w:rPr/>
      </w:r>
      <w:r>
        <w:br w:type="page"/>
      </w:r>
    </w:p>
    <w:p>
      <w:pPr>
        <w:pStyle w:val="Heading1"/>
        <w:bidi w:val="0"/>
        <w:spacing w:before="0" w:after="200"/>
        <w:jc w:val="start"/>
        <w:rPr/>
      </w:pPr>
      <w:r>
        <w:rPr/>
        <w:t>References and Further Reading</w:t>
      </w:r>
    </w:p>
    <w:p>
      <w:pPr>
        <w:pStyle w:val="Normal"/>
        <w:bidi w:val="0"/>
        <w:spacing w:lineRule="exact" w:line="276" w:before="0" w:after="120"/>
        <w:jc w:val="start"/>
        <w:rPr/>
      </w:pPr>
      <w:r>
        <w:rPr>
          <w:rFonts w:eastAsia="Georgia" w:cs="Georgia"/>
          <w:sz w:val="24"/>
          <w:szCs w:val="24"/>
        </w:rPr>
        <w:t xml:space="preserve">1. Augros, Robert, and George Stanciu. The New Biology: Discovering the Wisdom in Nature. New Science Library/Shambhala, 1987.  </w:t>
      </w:r>
      <w:hyperlink r:id="rId12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 Augros, Robert, and George Stanciu. The New Story of Science. Bantam New Age, 1984.  </w:t>
      </w:r>
      <w:hyperlink r:id="rId12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 Augustine of Hippo. De Genesi ad Litteram (The Literal Meaning of Genesis). Circa 415 AD.  </w:t>
      </w:r>
      <w:hyperlink r:id="rId130">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4. Ayala, Francisco. "Evolution and the Uniqueness of Humankind." Origins: CNS Documentary Service 27 (1998): 565–74.</w:t>
      </w:r>
    </w:p>
    <w:p>
      <w:pPr>
        <w:pStyle w:val="Normal"/>
        <w:bidi w:val="0"/>
        <w:spacing w:lineRule="exact" w:line="276" w:before="0" w:after="120"/>
        <w:jc w:val="start"/>
        <w:rPr/>
      </w:pPr>
      <w:r>
        <w:rPr>
          <w:rFonts w:eastAsia="Georgia" w:cs="Georgia"/>
          <w:sz w:val="24"/>
          <w:szCs w:val="24"/>
        </w:rPr>
        <w:t xml:space="preserve">5. Bonnette, Dennis. "Monogenism and Polygenism." In New Catholic Encyclopedia Supplement 2012–2013: Ethics and Philosophy, Vol. 3.  </w:t>
      </w:r>
      <w:hyperlink r:id="rId13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 Bonnette, Dennis. "Time to Abandon the Genesis Story?" Homiletic &amp; Pastoral Review, July 2014.  </w:t>
      </w:r>
      <w:hyperlink r:id="rId13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7. Catechism of the Catholic Church, Second Edition. Vatican City, 1994.  </w:t>
      </w:r>
      <w:hyperlink r:id="rId133">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8. Chalmers, David. "Facing Up to the Problem of Consciousness." Journal of Consciousness Studies 2 (1995): 200–19.  </w:t>
      </w:r>
      <w:hyperlink r:id="rId134">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9. Craig, William Lane. In Quest of the Historical Adam: A Biblical and Scientific Exploration. Eerdmans, 2021.  </w:t>
      </w:r>
      <w:hyperlink r:id="rId13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10. Hoffmann, D.L., et al. "U-Th Dating of Carbonate Crusts Reveals Neandertal Origin of Iberian Cave Art." Science 359 (2018): 912–15.  </w:t>
      </w:r>
      <w:hyperlink r:id="rId13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11. International Theological Commission. "Communion and Stewardship: Human Persons Created in the Image of God." 2004.  </w:t>
      </w:r>
      <w:hyperlink r:id="rId13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12. Kemp, Kenneth W. "Science, Theology, and Monogenesis." American Catholic Philosophical Quarterly 85, no. 2 (2011): 217–36.  </w:t>
      </w:r>
      <w:hyperlink r:id="rId13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13. Kemp, Kenneth W. "Adam and Eve and Evolution." Society of Catholic Scientists, 2024.  </w:t>
      </w:r>
      <w:hyperlink r:id="rId13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14. Pius XII. Humani Generis. Encyclical Letter, 1950.  </w:t>
      </w:r>
      <w:hyperlink r:id="rId140">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15. Smithsonian Institution. "Ancient DNA and Neanderthals." Human Origins Program, 2024.  </w:t>
      </w:r>
      <w:hyperlink r:id="rId14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16. Smithsonian Institution. "Homo heidelbergensis." Human Origins Program, 2024.  </w:t>
      </w:r>
      <w:hyperlink r:id="rId14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17. Smithsonian Institution. "Homo neanderthalensis." Human Origins Program, 2024.  </w:t>
      </w:r>
      <w:hyperlink r:id="rId143">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18. Society of Catholic Scientists. "Q6: How Do Adam and Eve Fit in with Evolution and the Science of Human Origins?" 2022.  </w:t>
      </w:r>
      <w:hyperlink r:id="rId144">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19. Stringer, Chris, et al. "Dating the Broken Hill Skull." Nature, April 2020.  </w:t>
      </w:r>
      <w:hyperlink r:id="rId14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20. Swamidass, S. Joshua. The Genealogical Adam and Eve: The Surprising Science of Universal Ancestry. IVP Academic, 2019.  </w:t>
      </w:r>
      <w:hyperlink r:id="rId14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21. Tabaczek, Mariusz. "Contemporary Version of the Monogenetic Model of Anthropogenesis." Religions 14, no. 4 (2023): 528.  </w:t>
      </w:r>
      <w:hyperlink r:id="rId14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22. Tattersall, Ian. Quoted in "Symbolic Thought in Humans: A Creative Explosion." American Museum of Natural History.  </w:t>
      </w:r>
      <w:hyperlink r:id="rId14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23. Thomas Quarry Fossils. "The Last Common Ancestor of Humans and Neanderthals Is Found, in Morocco." Haaretz, January 2026.  </w:t>
      </w:r>
      <w:hyperlink r:id="rId14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24. Hu, Haipeng, et al. "Genomic Inference of a Severe Human Bottleneck During the Early to Middle Pleistocene Transition." Science 381 (2023): 979–84.  </w:t>
      </w:r>
      <w:hyperlink r:id="rId150">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25. Natural History Museum, London. "Who Were the Neanderthals?" 2024.  </w:t>
      </w:r>
      <w:hyperlink r:id="rId15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26. DeRosa, John. "Adam &amp; Eve: A Survey of Models for Catholics." Peaceful Science, October 2022.  </w:t>
      </w:r>
      <w:hyperlink r:id="rId15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27. Hofmann, James R. "Catholicism and Evolution: Polygenism and Original Sin." Scientia et Fides 8, no. 2 (2020).  </w:t>
      </w:r>
      <w:hyperlink r:id="rId153">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28. Franklin, Ian R. "Evolutionary Change in Small Populations." In Conservation Biology: An Evolutionary-Ecological Perspective, edited by Michael E. Soulé and Bruce A. Wilcox, 135–149. Sinauer Associates, 1980.</w:t>
      </w:r>
    </w:p>
    <w:p>
      <w:pPr>
        <w:pStyle w:val="Normal"/>
        <w:bidi w:val="0"/>
        <w:spacing w:lineRule="exact" w:line="276" w:before="0" w:after="120"/>
        <w:jc w:val="start"/>
        <w:rPr/>
      </w:pPr>
      <w:r>
        <w:rPr>
          <w:rFonts w:eastAsia="Georgia" w:cs="Georgia"/>
          <w:sz w:val="24"/>
          <w:szCs w:val="24"/>
        </w:rPr>
        <w:t xml:space="preserve">29. Nunn, Patrick D., and Nicholas J. Reid. "Aboriginal Memories of Inundation of the Australian Coast Dating from More than 7000 Years Ago." Australian Geographer 47, no. 1 (2016): 11–47.  </w:t>
      </w:r>
      <w:hyperlink r:id="rId154">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30. Frazer, James George. Folklore in the Old Testament: Studies in Comparative Religion, Legend, and Law. Macmillan, 1918.  </w:t>
      </w:r>
      <w:hyperlink r:id="rId15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31. Gosse, Philip Henry. Omphalos: An Attempt to Untie the Geological Knot. John Van Voorst, 1857.  </w:t>
      </w:r>
      <w:hyperlink r:id="rId15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32. First Vatican Council. Dei Filius: Dogmatic Constitution on the Catholic Faith. April 24, 1870.  </w:t>
      </w:r>
      <w:hyperlink r:id="rId15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33. Thomas Aquinas. Summa Theologica, Prima Pars, Question 2, Article 3.  </w:t>
      </w:r>
      <w:r>
        <w:fldChar w:fldCharType="begin"/>
      </w:r>
      <w:r>
        <w:rPr>
          <w:rStyle w:val="ListLabel12"/>
          <w:sz w:val="24"/>
          <w:u w:val="single"/>
          <w:szCs w:val="24"/>
          <w:rFonts w:eastAsia="Georgia" w:cs="Georgia"/>
          <w:color w:val="0563C1"/>
        </w:rPr>
        <w:instrText xml:space="preserve"> HYPERLINK "https://www.newadvent.org/summa/1002.htm" \l "article3"</w:instrText>
      </w:r>
      <w:r>
        <w:rPr>
          <w:rStyle w:val="ListLabel12"/>
          <w:sz w:val="24"/>
          <w:u w:val="single"/>
          <w:szCs w:val="24"/>
          <w:rFonts w:eastAsia="Georgia" w:cs="Georgia"/>
          <w:color w:val="0563C1"/>
        </w:rPr>
        <w:fldChar w:fldCharType="separate"/>
      </w:r>
      <w:r>
        <w:rPr>
          <w:rStyle w:val="ListLabel12"/>
          <w:rFonts w:eastAsia="Georgia" w:cs="Georgia"/>
          <w:color w:val="0563C1"/>
          <w:sz w:val="24"/>
          <w:szCs w:val="24"/>
          <w:u w:val="single"/>
        </w:rPr>
        <w:t>[Link]</w:t>
      </w:r>
      <w:r>
        <w:rPr>
          <w:rStyle w:val="ListLabel12"/>
          <w:sz w:val="24"/>
          <w:u w:val="single"/>
          <w:szCs w:val="24"/>
          <w:rFonts w:eastAsia="Georgia" w:cs="Georgia"/>
          <w:color w:val="0563C1"/>
        </w:rPr>
        <w:fldChar w:fldCharType="end"/>
      </w:r>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34. Pontifical Biblical Commission. "On the Historical Character of the First Three Chapters of Genesis." June 30, 1909.</w:t>
      </w:r>
    </w:p>
    <w:p>
      <w:pPr>
        <w:pStyle w:val="Normal"/>
        <w:bidi w:val="0"/>
        <w:spacing w:lineRule="exact" w:line="276" w:before="0" w:after="120"/>
        <w:jc w:val="start"/>
        <w:rPr/>
      </w:pPr>
      <w:r>
        <w:rPr>
          <w:rFonts w:eastAsia="Georgia" w:cs="Georgia"/>
          <w:sz w:val="24"/>
          <w:szCs w:val="24"/>
        </w:rPr>
        <w:t xml:space="preserve">35. Masse, W. Bruce. "The Archaeology and Anthropology of Quaternary Period Cosmic Impact." In Comet/Asteroid Impacts and Human Society, edited by Peter T. Bobrowsky and Hans Rickman, 25–70. Springer, 2007.  </w:t>
      </w:r>
      <w:hyperlink r:id="rId15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36. Rooth, Anna Birgitta. "The Creation Myths of the North American Indians." Anthropos 52 (1957): 497–508.  </w:t>
      </w:r>
      <w:hyperlink r:id="rId15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37. Council of Trent. Session V: Decree Concerning Original Sin. June 17, 1546.  </w:t>
      </w:r>
      <w:hyperlink r:id="rId160">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38. Pontifical Biblical Commission. Letter to Cardinal Suhard on the Pentateuch and Genesis 1–11. January 16, 1948.  </w:t>
      </w:r>
      <w:hyperlink r:id="rId16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39. Council of Vienne. Decrees on the Soul as the Form of the Body. 1312.  </w:t>
      </w:r>
      <w:hyperlink r:id="rId16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40. RATE Project. Vardiman, Larry, Andrew A. Snelling, and Eugene F. Chaffin, eds. Radioisotopes and the Age of the Earth, Vol. 2. Institute for Creation Research, 2005.  </w:t>
      </w:r>
      <w:hyperlink r:id="rId163">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41. Barnes, Thomas G. "Decay of the Earth's Magnetic Moment and the Geochronological Implications." Creation Research Society Quarterly 9 (1973): 24–29.</w:t>
      </w:r>
    </w:p>
    <w:p>
      <w:pPr>
        <w:pStyle w:val="Normal"/>
        <w:bidi w:val="0"/>
        <w:spacing w:lineRule="exact" w:line="276" w:before="0" w:after="120"/>
        <w:jc w:val="start"/>
        <w:rPr/>
      </w:pPr>
      <w:r>
        <w:rPr>
          <w:rFonts w:eastAsia="Georgia" w:cs="Georgia"/>
          <w:sz w:val="24"/>
          <w:szCs w:val="24"/>
        </w:rPr>
        <w:t xml:space="preserve">42. EPICA Community Members. "Eight Glacial Cycles from an Antarctic Ice Core." Nature 429 (2004): 623–628.  </w:t>
      </w:r>
      <w:hyperlink r:id="rId164">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43. Friedrich, Michael, et al. "The 12,460-Year Hohenheim Oak and Pine Tree-Ring Chronology." Radiocarbon 46 (2004): 1111–1122.  </w:t>
      </w:r>
      <w:hyperlink r:id="rId16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44. John Paul II, Pope. Fides et Ratio. Encyclical Letter, September 14, 1998.  </w:t>
      </w:r>
      <w:hyperlink r:id="rId16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45. Second Vatican Council. Gaudium et Spes: Pastoral Constitution on the Church in the Modern World. December 7, 1965.  </w:t>
      </w:r>
      <w:hyperlink r:id="rId16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46. Fourth Lateran Council. Constitution 1: On the Catholic Faith (Firmiter Credimus). 1215.  </w:t>
      </w:r>
      <w:hyperlink r:id="rId16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47. Fifth Lateran Council. Apostolici Regiminis: Bull on the Immortality of the Soul. December 19, 1513.  </w:t>
      </w:r>
      <w:hyperlink r:id="rId16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48. Pontifical Academy of Sciences. Founded 1936 by Pope Pius XI; Statutes renewed by Pope John Paul II, 1986.  </w:t>
      </w:r>
      <w:hyperlink r:id="rId170">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49. Ott, Ludwig. Fundamentals of Catholic Dogma. Translated by Patrick Lynch. Edited by James Canon Bastible. Baronius Press, 2018 (orig. 1952).  </w:t>
      </w:r>
      <w:hyperlink r:id="rId17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50. Pontifical Biblical Commission. De charactere historico trium priorum capitum Geneseos (On the Historical Character of the First Three Chapters of Genesis). June 30, 1909.  </w:t>
      </w:r>
      <w:hyperlink r:id="rId17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51. Owen, Hugh, and the Kolbe Center for the Study of Creation. Creation, Evolution, and Catholicism: A Discussion for Those Who Believe. Kolbe Center, 2000ff.  </w:t>
      </w:r>
      <w:hyperlink r:id="rId173">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52. Pius X, Pope St. Praestantia Scripturae. Motu proprio on the authority of the Pontifical Biblical Commission, November 18, 1907.  </w:t>
      </w:r>
      <w:hyperlink r:id="rId174">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53. Poupard, Cardinal Paul. Address on Faith and Science, Pontifical Council for Culture. Cited in Catholic News Service reports on the Galileo Commission findings.</w:t>
      </w:r>
    </w:p>
    <w:p>
      <w:pPr>
        <w:pStyle w:val="Normal"/>
        <w:bidi w:val="0"/>
        <w:spacing w:lineRule="exact" w:line="276" w:before="0" w:after="120"/>
        <w:jc w:val="start"/>
        <w:rPr/>
      </w:pPr>
      <w:r>
        <w:rPr>
          <w:rFonts w:eastAsia="Georgia" w:cs="Georgia"/>
          <w:sz w:val="24"/>
          <w:szCs w:val="24"/>
        </w:rPr>
        <w:t xml:space="preserve">54. Pian, E., et al. "Spectroscopic identification of r-process nucleosynthesis in a double neutron-star merger." Nature 551 (2017): 67–70.  </w:t>
      </w:r>
      <w:hyperlink r:id="rId17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55. Kasen, Daniel, et al. "Origin of the heavy elements in binary neutron-star mergers from a gravitational-wave event." Nature 551 (2017): 80–84.  </w:t>
      </w:r>
      <w:hyperlink r:id="rId17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56. Levan, A.J., et al. "Heavy-element production in a compact object merger observed by JWST." Nature 626 (2024): 737–741.  </w:t>
      </w:r>
      <w:hyperlink r:id="rId17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57. Visbal, Eli, et al. "LAP1-B is the First Observed System Consistent with Theoretical Predictions for Population III Stars." The Astrophysical Journal Letters (2025).  </w:t>
      </w:r>
      <w:hyperlink r:id="rId17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58. Catholic Answers. "Can Catholics Believe in a Young Earth?" Catholic Answers Magazine.  </w:t>
      </w:r>
      <w:hyperlink r:id="rId179">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59. Ladd, Harry S., Joshua I. Tracey Jr., and M. Grant Gross. "Drilling on Eniwetok Atoll, Marshall Islands." AAPG Bulletin 54 (1970): 2,257–2,280.</w:t>
      </w:r>
    </w:p>
    <w:p>
      <w:pPr>
        <w:pStyle w:val="Normal"/>
        <w:bidi w:val="0"/>
        <w:spacing w:lineRule="exact" w:line="276" w:before="0" w:after="120"/>
        <w:jc w:val="start"/>
        <w:rPr/>
      </w:pPr>
      <w:r>
        <w:rPr>
          <w:rFonts w:eastAsia="Georgia" w:cs="Georgia"/>
          <w:sz w:val="24"/>
          <w:szCs w:val="24"/>
        </w:rPr>
        <w:t xml:space="preserve">60. Hurter, Hugo von. Theologiae Dogmaticae Compendium. 3 vols. Innsbruck, 1876–78; 12th ed. 1909.  </w:t>
      </w:r>
      <w:hyperlink r:id="rId180">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61. Vacant, Alfred. "Création." In Dictionnaire de Théologie Catholique, Vol. 3. Letouzey et Ané, 1908.</w:t>
      </w:r>
    </w:p>
    <w:p>
      <w:pPr>
        <w:pStyle w:val="Normal"/>
        <w:bidi w:val="0"/>
        <w:spacing w:lineRule="exact" w:line="276" w:before="0" w:after="120"/>
        <w:jc w:val="start"/>
        <w:rPr/>
      </w:pPr>
      <w:r>
        <w:rPr>
          <w:rFonts w:eastAsia="Georgia" w:cs="Georgia"/>
          <w:sz w:val="24"/>
          <w:szCs w:val="24"/>
        </w:rPr>
        <w:t xml:space="preserve">62. Peter Lombard. Sententiae in IV Libris Distinctae, Book II, Distinction 1. Circa 1150.  </w:t>
      </w:r>
      <w:hyperlink r:id="rId181">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63. Setterfield, Barry, and Trevor Norman. "The Atomic Constants, Light, and Time." Invited Research Paper, Flinders University, August 1987.  </w:t>
      </w:r>
      <w:hyperlink r:id="rId182">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64. ENCODE Project Consortium. "An integrated encyclopedia of DNA elements in the human genome." Nature 489 (2012): 57–74.  </w:t>
      </w:r>
      <w:hyperlink r:id="rId183">
        <w:r>
          <w:rPr>
            <w:rStyle w:val="ListLabel12"/>
            <w:rFonts w:eastAsia="Georgia" w:cs="Georgia"/>
            <w:color w:val="0563C1"/>
            <w:sz w:val="24"/>
            <w:szCs w:val="24"/>
            <w:u w:val="single"/>
          </w:rPr>
          <w:t>[Link]</w:t>
        </w:r>
      </w:hyperlink>
    </w:p>
    <w:p>
      <w:pPr>
        <w:pStyle w:val="Normal"/>
        <w:bidi w:val="0"/>
        <w:spacing w:lineRule="exact" w:line="276" w:before="0" w:after="120"/>
        <w:jc w:val="start"/>
        <w:rPr>
          <w:rFonts w:ascii="Georgia" w:hAnsi="Georgia" w:eastAsia="Georgia" w:cs="Georgia"/>
          <w:sz w:val="24"/>
          <w:szCs w:val="24"/>
        </w:rPr>
      </w:pPr>
      <w:r>
        <w:rPr>
          <w:rFonts w:eastAsia="Georgia" w:cs="Georgia"/>
          <w:sz w:val="24"/>
          <w:szCs w:val="24"/>
        </w:rPr>
        <w:t>65. Carroll, Sean B. Endless Forms Most Beautiful: The New Science of Evo Devo and the Making of the Animal Kingdom. W.W. Norton, 2005.</w:t>
      </w:r>
    </w:p>
    <w:p>
      <w:pPr>
        <w:pStyle w:val="Normal"/>
        <w:bidi w:val="0"/>
        <w:spacing w:lineRule="exact" w:line="276" w:before="0" w:after="120"/>
        <w:jc w:val="start"/>
        <w:rPr/>
      </w:pPr>
      <w:r>
        <w:rPr>
          <w:rFonts w:eastAsia="Georgia" w:cs="Georgia"/>
          <w:sz w:val="24"/>
          <w:szCs w:val="24"/>
        </w:rPr>
        <w:t xml:space="preserve">66. Fortier, Alyssa L., and Jonathan K. Pritchard. "Ancient Trans-Species Polymorphism at the Major Histocompatibility Complex in Primates." eLife 14 (2025): e103547.  </w:t>
      </w:r>
      <w:hyperlink r:id="rId184">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67. Fortier, Alyssa L., and Jonathan K. Pritchard. "The Primate Major Histocompatibility Complex as a Case Study of Gene Family Evolution." eLife 14 (2025): e103545.  </w:t>
      </w:r>
      <w:hyperlink r:id="rId185">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68. Slatkin, Montgomery. "Joint Estimation of Selection Intensity and Mutation Rate Under Balancing Selection with Applications to HLA." Genetics 221, no. 2 (2022): iyac058.  </w:t>
      </w:r>
      <w:hyperlink r:id="rId186">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69. Bergström, Tomas F., et al. "Recent Origin of HLA-DRB1 Alleles and Implications for Human Evolution." Nature Genetics 18 (1998): 237–242.  </w:t>
      </w:r>
      <w:hyperlink r:id="rId187">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70. von Salomé, Jenny, Ulf Gyllensten, and Tomas F. Bergström. "Full-Length Sequence Analysis of the HLA-DRB1 Locus Suggests That the Ancestral DRB1 Alleles Are Recent." Immunogenetics 59 (2007): 261–271.  </w:t>
      </w:r>
      <w:hyperlink r:id="rId188">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71. Takahata, Naoyuki. "A Simple Genealogical Structure of Strongly Balanced Allelic Lines and Trans-Species Evolution of Polymorphism." PNAS 87 (1990): 2419–2423.  </w:t>
      </w:r>
      <w:hyperlink r:id="rId189">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72. Hössjer, Ola, and Ann Gauger. "A Single-Couple Human Origin Is Possible." BIO-Complexity 2019, no. 1 (2019): 1–20.  </w:t>
      </w:r>
      <w:hyperlink r:id="rId190">
        <w:r>
          <w:rPr>
            <w:rStyle w:val="ListLabel12"/>
            <w:rFonts w:eastAsia="Georgia" w:cs="Georgia"/>
            <w:color w:val="0563C1"/>
            <w:sz w:val="24"/>
            <w:szCs w:val="24"/>
            <w:u w:val="single"/>
          </w:rPr>
          <w:t>[Link]</w:t>
        </w:r>
      </w:hyperlink>
    </w:p>
    <w:p>
      <w:pPr>
        <w:pStyle w:val="Normal"/>
        <w:bidi w:val="0"/>
        <w:spacing w:lineRule="exact" w:line="276" w:before="0" w:after="120"/>
        <w:jc w:val="start"/>
        <w:rPr/>
      </w:pPr>
      <w:r>
        <w:rPr>
          <w:rFonts w:eastAsia="Georgia" w:cs="Georgia"/>
          <w:sz w:val="24"/>
          <w:szCs w:val="24"/>
        </w:rPr>
        <w:t xml:space="preserve">73. Swamidass, S. Joshua. "The Misunderstood Bottleneck." Peaceful Science, 2018.  </w:t>
      </w:r>
      <w:hyperlink r:id="rId191">
        <w:r>
          <w:rPr>
            <w:rStyle w:val="ListLabel12"/>
            <w:rFonts w:eastAsia="Georgia" w:cs="Georgia"/>
            <w:color w:val="0563C1"/>
            <w:sz w:val="24"/>
            <w:szCs w:val="24"/>
            <w:u w:val="single"/>
          </w:rPr>
          <w:t>[Link]</w:t>
        </w:r>
      </w:hyperlink>
    </w:p>
    <w:p>
      <w:pPr>
        <w:pStyle w:val="Normal"/>
        <w:bidi w:val="0"/>
        <w:jc w:val="start"/>
        <w:rPr/>
      </w:pPr>
      <w:r>
        <w:rPr/>
      </w:r>
      <w:r>
        <w:br w:type="page"/>
      </w:r>
    </w:p>
    <w:p>
      <w:pPr>
        <w:pStyle w:val="Heading1"/>
        <w:bidi w:val="0"/>
        <w:spacing w:before="0" w:after="200"/>
        <w:jc w:val="start"/>
        <w:rPr/>
      </w:pPr>
      <w:r>
        <w:rPr/>
        <w:t>Index of Key Terms and Persons</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Adam and Eve — Chapters 2–15, passim</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Aquinas, Thomas (Five Ways)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Augros, Robert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Augustine of Hippo, Saint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Australopithecus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Ayala, Francisco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Barnes, Thomas G. (magnetic field decay) — Chapter 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Behavioral modernity — Chapter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Bestiality objection — Chapter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Big Bang — Chapters 3,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Bonnette, Dennis — Chapters 4,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Balancing selection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Bergström, Tomas (recent origin of DRB1 alleles)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C-decay hypothesis (Setterfield)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Cain and Abel — Chapter 8</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Cambrian explosion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Carroll, Sean B. (evo-devo)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Copernicus, Nicolaus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Catholic Answers (on YE permissibility)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Chalmers, David — Chapter 12</w:t>
      </w:r>
    </w:p>
    <w:p>
      <w:pPr>
        <w:pStyle w:val="Normal"/>
        <w:bidi w:val="0"/>
        <w:spacing w:lineRule="exact" w:line="240" w:before="0" w:after="80"/>
        <w:jc w:val="start"/>
        <w:rPr/>
      </w:pPr>
      <w:r>
        <w:rPr>
          <w:rFonts w:eastAsia="Georgia" w:cs="Georgia"/>
          <w:sz w:val="24"/>
          <w:szCs w:val="24"/>
        </w:rPr>
        <w:t>Consciousness, hard problem of — Chapter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Continental drift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Coral reef growth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Cosmic microwave background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Council of Trent — Chapters 4, 7, 9</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Council of Vienne — Chapter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Craig, William Lane — Chapters 4,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Cyclic universe models (Penrose, Steinhardt)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De fide definita (levels of doctrinal authority)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Dei Filius (Vatican I)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Dendrochronology (tree rings)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Denisovans — Chapters 6,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Diagenesis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Deucalion and Pyrrha — Chapter 10</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Ensoulment — Chapters 5, 7, 9, 10, 11,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ENCODE Project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EPICA ice core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Evo-devo (evolutionary developmental biology)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Feser, Edward — Chapter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Fides et Ratio — Chapters 13, 15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Flood, Genesis — Chapter 10</w:t>
      </w:r>
    </w:p>
    <w:p>
      <w:pPr>
        <w:pStyle w:val="Normal"/>
        <w:bidi w:val="0"/>
        <w:spacing w:lineRule="exact" w:line="240" w:before="0" w:after="80"/>
        <w:jc w:val="start"/>
        <w:rPr/>
      </w:pPr>
      <w:r>
        <w:rPr>
          <w:rFonts w:eastAsia="Georgia" w:cs="Georgia"/>
          <w:sz w:val="24"/>
          <w:szCs w:val="24"/>
        </w:rPr>
        <w:t>Fortier and Pritchard (TSP analysis, 2025)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Flood myths, cross-cultural — Chapter 10</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Galileo Galilei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Gene conversion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Genetic diversity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Gilgamesh, Epic of — Chapter 10</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Gosse, Philip Henry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Great Oxidation Event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Hard problem of consciousness — Chapter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HLA genes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Hox genes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erectus — Chapters 5, 6,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floresiensis — Chapter 6</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habilis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heidelbergensis — Chapters 5, 6,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naledi — Chapter 6</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Homo neanderthalensis — see Neanderthals</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Humani Generis — Chapters 2, 3, 4,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Ice cores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Hössjer, Ola (single-couple origin)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Kemp, Kenneth — Chapter 4</w:t>
      </w:r>
    </w:p>
    <w:p>
      <w:pPr>
        <w:pStyle w:val="Normal"/>
        <w:bidi w:val="0"/>
        <w:spacing w:lineRule="exact" w:line="240" w:before="0" w:after="80"/>
        <w:jc w:val="start"/>
        <w:rPr/>
      </w:pPr>
      <w:r>
        <w:rPr>
          <w:rFonts w:eastAsia="Georgia" w:cs="Georgia"/>
          <w:sz w:val="24"/>
          <w:szCs w:val="24"/>
        </w:rPr>
        <w:t>Kepler, Johannes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Kolbe Center for the Study of Creation — Chapter 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Lateran IV, Firmiter constitution — Chapters 2, 3, 14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Latent potential, biological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Slatkin, Montgomery (balancing selection)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Swamidass, S. Joshua (TMR4A)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Takahata, Naoyuki (coalescence inflation)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TMR4A (Time to Most Recent Four Alleles)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Trans-species polymorphism (TSP) — Chapter 11</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Monogenism — Chapters 4, 7, 11, 13, 14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Mount St. Helens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Neanderthals — Chapters 6, 7,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Neutron star mergers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Nunn, Patrick — Chapter 10</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Omphalos hypothesis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Original sin — Chapters 7, 9</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Ott, Ludwig (Fundamentals of Catholic Dogma)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Owen, Hugh — Chapter 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Pike, Alistair — Chapter 6</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Pius XII, Pope — Chapters 2, 3,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Polystrate fossils — Chapter 2</w:t>
      </w:r>
    </w:p>
    <w:p>
      <w:pPr>
        <w:pStyle w:val="Normal"/>
        <w:bidi w:val="0"/>
        <w:spacing w:lineRule="exact" w:line="240" w:before="0" w:after="80"/>
        <w:jc w:val="start"/>
        <w:rPr/>
      </w:pPr>
      <w:r>
        <w:rPr>
          <w:rFonts w:eastAsia="Georgia" w:cs="Georgia"/>
          <w:sz w:val="24"/>
          <w:szCs w:val="24"/>
        </w:rPr>
        <w:t>Polygenism — Chapter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Pontifical Biblical Commission, 1909 decree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Popol Vuh — Chapter 10</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Poupard, Cardinal Paul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Radiometric dating — Chapter 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RATE project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Rational soul — Chapters 5, 7,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Required vs. open framework — Chapters 2–15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Romans 5:13 — Chapters 7, 14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Sensitive soul — Chapters 5, 7</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Stanciu, George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Stalactites (variable growth rates)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Starlight problem — Chapter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Stellar nucleosynthesis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Stringer, Chris — Chapter 6</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Suarez, Antoine — Chapter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Supernovae — Chapters 3,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Swamidass, S. Joshua — Chapter 4</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Symbolic behavior — Chapters 6,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Tattersall, Ian — Chapter 12</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Thomistic philosophy — Chapters 5, 7</w:t>
      </w:r>
    </w:p>
    <w:p>
      <w:pPr>
        <w:pStyle w:val="Normal"/>
        <w:bidi w:val="0"/>
        <w:spacing w:lineRule="exact" w:line="240" w:before="0" w:after="80"/>
        <w:jc w:val="start"/>
        <w:rPr/>
      </w:pPr>
      <w:r>
        <w:rPr>
          <w:rFonts w:eastAsia="Georgia" w:cs="Georgia"/>
          <w:sz w:val="24"/>
          <w:szCs w:val="24"/>
        </w:rPr>
        <w:t>Tiktaalik — Chapter 5</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Variable constants argument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White Cliffs of Dover — Chapters 2, 3</w:t>
      </w:r>
    </w:p>
    <w:p>
      <w:pPr>
        <w:pStyle w:val="Normal"/>
        <w:bidi w:val="0"/>
        <w:spacing w:lineRule="exact" w:line="240" w:before="0" w:after="80"/>
        <w:jc w:val="start"/>
        <w:rPr>
          <w:rFonts w:ascii="Georgia" w:hAnsi="Georgia" w:eastAsia="Georgia" w:cs="Georgia"/>
          <w:sz w:val="24"/>
          <w:szCs w:val="24"/>
        </w:rPr>
      </w:pPr>
      <w:r>
        <w:rPr>
          <w:rFonts w:eastAsia="Georgia" w:cs="Georgia"/>
          <w:sz w:val="24"/>
          <w:szCs w:val="24"/>
        </w:rPr>
        <w:t>Young earth creationism — Chapters 2, 3</w:t>
      </w:r>
    </w:p>
    <w:sectPr>
      <w:headerReference w:type="default" r:id="rId192"/>
      <w:footerReference w:type="default" r:id="rId193"/>
      <w:footnotePr>
        <w:numFmt w:val="decimal"/>
      </w:footnotePr>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Georgia">
    <w:charset w:val="00" w:characterSet="iso-8859-1"/>
    <w:family w:val="roman"/>
    <w:pitch w:val="variable"/>
  </w:font>
  <w:font w:name="Georgia">
    <w:charset w:val="00" w:characterSet="iso-8859-1"/>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bidi w:val="0"/>
      <w:jc w:val="center"/>
      <w:rPr/>
    </w:pPr>
    <w:r>
      <w:rPr/>
      <w:fldChar w:fldCharType="begin"/>
    </w:r>
    <w:r>
      <w:rPr/>
      <w:instrText xml:space="preserve"> PAGE </w:instrText>
    </w:r>
    <w:r>
      <w:rPr/>
      <w:fldChar w:fldCharType="separate"/>
    </w:r>
    <w:r>
      <w:rPr/>
      <w:t>79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bidi w:val="0"/>
        <w:jc w:val="start"/>
        <w:rPr/>
      </w:pPr>
      <w:r>
        <w:rPr>
          <w:rStyle w:val="FootnoteCharacters"/>
        </w:rPr>
        <w:footnoteRef/>
      </w:r>
      <w:r>
        <w:rPr>
          <w:rFonts w:eastAsia="Georgia" w:cs="Georgia"/>
          <w:sz w:val="20"/>
          <w:szCs w:val="20"/>
        </w:rPr>
        <w:t>John Paul II. Fides et Ratio. Encyclical Letter, September 14, 1998.</w:t>
      </w:r>
      <w:r>
        <w:rPr>
          <w:sz w:val="20"/>
          <w:szCs w:val="20"/>
        </w:rPr>
        <w:t xml:space="preserve"> </w:t>
      </w:r>
      <w:hyperlink r:id="rId1">
        <w:r>
          <w:rPr>
            <w:rStyle w:val="Hyperlink"/>
            <w:rFonts w:eastAsia="Georgia" w:cs="Georgia"/>
            <w:color w:val="0563C1"/>
            <w:sz w:val="20"/>
            <w:szCs w:val="20"/>
            <w:u w:val="single"/>
          </w:rPr>
          <w:t>https://www.vatican.va/content/john-paul-ii/en/encyclicals/documents/hf_jp-ii_enc_14091998_fides-et-ratio.html</w:t>
        </w:r>
      </w:hyperlink>
    </w:p>
  </w:footnote>
  <w:footnote w:id="3">
    <w:p>
      <w:pPr>
        <w:pStyle w:val="Normal"/>
        <w:bidi w:val="0"/>
        <w:jc w:val="start"/>
        <w:rPr/>
      </w:pPr>
      <w:r>
        <w:rPr>
          <w:rStyle w:val="FootnoteCharacters"/>
        </w:rPr>
        <w:footnoteRef/>
      </w:r>
      <w:r>
        <w:rPr>
          <w:rFonts w:eastAsia="Georgia" w:cs="Georgia"/>
          <w:sz w:val="20"/>
          <w:szCs w:val="20"/>
        </w:rPr>
        <w:t>Gosse, Philip Henry. Omphalos: An Attempt to Untie the Geological Knot. John Van Voorst, 1857.</w:t>
      </w:r>
      <w:r>
        <w:rPr>
          <w:sz w:val="20"/>
          <w:szCs w:val="20"/>
        </w:rPr>
        <w:t xml:space="preserve"> </w:t>
      </w:r>
      <w:hyperlink r:id="rId2">
        <w:r>
          <w:rPr>
            <w:rStyle w:val="Hyperlink"/>
            <w:rFonts w:eastAsia="Georgia" w:cs="Georgia"/>
            <w:color w:val="0563C1"/>
            <w:sz w:val="20"/>
            <w:szCs w:val="20"/>
            <w:u w:val="single"/>
          </w:rPr>
          <w:t>https://archive.org/details/omphalosattemptt00goss</w:t>
        </w:r>
      </w:hyperlink>
    </w:p>
  </w:footnote>
  <w:footnote w:id="4">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Barnes, Thomas G. "Decay of the Earth's Magnetic Moment and the Geochronological Implications." Creation Research Society Quarterly 9 (1973): 24–29.</w:t>
      </w:r>
    </w:p>
  </w:footnote>
  <w:footnote w:id="5">
    <w:p>
      <w:pPr>
        <w:pStyle w:val="Normal"/>
        <w:bidi w:val="0"/>
        <w:jc w:val="start"/>
        <w:rPr/>
      </w:pPr>
      <w:r>
        <w:rPr>
          <w:rStyle w:val="FootnoteCharacters"/>
        </w:rPr>
        <w:footnoteRef/>
      </w:r>
      <w:r>
        <w:rPr>
          <w:rFonts w:eastAsia="Georgia" w:cs="Georgia"/>
          <w:sz w:val="20"/>
          <w:szCs w:val="20"/>
        </w:rPr>
        <w:t>Owen, Hugh, and the Kolbe Center. Creation, Evolution, and Catholicism. Kolbe Center, 2000ff.</w:t>
      </w:r>
      <w:r>
        <w:rPr>
          <w:sz w:val="20"/>
          <w:szCs w:val="20"/>
        </w:rPr>
        <w:t xml:space="preserve"> </w:t>
      </w:r>
      <w:hyperlink r:id="rId3">
        <w:r>
          <w:rPr>
            <w:rStyle w:val="Hyperlink"/>
            <w:rFonts w:eastAsia="Georgia" w:cs="Georgia"/>
            <w:color w:val="0563C1"/>
            <w:sz w:val="20"/>
            <w:szCs w:val="20"/>
            <w:u w:val="single"/>
          </w:rPr>
          <w:t>https://kolbecenter.org/</w:t>
        </w:r>
      </w:hyperlink>
    </w:p>
  </w:footnote>
  <w:footnote w:id="6">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Pontifical Biblical Commission. "On the Historical Character of the First Three Chapters of Genesis." June 30, 1909.</w:t>
      </w:r>
    </w:p>
  </w:footnote>
  <w:footnote w:id="7">
    <w:p>
      <w:pPr>
        <w:pStyle w:val="Normal"/>
        <w:bidi w:val="0"/>
        <w:jc w:val="start"/>
        <w:rPr/>
      </w:pPr>
      <w:r>
        <w:rPr>
          <w:rStyle w:val="FootnoteCharacters"/>
        </w:rPr>
        <w:footnoteRef/>
      </w:r>
      <w:r>
        <w:rPr>
          <w:rFonts w:eastAsia="Georgia" w:cs="Georgia"/>
          <w:sz w:val="20"/>
          <w:szCs w:val="20"/>
        </w:rPr>
        <w:t>Catholic Answers. "Can Catholics Believe in a Young Earth?"</w:t>
      </w:r>
      <w:r>
        <w:rPr>
          <w:sz w:val="20"/>
          <w:szCs w:val="20"/>
        </w:rPr>
        <w:t xml:space="preserve"> </w:t>
      </w:r>
      <w:hyperlink r:id="rId4">
        <w:r>
          <w:rPr>
            <w:rStyle w:val="Hyperlink"/>
            <w:rFonts w:eastAsia="Georgia" w:cs="Georgia"/>
            <w:color w:val="0563C1"/>
            <w:sz w:val="20"/>
            <w:szCs w:val="20"/>
            <w:u w:val="single"/>
          </w:rPr>
          <w:t>https://www.catholic.com/magazine/print-edition/the-six-days-of-creation</w:t>
        </w:r>
      </w:hyperlink>
    </w:p>
  </w:footnote>
  <w:footnote w:id="8">
    <w:p>
      <w:pPr>
        <w:pStyle w:val="Normal"/>
        <w:bidi w:val="0"/>
        <w:jc w:val="start"/>
        <w:rPr/>
      </w:pPr>
      <w:r>
        <w:rPr>
          <w:rStyle w:val="FootnoteCharacters"/>
        </w:rPr>
        <w:footnoteRef/>
      </w:r>
      <w:r>
        <w:rPr>
          <w:rFonts w:eastAsia="Georgia" w:cs="Georgia"/>
          <w:sz w:val="20"/>
          <w:szCs w:val="20"/>
        </w:rPr>
        <w:t>EPICA Community Members. "Eight Glacial Cycles from an Antarctic Ice Core." Nature 429 (2004): 623–628.</w:t>
      </w:r>
      <w:r>
        <w:rPr>
          <w:sz w:val="20"/>
          <w:szCs w:val="20"/>
        </w:rPr>
        <w:t xml:space="preserve"> </w:t>
      </w:r>
      <w:hyperlink r:id="rId5">
        <w:r>
          <w:rPr>
            <w:rStyle w:val="Hyperlink"/>
            <w:rFonts w:eastAsia="Georgia" w:cs="Georgia"/>
            <w:color w:val="0563C1"/>
            <w:sz w:val="20"/>
            <w:szCs w:val="20"/>
            <w:u w:val="single"/>
          </w:rPr>
          <w:t>https://doi.org/10.1038/nature02599</w:t>
        </w:r>
      </w:hyperlink>
    </w:p>
  </w:footnote>
  <w:footnote w:id="9">
    <w:p>
      <w:pPr>
        <w:pStyle w:val="Normal"/>
        <w:bidi w:val="0"/>
        <w:jc w:val="start"/>
        <w:rPr/>
      </w:pPr>
      <w:r>
        <w:rPr>
          <w:rStyle w:val="FootnoteCharacters"/>
        </w:rPr>
        <w:footnoteRef/>
      </w:r>
      <w:r>
        <w:rPr>
          <w:rFonts w:eastAsia="Georgia" w:cs="Georgia"/>
          <w:sz w:val="20"/>
          <w:szCs w:val="20"/>
        </w:rPr>
        <w:t>Friedrich, Michael, et al. "The 12,460-Year Hohenheim Oak and Pine Tree-Ring Chronology." Radiocarbon 46 (2004): 1111–1122.</w:t>
      </w:r>
      <w:r>
        <w:rPr>
          <w:sz w:val="20"/>
          <w:szCs w:val="20"/>
        </w:rPr>
        <w:t xml:space="preserve"> </w:t>
      </w:r>
      <w:hyperlink r:id="rId6">
        <w:r>
          <w:rPr>
            <w:rStyle w:val="Hyperlink"/>
            <w:rFonts w:eastAsia="Georgia" w:cs="Georgia"/>
            <w:color w:val="0563C1"/>
            <w:sz w:val="20"/>
            <w:szCs w:val="20"/>
            <w:u w:val="single"/>
          </w:rPr>
          <w:t>https://doi.org/10.1017/S0033822200033078</w:t>
        </w:r>
      </w:hyperlink>
    </w:p>
  </w:footnote>
  <w:footnote w:id="10">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Ladd, Harry S., Joshua I. Tracey Jr., and M. Grant Gross. "Drilling on Eniwetok Atoll, Marshall Islands." AAPG Bulletin 54 (1970): 2,257–2,280.</w:t>
      </w:r>
    </w:p>
  </w:footnote>
  <w:footnote w:id="11">
    <w:p>
      <w:pPr>
        <w:pStyle w:val="Normal"/>
        <w:bidi w:val="0"/>
        <w:jc w:val="start"/>
        <w:rPr/>
      </w:pPr>
      <w:r>
        <w:rPr>
          <w:rStyle w:val="FootnoteCharacters"/>
        </w:rPr>
        <w:footnoteRef/>
      </w:r>
      <w:r>
        <w:rPr>
          <w:rFonts w:eastAsia="Georgia" w:cs="Georgia"/>
          <w:sz w:val="20"/>
          <w:szCs w:val="20"/>
        </w:rPr>
        <w:t>Vine, Frederick J., and Drummond H. Matthews. "Magnetic Anomalies over Oceanic Ridges." Nature 199 (1963): 947–949.</w:t>
      </w:r>
      <w:r>
        <w:rPr>
          <w:sz w:val="20"/>
          <w:szCs w:val="20"/>
        </w:rPr>
        <w:t xml:space="preserve"> </w:t>
      </w:r>
      <w:hyperlink r:id="rId7">
        <w:r>
          <w:rPr>
            <w:rStyle w:val="Hyperlink"/>
            <w:rFonts w:eastAsia="Georgia" w:cs="Georgia"/>
            <w:color w:val="0563C1"/>
            <w:sz w:val="20"/>
            <w:szCs w:val="20"/>
            <w:u w:val="single"/>
          </w:rPr>
          <w:t>https://doi.org/10.1038/199947a0</w:t>
        </w:r>
      </w:hyperlink>
    </w:p>
  </w:footnote>
  <w:footnote w:id="12">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Vardiman, Larry, Andrew A. Snelling, and Eugene F. Chaffin, eds. Radioisotopes and the Age of the Earth, Vol. 2. Institute for Creation Research, 2005.</w:t>
      </w:r>
    </w:p>
  </w:footnote>
  <w:footnote w:id="13">
    <w:p>
      <w:pPr>
        <w:pStyle w:val="Normal"/>
        <w:bidi w:val="0"/>
        <w:jc w:val="start"/>
        <w:rPr/>
      </w:pPr>
      <w:r>
        <w:rPr>
          <w:rStyle w:val="FootnoteCharacters"/>
        </w:rPr>
        <w:footnoteRef/>
      </w:r>
      <w:r>
        <w:rPr>
          <w:rFonts w:eastAsia="Georgia" w:cs="Georgia"/>
          <w:sz w:val="20"/>
          <w:szCs w:val="20"/>
        </w:rPr>
        <w:t>Henke, Kevin R. "Young-Earth Creationist Helium Diffusion 'Dates.'" Talk.Origins Archive, 2010.</w:t>
      </w:r>
      <w:r>
        <w:rPr>
          <w:sz w:val="20"/>
          <w:szCs w:val="20"/>
        </w:rPr>
        <w:t xml:space="preserve"> </w:t>
      </w:r>
      <w:hyperlink r:id="rId8">
        <w:r>
          <w:rPr>
            <w:rStyle w:val="Hyperlink"/>
            <w:rFonts w:eastAsia="Georgia" w:cs="Georgia"/>
            <w:color w:val="0563C1"/>
            <w:sz w:val="20"/>
            <w:szCs w:val="20"/>
            <w:u w:val="single"/>
          </w:rPr>
          <w:t>https://www.talkorigins.org/faqs/helium/zircons.html</w:t>
        </w:r>
      </w:hyperlink>
    </w:p>
  </w:footnote>
  <w:footnote w:id="14">
    <w:p>
      <w:pPr>
        <w:pStyle w:val="Normal"/>
        <w:bidi w:val="0"/>
        <w:jc w:val="start"/>
        <w:rPr/>
      </w:pPr>
      <w:r>
        <w:rPr>
          <w:rStyle w:val="FootnoteCharacters"/>
        </w:rPr>
        <w:footnoteRef/>
      </w:r>
      <w:r>
        <w:rPr>
          <w:rFonts w:eastAsia="Georgia" w:cs="Georgia"/>
          <w:sz w:val="20"/>
          <w:szCs w:val="20"/>
        </w:rPr>
        <w:t>Thomas Aquinas. Summa Theologica, Prima Pars, Question 2, Article 3.</w:t>
      </w:r>
      <w:r>
        <w:rPr>
          <w:sz w:val="20"/>
          <w:szCs w:val="20"/>
        </w:rPr>
        <w:t xml:space="preserve"> </w:t>
      </w:r>
      <w:r>
        <w:fldChar w:fldCharType="begin"/>
      </w:r>
      <w:r>
        <w:rPr>
          <w:rStyle w:val="Hyperlink"/>
          <w:sz w:val="20"/>
          <w:u w:val="single"/>
          <w:szCs w:val="20"/>
          <w:rFonts w:eastAsia="Georgia" w:cs="Georgia"/>
          <w:color w:val="0563C1"/>
        </w:rPr>
        <w:instrText xml:space="preserve"> HYPERLINK "https://www.newadvent.org/summa/1002.htm" \l "article3"</w:instrText>
      </w:r>
      <w:r>
        <w:rPr>
          <w:rStyle w:val="Hyperlink"/>
          <w:sz w:val="20"/>
          <w:u w:val="single"/>
          <w:szCs w:val="20"/>
          <w:rFonts w:eastAsia="Georgia" w:cs="Georgia"/>
          <w:color w:val="0563C1"/>
        </w:rPr>
        <w:fldChar w:fldCharType="separate"/>
      </w:r>
      <w:r>
        <w:rPr>
          <w:rStyle w:val="Hyperlink"/>
          <w:rFonts w:eastAsia="Georgia" w:cs="Georgia"/>
          <w:color w:val="0563C1"/>
          <w:sz w:val="20"/>
          <w:szCs w:val="20"/>
          <w:u w:val="single"/>
        </w:rPr>
        <w:t>https://www.newadvent.org/summa/1002.htm#article3</w:t>
      </w:r>
      <w:r>
        <w:rPr>
          <w:rStyle w:val="Hyperlink"/>
          <w:sz w:val="20"/>
          <w:u w:val="single"/>
          <w:szCs w:val="20"/>
          <w:rFonts w:eastAsia="Georgia" w:cs="Georgia"/>
          <w:color w:val="0563C1"/>
        </w:rPr>
        <w:fldChar w:fldCharType="end"/>
      </w:r>
    </w:p>
  </w:footnote>
  <w:footnote w:id="15">
    <w:p>
      <w:pPr>
        <w:pStyle w:val="Normal"/>
        <w:bidi w:val="0"/>
        <w:jc w:val="start"/>
        <w:rPr/>
      </w:pPr>
      <w:r>
        <w:rPr>
          <w:rStyle w:val="FootnoteCharacters"/>
        </w:rPr>
        <w:footnoteRef/>
      </w:r>
      <w:r>
        <w:rPr>
          <w:rFonts w:eastAsia="Georgia" w:cs="Georgia"/>
          <w:sz w:val="20"/>
          <w:szCs w:val="20"/>
        </w:rPr>
        <w:t>First Vatican Council. Dei Filius: Dogmatic Constitution on the Catholic Faith. April 24, 1870.</w:t>
      </w:r>
      <w:r>
        <w:rPr>
          <w:sz w:val="20"/>
          <w:szCs w:val="20"/>
        </w:rPr>
        <w:t xml:space="preserve"> </w:t>
      </w:r>
      <w:hyperlink r:id="rId9">
        <w:r>
          <w:rPr>
            <w:rStyle w:val="Hyperlink"/>
            <w:rFonts w:eastAsia="Georgia" w:cs="Georgia"/>
            <w:color w:val="0563C1"/>
            <w:sz w:val="20"/>
            <w:szCs w:val="20"/>
            <w:u w:val="single"/>
          </w:rPr>
          <w:t>https://www.ewtn.com/catholicism/teachings/vatican-i-dogmatic-constitution-dei-filius-on-the-catholic-faith-241</w:t>
        </w:r>
      </w:hyperlink>
    </w:p>
  </w:footnote>
  <w:footnote w:id="16">
    <w:p>
      <w:pPr>
        <w:pStyle w:val="Normal"/>
        <w:bidi w:val="0"/>
        <w:jc w:val="start"/>
        <w:rPr/>
      </w:pPr>
      <w:r>
        <w:rPr>
          <w:rStyle w:val="FootnoteCharacters"/>
        </w:rPr>
        <w:footnoteRef/>
      </w:r>
      <w:r>
        <w:rPr>
          <w:rFonts w:eastAsia="Georgia" w:cs="Georgia"/>
          <w:sz w:val="20"/>
          <w:szCs w:val="20"/>
        </w:rPr>
        <w:t>Catechism of the Catholic Church, Second Edition. Vatican City, 1994.</w:t>
      </w:r>
      <w:r>
        <w:rPr>
          <w:sz w:val="20"/>
          <w:szCs w:val="20"/>
        </w:rPr>
        <w:t xml:space="preserve"> </w:t>
      </w:r>
      <w:hyperlink r:id="rId10">
        <w:r>
          <w:rPr>
            <w:rStyle w:val="Hyperlink"/>
            <w:rFonts w:eastAsia="Georgia" w:cs="Georgia"/>
            <w:color w:val="0563C1"/>
            <w:sz w:val="20"/>
            <w:szCs w:val="20"/>
            <w:u w:val="single"/>
          </w:rPr>
          <w:t>https://www.vatican.va/archive/ENG0015/_INDEX.HTM</w:t>
        </w:r>
      </w:hyperlink>
    </w:p>
  </w:footnote>
  <w:footnote w:id="17">
    <w:p>
      <w:pPr>
        <w:pStyle w:val="Normal"/>
        <w:bidi w:val="0"/>
        <w:jc w:val="start"/>
        <w:rPr/>
      </w:pPr>
      <w:r>
        <w:rPr>
          <w:rStyle w:val="FootnoteCharacters"/>
        </w:rPr>
        <w:footnoteRef/>
      </w:r>
      <w:r>
        <w:rPr>
          <w:rFonts w:eastAsia="Georgia" w:cs="Georgia"/>
          <w:sz w:val="20"/>
          <w:szCs w:val="20"/>
        </w:rPr>
        <w:t>Origen. De Principiis (On First Principles), Book IV. Circa 230 AD.</w:t>
      </w:r>
      <w:r>
        <w:rPr>
          <w:sz w:val="20"/>
          <w:szCs w:val="20"/>
        </w:rPr>
        <w:t xml:space="preserve"> </w:t>
      </w:r>
      <w:hyperlink r:id="rId11">
        <w:r>
          <w:rPr>
            <w:rStyle w:val="Hyperlink"/>
            <w:rFonts w:eastAsia="Georgia" w:cs="Georgia"/>
            <w:color w:val="0563C1"/>
            <w:sz w:val="20"/>
            <w:szCs w:val="20"/>
            <w:u w:val="single"/>
          </w:rPr>
          <w:t>https://www.newadvent.org/fathers/04124.htm</w:t>
        </w:r>
      </w:hyperlink>
    </w:p>
  </w:footnote>
  <w:footnote w:id="18">
    <w:p>
      <w:pPr>
        <w:pStyle w:val="Normal"/>
        <w:bidi w:val="0"/>
        <w:jc w:val="start"/>
        <w:rPr/>
      </w:pPr>
      <w:r>
        <w:rPr>
          <w:rStyle w:val="FootnoteCharacters"/>
        </w:rPr>
        <w:footnoteRef/>
      </w:r>
      <w:r>
        <w:rPr>
          <w:rFonts w:eastAsia="Georgia" w:cs="Georgia"/>
          <w:sz w:val="20"/>
          <w:szCs w:val="20"/>
        </w:rPr>
        <w:t>Clement of Alexandria. Stromata (Miscellanies), Book VI. Circa 200 AD.</w:t>
      </w:r>
      <w:r>
        <w:rPr>
          <w:sz w:val="20"/>
          <w:szCs w:val="20"/>
        </w:rPr>
        <w:t xml:space="preserve"> </w:t>
      </w:r>
      <w:hyperlink r:id="rId12">
        <w:r>
          <w:rPr>
            <w:rStyle w:val="Hyperlink"/>
            <w:rFonts w:eastAsia="Georgia" w:cs="Georgia"/>
            <w:color w:val="0563C1"/>
            <w:sz w:val="20"/>
            <w:szCs w:val="20"/>
            <w:u w:val="single"/>
          </w:rPr>
          <w:t>https://www.newadvent.org/fathers/02106.htm</w:t>
        </w:r>
      </w:hyperlink>
    </w:p>
  </w:footnote>
  <w:footnote w:id="19">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Hurter, Hugo von. Theologiae Dogmaticae Compendium. 3 vols. Innsbruck, 1876–78; 12th ed. 1909.</w:t>
      </w:r>
    </w:p>
  </w:footnote>
  <w:footnote w:id="20">
    <w:p>
      <w:pPr>
        <w:pStyle w:val="Normal"/>
        <w:bidi w:val="0"/>
        <w:jc w:val="start"/>
        <w:rPr/>
      </w:pPr>
      <w:r>
        <w:rPr>
          <w:rStyle w:val="FootnoteCharacters"/>
        </w:rPr>
        <w:footnoteRef/>
      </w:r>
      <w:r>
        <w:rPr>
          <w:rFonts w:eastAsia="Georgia" w:cs="Georgia"/>
          <w:sz w:val="20"/>
          <w:szCs w:val="20"/>
        </w:rPr>
        <w:t>Ott, Ludwig. Fundamentals of Catholic Dogma. Baronius Press, 2018 (orig. 1952).</w:t>
      </w:r>
      <w:r>
        <w:rPr>
          <w:sz w:val="20"/>
          <w:szCs w:val="20"/>
        </w:rPr>
        <w:t xml:space="preserve"> </w:t>
      </w:r>
      <w:hyperlink r:id="rId13">
        <w:r>
          <w:rPr>
            <w:rStyle w:val="Hyperlink"/>
            <w:rFonts w:eastAsia="Georgia" w:cs="Georgia"/>
            <w:color w:val="0563C1"/>
            <w:sz w:val="20"/>
            <w:szCs w:val="20"/>
            <w:u w:val="single"/>
          </w:rPr>
          <w:t>https://www.baronius.com/fundamentals-of-catholic-dogma.html</w:t>
        </w:r>
      </w:hyperlink>
    </w:p>
  </w:footnote>
  <w:footnote w:id="21">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Council of Vienne. Decrees on the Soul as the Form of the Body. 1312.</w:t>
      </w:r>
    </w:p>
  </w:footnote>
  <w:footnote w:id="22">
    <w:p>
      <w:pPr>
        <w:pStyle w:val="Normal"/>
        <w:bidi w:val="0"/>
        <w:jc w:val="start"/>
        <w:rPr/>
      </w:pPr>
      <w:r>
        <w:rPr>
          <w:rStyle w:val="FootnoteCharacters"/>
        </w:rPr>
        <w:footnoteRef/>
      </w:r>
      <w:r>
        <w:rPr>
          <w:rFonts w:eastAsia="Georgia" w:cs="Georgia"/>
          <w:sz w:val="20"/>
          <w:szCs w:val="20"/>
        </w:rPr>
        <w:t>Pius XII. Humani Generis. Encyclical Letter, August 12, 1950.</w:t>
      </w:r>
      <w:r>
        <w:rPr>
          <w:sz w:val="20"/>
          <w:szCs w:val="20"/>
        </w:rPr>
        <w:t xml:space="preserve"> </w:t>
      </w:r>
      <w:hyperlink r:id="rId14">
        <w:r>
          <w:rPr>
            <w:rStyle w:val="Hyperlink"/>
            <w:rFonts w:eastAsia="Georgia" w:cs="Georgia"/>
            <w:color w:val="0563C1"/>
            <w:sz w:val="20"/>
            <w:szCs w:val="20"/>
            <w:u w:val="single"/>
          </w:rPr>
          <w:t>https://www.vatican.va/content/pius-xii/en/encyclicals/documents/hf_p-xii_enc_12081950_humani-generis.html</w:t>
        </w:r>
      </w:hyperlink>
    </w:p>
  </w:footnote>
  <w:footnote w:id="23">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Pontifical Biblical Commission. Letter to Cardinal Suhard on the Pentateuch and Genesis 1–11. January 16, 1948.</w:t>
      </w:r>
    </w:p>
  </w:footnote>
  <w:footnote w:id="24">
    <w:p>
      <w:pPr>
        <w:pStyle w:val="Normal"/>
        <w:bidi w:val="0"/>
        <w:jc w:val="start"/>
        <w:rPr/>
      </w:pPr>
      <w:r>
        <w:rPr>
          <w:rStyle w:val="FootnoteCharacters"/>
        </w:rPr>
        <w:footnoteRef/>
      </w:r>
      <w:r>
        <w:rPr>
          <w:rFonts w:eastAsia="Georgia" w:cs="Georgia"/>
          <w:sz w:val="20"/>
          <w:szCs w:val="20"/>
        </w:rPr>
        <w:t>International Theological Commission. "Communion and Stewardship: Human Persons Created in the Image of God." 2004.</w:t>
      </w:r>
      <w:r>
        <w:rPr>
          <w:sz w:val="20"/>
          <w:szCs w:val="20"/>
        </w:rPr>
        <w:t xml:space="preserve"> </w:t>
      </w:r>
      <w:hyperlink r:id="rId15">
        <w:r>
          <w:rPr>
            <w:rStyle w:val="Hyperlink"/>
            <w:rFonts w:eastAsia="Georgia" w:cs="Georgia"/>
            <w:color w:val="0563C1"/>
            <w:sz w:val="20"/>
            <w:szCs w:val="20"/>
            <w:u w:val="single"/>
          </w:rPr>
          <w:t>https://www.vatican.va/roman_curia/congregations/cfaith/cti_documents/rc_con_cfaith_doc_20040723_communion-stewardship_en.html</w:t>
        </w:r>
      </w:hyperlink>
    </w:p>
  </w:footnote>
  <w:footnote w:id="25">
    <w:p>
      <w:pPr>
        <w:pStyle w:val="Normal"/>
        <w:bidi w:val="0"/>
        <w:jc w:val="start"/>
        <w:rPr/>
      </w:pPr>
      <w:r>
        <w:rPr>
          <w:rStyle w:val="FootnoteCharacters"/>
        </w:rPr>
        <w:footnoteRef/>
      </w:r>
      <w:r>
        <w:rPr>
          <w:rFonts w:eastAsia="Georgia" w:cs="Georgia"/>
          <w:sz w:val="20"/>
          <w:szCs w:val="20"/>
        </w:rPr>
        <w:t>Swamidass, S. Joshua. The Genealogical Adam and Eve. IVP Academic, 2019.</w:t>
      </w:r>
      <w:r>
        <w:rPr>
          <w:sz w:val="20"/>
          <w:szCs w:val="20"/>
        </w:rPr>
        <w:t xml:space="preserve"> </w:t>
      </w:r>
      <w:hyperlink r:id="rId16">
        <w:r>
          <w:rPr>
            <w:rStyle w:val="Hyperlink"/>
            <w:rFonts w:eastAsia="Georgia" w:cs="Georgia"/>
            <w:color w:val="0563C1"/>
            <w:sz w:val="20"/>
            <w:szCs w:val="20"/>
            <w:u w:val="single"/>
          </w:rPr>
          <w:t>https://www.ivpress.com/the-genealogical-adam-and-eve</w:t>
        </w:r>
      </w:hyperlink>
    </w:p>
  </w:footnote>
  <w:footnote w:id="26">
    <w:p>
      <w:pPr>
        <w:pStyle w:val="Normal"/>
        <w:bidi w:val="0"/>
        <w:jc w:val="start"/>
        <w:rPr/>
      </w:pPr>
      <w:r>
        <w:rPr>
          <w:rStyle w:val="FootnoteCharacters"/>
        </w:rPr>
        <w:footnoteRef/>
      </w:r>
      <w:r>
        <w:rPr>
          <w:rFonts w:eastAsia="Georgia" w:cs="Georgia"/>
          <w:sz w:val="20"/>
          <w:szCs w:val="20"/>
        </w:rPr>
        <w:t>Kemp, Kenneth W. "Science, Theology, and Monogenesis." American Catholic Philosophical Quarterly 85, no. 2 (2011): 217–236.</w:t>
      </w:r>
      <w:r>
        <w:rPr>
          <w:sz w:val="20"/>
          <w:szCs w:val="20"/>
        </w:rPr>
        <w:t xml:space="preserve"> </w:t>
      </w:r>
      <w:hyperlink r:id="rId17">
        <w:r>
          <w:rPr>
            <w:rStyle w:val="Hyperlink"/>
            <w:rFonts w:eastAsia="Georgia" w:cs="Georgia"/>
            <w:color w:val="0563C1"/>
            <w:sz w:val="20"/>
            <w:szCs w:val="20"/>
            <w:u w:val="single"/>
          </w:rPr>
          <w:t>https://doi.org/10.5840/acpq201185213</w:t>
        </w:r>
      </w:hyperlink>
    </w:p>
  </w:footnote>
  <w:footnote w:id="27">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Craig, William Lane. In Quest of the Historical Adam. Eerdmans, 2021.</w:t>
      </w:r>
    </w:p>
  </w:footnote>
  <w:footnote w:id="28">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Bonnette, Dennis. "Time to Abandon the Genesis Story?" Homiletic &amp; Pastoral Review, July 2014.</w:t>
      </w:r>
    </w:p>
  </w:footnote>
  <w:footnote w:id="29">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Augros, Robert, and George Stanciu. The New Biology: Discovering the Wisdom in Nature. Shambhala, 1987.</w:t>
      </w:r>
    </w:p>
  </w:footnote>
  <w:footnote w:id="30">
    <w:p>
      <w:pPr>
        <w:pStyle w:val="Normal"/>
        <w:bidi w:val="0"/>
        <w:jc w:val="start"/>
        <w:rPr/>
      </w:pPr>
      <w:r>
        <w:rPr>
          <w:rStyle w:val="FootnoteCharacters"/>
        </w:rPr>
        <w:footnoteRef/>
      </w:r>
      <w:r>
        <w:rPr>
          <w:rFonts w:eastAsia="Georgia" w:cs="Georgia"/>
          <w:sz w:val="20"/>
          <w:szCs w:val="20"/>
        </w:rPr>
        <w:t>Pian, E., et al. "Spectroscopic identification of r-process nucleosynthesis in a double neutron-star merger." Nature 551 (2017): 67–70.</w:t>
      </w:r>
      <w:r>
        <w:rPr>
          <w:sz w:val="20"/>
          <w:szCs w:val="20"/>
        </w:rPr>
        <w:t xml:space="preserve"> </w:t>
      </w:r>
      <w:hyperlink r:id="rId18">
        <w:r>
          <w:rPr>
            <w:rStyle w:val="Hyperlink"/>
            <w:rFonts w:eastAsia="Georgia" w:cs="Georgia"/>
            <w:color w:val="0563C1"/>
            <w:sz w:val="20"/>
            <w:szCs w:val="20"/>
            <w:u w:val="single"/>
          </w:rPr>
          <w:t>https://doi.org/10.1038/nature24298</w:t>
        </w:r>
      </w:hyperlink>
    </w:p>
  </w:footnote>
  <w:footnote w:id="31">
    <w:p>
      <w:pPr>
        <w:pStyle w:val="Normal"/>
        <w:bidi w:val="0"/>
        <w:jc w:val="start"/>
        <w:rPr/>
      </w:pPr>
      <w:r>
        <w:rPr>
          <w:rStyle w:val="FootnoteCharacters"/>
        </w:rPr>
        <w:footnoteRef/>
      </w:r>
      <w:r>
        <w:rPr>
          <w:rFonts w:eastAsia="Georgia" w:cs="Georgia"/>
          <w:sz w:val="20"/>
          <w:szCs w:val="20"/>
        </w:rPr>
        <w:t>Levan, A.J., et al. "Heavy-element production in a compact object merger observed by JWST." Nature 626 (2024): 737–741.</w:t>
      </w:r>
      <w:r>
        <w:rPr>
          <w:sz w:val="20"/>
          <w:szCs w:val="20"/>
        </w:rPr>
        <w:t xml:space="preserve"> </w:t>
      </w:r>
      <w:hyperlink r:id="rId19">
        <w:r>
          <w:rPr>
            <w:rStyle w:val="Hyperlink"/>
            <w:rFonts w:eastAsia="Georgia" w:cs="Georgia"/>
            <w:color w:val="0563C1"/>
            <w:sz w:val="20"/>
            <w:szCs w:val="20"/>
            <w:u w:val="single"/>
          </w:rPr>
          <w:t>https://doi.org/10.1038/s41586-023-06759-1</w:t>
        </w:r>
      </w:hyperlink>
    </w:p>
  </w:footnote>
  <w:footnote w:id="32">
    <w:p>
      <w:pPr>
        <w:pStyle w:val="Normal"/>
        <w:bidi w:val="0"/>
        <w:jc w:val="start"/>
        <w:rPr/>
      </w:pPr>
      <w:r>
        <w:rPr>
          <w:rStyle w:val="FootnoteCharacters"/>
        </w:rPr>
        <w:footnoteRef/>
      </w:r>
      <w:r>
        <w:rPr>
          <w:rFonts w:eastAsia="Georgia" w:cs="Georgia"/>
          <w:sz w:val="20"/>
          <w:szCs w:val="20"/>
        </w:rPr>
        <w:t>Hu, Haipeng, et al. "Genomic Inference of a Severe Human Bottleneck During the Early to Middle Pleistocene Transition." Science 381 (2023): 979–984.</w:t>
      </w:r>
      <w:r>
        <w:rPr>
          <w:sz w:val="20"/>
          <w:szCs w:val="20"/>
        </w:rPr>
        <w:t xml:space="preserve"> </w:t>
      </w:r>
      <w:hyperlink r:id="rId20">
        <w:r>
          <w:rPr>
            <w:rStyle w:val="Hyperlink"/>
            <w:rFonts w:eastAsia="Georgia" w:cs="Georgia"/>
            <w:color w:val="0563C1"/>
            <w:sz w:val="20"/>
            <w:szCs w:val="20"/>
            <w:u w:val="single"/>
          </w:rPr>
          <w:t>https://doi.org/10.1126/science.abq7487</w:t>
        </w:r>
      </w:hyperlink>
    </w:p>
  </w:footnote>
  <w:footnote w:id="33">
    <w:p>
      <w:pPr>
        <w:pStyle w:val="Normal"/>
        <w:bidi w:val="0"/>
        <w:jc w:val="start"/>
        <w:rPr/>
      </w:pPr>
      <w:r>
        <w:rPr>
          <w:rStyle w:val="FootnoteCharacters"/>
        </w:rPr>
        <w:footnoteRef/>
      </w:r>
      <w:r>
        <w:rPr>
          <w:rFonts w:eastAsia="Georgia" w:cs="Georgia"/>
          <w:sz w:val="20"/>
          <w:szCs w:val="20"/>
        </w:rPr>
        <w:t>Smithsonian Institution. "Homo neanderthalensis." Human Origins Program, 2024.</w:t>
      </w:r>
      <w:r>
        <w:rPr>
          <w:sz w:val="20"/>
          <w:szCs w:val="20"/>
        </w:rPr>
        <w:t xml:space="preserve"> </w:t>
      </w:r>
      <w:hyperlink r:id="rId21">
        <w:r>
          <w:rPr>
            <w:rStyle w:val="Hyperlink"/>
            <w:rFonts w:eastAsia="Georgia" w:cs="Georgia"/>
            <w:color w:val="0563C1"/>
            <w:sz w:val="20"/>
            <w:szCs w:val="20"/>
            <w:u w:val="single"/>
          </w:rPr>
          <w:t>https://humanorigins.si.edu/evidence/human-fossils/species/homo-neanderthalensis</w:t>
        </w:r>
      </w:hyperlink>
    </w:p>
  </w:footnote>
  <w:footnote w:id="34">
    <w:p>
      <w:pPr>
        <w:pStyle w:val="Normal"/>
        <w:bidi w:val="0"/>
        <w:jc w:val="start"/>
        <w:rPr/>
      </w:pPr>
      <w:r>
        <w:rPr>
          <w:rStyle w:val="FootnoteCharacters"/>
        </w:rPr>
        <w:footnoteRef/>
      </w:r>
      <w:r>
        <w:rPr>
          <w:rFonts w:eastAsia="Georgia" w:cs="Georgia"/>
          <w:sz w:val="20"/>
          <w:szCs w:val="20"/>
        </w:rPr>
        <w:t>Hoffmann, D.L., et al. "U-Th Dating of Carbonate Crusts Reveals Neandertal Origin of Iberian Cave Art." Science 359 (2018): 912–915.</w:t>
      </w:r>
      <w:r>
        <w:rPr>
          <w:sz w:val="20"/>
          <w:szCs w:val="20"/>
        </w:rPr>
        <w:t xml:space="preserve"> </w:t>
      </w:r>
      <w:hyperlink r:id="rId22">
        <w:r>
          <w:rPr>
            <w:rStyle w:val="Hyperlink"/>
            <w:rFonts w:eastAsia="Georgia" w:cs="Georgia"/>
            <w:color w:val="0563C1"/>
            <w:sz w:val="20"/>
            <w:szCs w:val="20"/>
            <w:u w:val="single"/>
          </w:rPr>
          <w:t>https://doi.org/10.1126/science.aap7778</w:t>
        </w:r>
      </w:hyperlink>
    </w:p>
  </w:footnote>
  <w:footnote w:id="35">
    <w:p>
      <w:pPr>
        <w:pStyle w:val="Normal"/>
        <w:bidi w:val="0"/>
        <w:jc w:val="start"/>
        <w:rPr/>
      </w:pPr>
      <w:r>
        <w:rPr>
          <w:rStyle w:val="FootnoteCharacters"/>
        </w:rPr>
        <w:footnoteRef/>
      </w:r>
      <w:r>
        <w:rPr>
          <w:rFonts w:eastAsia="Georgia" w:cs="Georgia"/>
          <w:sz w:val="20"/>
          <w:szCs w:val="20"/>
        </w:rPr>
        <w:t>Second Vatican Council. Gaudium et Spes. December 7, 1965.</w:t>
      </w:r>
      <w:r>
        <w:rPr>
          <w:sz w:val="20"/>
          <w:szCs w:val="20"/>
        </w:rPr>
        <w:t xml:space="preserve"> </w:t>
      </w:r>
      <w:hyperlink r:id="rId23">
        <w:r>
          <w:rPr>
            <w:rStyle w:val="Hyperlink"/>
            <w:rFonts w:eastAsia="Georgia" w:cs="Georgia"/>
            <w:color w:val="0563C1"/>
            <w:sz w:val="20"/>
            <w:szCs w:val="20"/>
            <w:u w:val="single"/>
          </w:rPr>
          <w:t>https://www.vatican.va/archive/hist_councils/ii_vatican_council/documents/vat-ii_const_19651207_gaudium-et-spes_en.html</w:t>
        </w:r>
      </w:hyperlink>
    </w:p>
  </w:footnote>
  <w:footnote w:id="36">
    <w:p>
      <w:pPr>
        <w:pStyle w:val="Normal"/>
        <w:bidi w:val="0"/>
        <w:jc w:val="start"/>
        <w:rPr/>
      </w:pPr>
      <w:r>
        <w:rPr>
          <w:rStyle w:val="FootnoteCharacters"/>
        </w:rPr>
        <w:footnoteRef/>
      </w:r>
      <w:r>
        <w:rPr>
          <w:rFonts w:eastAsia="Georgia" w:cs="Georgia"/>
          <w:sz w:val="20"/>
          <w:szCs w:val="20"/>
        </w:rPr>
        <w:t>Society of Catholic Scientists. "Q6: How Do Adam and Eve Fit in with Evolution and the Science of Human Origins?" 2022.</w:t>
      </w:r>
      <w:r>
        <w:rPr>
          <w:sz w:val="20"/>
          <w:szCs w:val="20"/>
        </w:rPr>
        <w:t xml:space="preserve"> </w:t>
      </w:r>
      <w:hyperlink r:id="rId24">
        <w:r>
          <w:rPr>
            <w:rStyle w:val="Hyperlink"/>
            <w:rFonts w:eastAsia="Georgia" w:cs="Georgia"/>
            <w:color w:val="0563C1"/>
            <w:sz w:val="20"/>
            <w:szCs w:val="20"/>
            <w:u w:val="single"/>
          </w:rPr>
          <w:t>https://www.catholicscientists.org/common-questions/adam-and-eve</w:t>
        </w:r>
      </w:hyperlink>
    </w:p>
  </w:footnote>
  <w:footnote w:id="37">
    <w:p>
      <w:pPr>
        <w:pStyle w:val="Normal"/>
        <w:bidi w:val="0"/>
        <w:jc w:val="start"/>
        <w:rPr/>
      </w:pPr>
      <w:r>
        <w:rPr>
          <w:rStyle w:val="FootnoteCharacters"/>
        </w:rPr>
        <w:footnoteRef/>
      </w:r>
      <w:r>
        <w:rPr>
          <w:rFonts w:eastAsia="Georgia" w:cs="Georgia"/>
          <w:sz w:val="20"/>
          <w:szCs w:val="20"/>
        </w:rPr>
        <w:t>Maas, Anthony. "Deluge." In The Catholic Encyclopedia, Vol. 4. Robert Appleton Company, 1908.</w:t>
      </w:r>
      <w:r>
        <w:rPr>
          <w:sz w:val="20"/>
          <w:szCs w:val="20"/>
        </w:rPr>
        <w:t xml:space="preserve"> </w:t>
      </w:r>
      <w:hyperlink r:id="rId25">
        <w:r>
          <w:rPr>
            <w:rStyle w:val="Hyperlink"/>
            <w:rFonts w:eastAsia="Georgia" w:cs="Georgia"/>
            <w:color w:val="0563C1"/>
            <w:sz w:val="20"/>
            <w:szCs w:val="20"/>
            <w:u w:val="single"/>
          </w:rPr>
          <w:t>https://www.newadvent.org/cathen/04702a.htm</w:t>
        </w:r>
      </w:hyperlink>
    </w:p>
  </w:footnote>
  <w:footnote w:id="38">
    <w:p>
      <w:pPr>
        <w:pStyle w:val="Normal"/>
        <w:bidi w:val="0"/>
        <w:jc w:val="start"/>
        <w:rPr/>
      </w:pPr>
      <w:r>
        <w:rPr>
          <w:rStyle w:val="FootnoteCharacters"/>
        </w:rPr>
        <w:footnoteRef/>
      </w:r>
      <w:r>
        <w:rPr>
          <w:rFonts w:eastAsia="Georgia" w:cs="Georgia"/>
          <w:sz w:val="20"/>
          <w:szCs w:val="20"/>
        </w:rPr>
        <w:t>Frazer, James George. Folklore in the Old Testament. Macmillan, 1918.</w:t>
      </w:r>
      <w:r>
        <w:rPr>
          <w:sz w:val="20"/>
          <w:szCs w:val="20"/>
        </w:rPr>
        <w:t xml:space="preserve"> </w:t>
      </w:r>
      <w:hyperlink r:id="rId26">
        <w:r>
          <w:rPr>
            <w:rStyle w:val="Hyperlink"/>
            <w:rFonts w:eastAsia="Georgia" w:cs="Georgia"/>
            <w:color w:val="0563C1"/>
            <w:sz w:val="20"/>
            <w:szCs w:val="20"/>
            <w:u w:val="single"/>
          </w:rPr>
          <w:t>https://archive.org/details/folkloreinoldtes01fraz_1</w:t>
        </w:r>
      </w:hyperlink>
    </w:p>
  </w:footnote>
  <w:footnote w:id="39">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Rooth, Anna Birgitta. "The Creation Myths of the North American Indians." Anthropos 52 (1957): 497–508.</w:t>
      </w:r>
    </w:p>
  </w:footnote>
  <w:footnote w:id="40">
    <w:p>
      <w:pPr>
        <w:pStyle w:val="Normal"/>
        <w:bidi w:val="0"/>
        <w:jc w:val="start"/>
        <w:rPr/>
      </w:pPr>
      <w:r>
        <w:rPr>
          <w:rStyle w:val="FootnoteCharacters"/>
        </w:rPr>
        <w:footnoteRef/>
      </w:r>
      <w:r>
        <w:rPr>
          <w:rFonts w:eastAsia="Georgia" w:cs="Georgia"/>
          <w:sz w:val="20"/>
          <w:szCs w:val="20"/>
        </w:rPr>
        <w:t>Nunn, Patrick D., and Nicholas J. Reid. "Aboriginal Memories of Inundation of the Australian Coast." Australian Geographer 47, no. 1 (2016): 11–47.</w:t>
      </w:r>
      <w:r>
        <w:rPr>
          <w:sz w:val="20"/>
          <w:szCs w:val="20"/>
        </w:rPr>
        <w:t xml:space="preserve"> </w:t>
      </w:r>
      <w:hyperlink r:id="rId27">
        <w:r>
          <w:rPr>
            <w:rStyle w:val="Hyperlink"/>
            <w:rFonts w:eastAsia="Georgia" w:cs="Georgia"/>
            <w:color w:val="0563C1"/>
            <w:sz w:val="20"/>
            <w:szCs w:val="20"/>
            <w:u w:val="single"/>
          </w:rPr>
          <w:t>https://doi.org/10.1080/00049182.2015.1077539</w:t>
        </w:r>
      </w:hyperlink>
    </w:p>
  </w:footnote>
  <w:footnote w:id="41">
    <w:p>
      <w:pPr>
        <w:pStyle w:val="Normal"/>
        <w:bidi w:val="0"/>
        <w:jc w:val="start"/>
        <w:rPr>
          <w:rFonts w:ascii="Georgia" w:hAnsi="Georgia" w:eastAsia="Georgia" w:cs="Georgia"/>
          <w:sz w:val="20"/>
          <w:szCs w:val="20"/>
        </w:rPr>
      </w:pPr>
      <w:r>
        <w:rPr>
          <w:rStyle w:val="FootnoteCharacters"/>
        </w:rPr>
        <w:footnoteRef/>
      </w:r>
      <w:r>
        <w:rPr>
          <w:rFonts w:eastAsia="Georgia" w:cs="Georgia"/>
          <w:sz w:val="20"/>
          <w:szCs w:val="20"/>
        </w:rPr>
        <w:t>Masse, W. Bruce. "The Archaeology and Anthropology of Quaternary Period Cosmic Impact." Springer, 2007.</w:t>
      </w:r>
    </w:p>
  </w:footnote>
  <w:footnote w:id="42">
    <w:p>
      <w:pPr>
        <w:pStyle w:val="Normal"/>
        <w:bidi w:val="0"/>
        <w:jc w:val="start"/>
        <w:rPr/>
      </w:pPr>
      <w:r>
        <w:rPr>
          <w:rStyle w:val="FootnoteCharacters"/>
        </w:rPr>
        <w:footnoteRef/>
      </w:r>
      <w:r>
        <w:rPr>
          <w:rFonts w:eastAsia="Georgia" w:cs="Georgia"/>
          <w:sz w:val="20"/>
          <w:szCs w:val="20"/>
        </w:rPr>
        <w:t>Bergström, Tomas F., et al. "Recent Origin of HLA-DRB1 Alleles and Implications for Human Evolution." Nature Genetics 18 (1998): 237–242.</w:t>
      </w:r>
      <w:r>
        <w:rPr>
          <w:sz w:val="20"/>
          <w:szCs w:val="20"/>
        </w:rPr>
        <w:t xml:space="preserve"> </w:t>
      </w:r>
      <w:hyperlink r:id="rId28">
        <w:r>
          <w:rPr>
            <w:rStyle w:val="Hyperlink"/>
            <w:rFonts w:eastAsia="Georgia" w:cs="Georgia"/>
            <w:color w:val="0563C1"/>
            <w:sz w:val="20"/>
            <w:szCs w:val="20"/>
            <w:u w:val="single"/>
          </w:rPr>
          <w:t>https://www.nature.com/articles/ng0398-237</w:t>
        </w:r>
      </w:hyperlink>
    </w:p>
  </w:footnote>
  <w:footnote w:id="43">
    <w:p>
      <w:pPr>
        <w:pStyle w:val="Normal"/>
        <w:bidi w:val="0"/>
        <w:jc w:val="start"/>
        <w:rPr/>
      </w:pPr>
      <w:r>
        <w:rPr>
          <w:rStyle w:val="FootnoteCharacters"/>
        </w:rPr>
        <w:footnoteRef/>
      </w:r>
      <w:r>
        <w:rPr>
          <w:rFonts w:eastAsia="Georgia" w:cs="Georgia"/>
          <w:sz w:val="20"/>
          <w:szCs w:val="20"/>
        </w:rPr>
        <w:t>von Salomé, Jenny, Ulf Gyllensten, and Tomas F. Bergström. "Full-Length Sequence Analysis of the HLA-DRB1 Locus Suggests That the Ancestral DRB1 Alleles Are Recent." Immunogenetics 59 (2007): 261–271.</w:t>
      </w:r>
      <w:r>
        <w:rPr>
          <w:sz w:val="20"/>
          <w:szCs w:val="20"/>
        </w:rPr>
        <w:t xml:space="preserve"> </w:t>
      </w:r>
      <w:hyperlink r:id="rId29">
        <w:r>
          <w:rPr>
            <w:rStyle w:val="Hyperlink"/>
            <w:rFonts w:eastAsia="Georgia" w:cs="Georgia"/>
            <w:color w:val="0563C1"/>
            <w:sz w:val="20"/>
            <w:szCs w:val="20"/>
            <w:u w:val="single"/>
          </w:rPr>
          <w:t>https://link.springer.com/article/10.1007/s00251-007-0196-8</w:t>
        </w:r>
      </w:hyperlink>
    </w:p>
  </w:footnote>
  <w:footnote w:id="44">
    <w:p>
      <w:pPr>
        <w:pStyle w:val="Normal"/>
        <w:bidi w:val="0"/>
        <w:jc w:val="start"/>
        <w:rPr/>
      </w:pPr>
      <w:r>
        <w:rPr>
          <w:rStyle w:val="FootnoteCharacters"/>
        </w:rPr>
        <w:footnoteRef/>
      </w:r>
      <w:r>
        <w:rPr>
          <w:rFonts w:eastAsia="Georgia" w:cs="Georgia"/>
          <w:sz w:val="20"/>
          <w:szCs w:val="20"/>
        </w:rPr>
        <w:t>Takahata, Naoyuki. "A Simple Genealogical Structure of Strongly Balanced Allelic Lines and Trans-Species Evolution of Polymorphism." Proceedings of the National Academy of Sciences 87 (1990): 2419–2423.</w:t>
      </w:r>
      <w:r>
        <w:rPr>
          <w:sz w:val="20"/>
          <w:szCs w:val="20"/>
        </w:rPr>
        <w:t xml:space="preserve"> </w:t>
      </w:r>
      <w:hyperlink r:id="rId30">
        <w:r>
          <w:rPr>
            <w:rStyle w:val="Hyperlink"/>
            <w:rFonts w:eastAsia="Georgia" w:cs="Georgia"/>
            <w:color w:val="0563C1"/>
            <w:sz w:val="20"/>
            <w:szCs w:val="20"/>
            <w:u w:val="single"/>
          </w:rPr>
          <w:t>https://pmc.ncbi.nlm.nih.gov/articles/PMC53700/</w:t>
        </w:r>
      </w:hyperlink>
    </w:p>
  </w:footnote>
  <w:footnote w:id="45">
    <w:p>
      <w:pPr>
        <w:pStyle w:val="Normal"/>
        <w:bidi w:val="0"/>
        <w:jc w:val="start"/>
        <w:rPr/>
      </w:pPr>
      <w:r>
        <w:rPr>
          <w:rStyle w:val="FootnoteCharacters"/>
        </w:rPr>
        <w:footnoteRef/>
      </w:r>
      <w:r>
        <w:rPr>
          <w:rFonts w:eastAsia="Georgia" w:cs="Georgia"/>
          <w:sz w:val="20"/>
          <w:szCs w:val="20"/>
        </w:rPr>
        <w:t>Slatkin, Montgomery. "Joint Estimation of Selection Intensity and Mutation Rate Under Balancing Selection with Applications to HLA." Genetics 221, no. 2 (2022): iyac058.</w:t>
      </w:r>
      <w:r>
        <w:rPr>
          <w:sz w:val="20"/>
          <w:szCs w:val="20"/>
        </w:rPr>
        <w:t xml:space="preserve"> </w:t>
      </w:r>
      <w:hyperlink r:id="rId31">
        <w:r>
          <w:rPr>
            <w:rStyle w:val="Hyperlink"/>
            <w:rFonts w:eastAsia="Georgia" w:cs="Georgia"/>
            <w:color w:val="0563C1"/>
            <w:sz w:val="20"/>
            <w:szCs w:val="20"/>
            <w:u w:val="single"/>
          </w:rPr>
          <w:t>https://academic.oup.com/genetics/article/221/2/iyac058/6569836</w:t>
        </w:r>
      </w:hyperlink>
    </w:p>
  </w:footnote>
  <w:footnote w:id="46">
    <w:p>
      <w:pPr>
        <w:pStyle w:val="Normal"/>
        <w:bidi w:val="0"/>
        <w:jc w:val="start"/>
        <w:rPr/>
      </w:pPr>
      <w:r>
        <w:rPr>
          <w:rStyle w:val="FootnoteCharacters"/>
        </w:rPr>
        <w:footnoteRef/>
      </w:r>
      <w:r>
        <w:rPr>
          <w:rFonts w:eastAsia="Georgia" w:cs="Georgia"/>
          <w:sz w:val="20"/>
          <w:szCs w:val="20"/>
        </w:rPr>
        <w:t>Fortier, Alyssa L., and Jonathan K. Pritchard. "Ancient Trans-Species Polymorphism at the Major Histocompatibility Complex in Primates." eLife 14 (2025): e103547.</w:t>
      </w:r>
      <w:r>
        <w:rPr>
          <w:sz w:val="20"/>
          <w:szCs w:val="20"/>
        </w:rPr>
        <w:t xml:space="preserve"> </w:t>
      </w:r>
      <w:hyperlink r:id="rId32">
        <w:r>
          <w:rPr>
            <w:rStyle w:val="Hyperlink"/>
            <w:rFonts w:eastAsia="Georgia" w:cs="Georgia"/>
            <w:color w:val="0563C1"/>
            <w:sz w:val="20"/>
            <w:szCs w:val="20"/>
            <w:u w:val="single"/>
          </w:rPr>
          <w:t>https://elifesciences.org/articles/103547</w:t>
        </w:r>
      </w:hyperlink>
    </w:p>
  </w:footnote>
  <w:footnote w:id="47">
    <w:p>
      <w:pPr>
        <w:pStyle w:val="Normal"/>
        <w:bidi w:val="0"/>
        <w:jc w:val="start"/>
        <w:rPr/>
      </w:pPr>
      <w:r>
        <w:rPr>
          <w:rStyle w:val="FootnoteCharacters"/>
        </w:rPr>
        <w:footnoteRef/>
      </w:r>
      <w:r>
        <w:rPr>
          <w:rFonts w:eastAsia="Georgia" w:cs="Georgia"/>
          <w:sz w:val="20"/>
          <w:szCs w:val="20"/>
        </w:rPr>
        <w:t>Fortier, Alyssa L., and Jonathan K. Pritchard. "The Primate Major Histocompatibility Complex as a Case Study of Gene Family Evolution." eLife 14 (2025): e103545.</w:t>
      </w:r>
      <w:r>
        <w:rPr>
          <w:sz w:val="20"/>
          <w:szCs w:val="20"/>
        </w:rPr>
        <w:t xml:space="preserve"> </w:t>
      </w:r>
      <w:hyperlink r:id="rId33">
        <w:r>
          <w:rPr>
            <w:rStyle w:val="Hyperlink"/>
            <w:rFonts w:eastAsia="Georgia" w:cs="Georgia"/>
            <w:color w:val="0563C1"/>
            <w:sz w:val="20"/>
            <w:szCs w:val="20"/>
            <w:u w:val="single"/>
          </w:rPr>
          <w:t>https://elifesciences.org/articles/103545</w:t>
        </w:r>
      </w:hyperlink>
    </w:p>
  </w:footnote>
  <w:footnote w:id="48">
    <w:p>
      <w:pPr>
        <w:pStyle w:val="Normal"/>
        <w:bidi w:val="0"/>
        <w:jc w:val="start"/>
        <w:rPr/>
      </w:pPr>
      <w:r>
        <w:rPr>
          <w:rStyle w:val="FootnoteCharacters"/>
        </w:rPr>
        <w:footnoteRef/>
      </w:r>
      <w:r>
        <w:rPr>
          <w:rFonts w:eastAsia="Georgia" w:cs="Georgia"/>
          <w:sz w:val="20"/>
          <w:szCs w:val="20"/>
        </w:rPr>
        <w:t>Swamidass, S. Joshua. "The Misunderstood Bottleneck." Peaceful Science, 2018.</w:t>
      </w:r>
      <w:r>
        <w:rPr>
          <w:sz w:val="20"/>
          <w:szCs w:val="20"/>
        </w:rPr>
        <w:t xml:space="preserve"> </w:t>
      </w:r>
      <w:hyperlink r:id="rId34">
        <w:r>
          <w:rPr>
            <w:rStyle w:val="Hyperlink"/>
            <w:rFonts w:eastAsia="Georgia" w:cs="Georgia"/>
            <w:color w:val="0563C1"/>
            <w:sz w:val="20"/>
            <w:szCs w:val="20"/>
            <w:u w:val="single"/>
          </w:rPr>
          <w:t>https://peacefulscience.org/prints/misunderstood-bottleneck/</w:t>
        </w:r>
      </w:hyperlink>
    </w:p>
  </w:footnote>
  <w:footnote w:id="49">
    <w:p>
      <w:pPr>
        <w:pStyle w:val="Normal"/>
        <w:bidi w:val="0"/>
        <w:jc w:val="start"/>
        <w:rPr/>
      </w:pPr>
      <w:r>
        <w:rPr>
          <w:rStyle w:val="FootnoteCharacters"/>
        </w:rPr>
        <w:footnoteRef/>
      </w:r>
      <w:r>
        <w:rPr>
          <w:rFonts w:eastAsia="Georgia" w:cs="Georgia"/>
          <w:sz w:val="20"/>
          <w:szCs w:val="20"/>
        </w:rPr>
        <w:t>Hössjer, Ola, and Ann Gauger. "A Single-Couple Human Origin Is Possible." BIO-Complexity 2019, no. 1 (2019): 1–20.</w:t>
      </w:r>
      <w:r>
        <w:rPr>
          <w:sz w:val="20"/>
          <w:szCs w:val="20"/>
        </w:rPr>
        <w:t xml:space="preserve"> </w:t>
      </w:r>
      <w:hyperlink r:id="rId35">
        <w:r>
          <w:rPr>
            <w:rStyle w:val="Hyperlink"/>
            <w:rFonts w:eastAsia="Georgia" w:cs="Georgia"/>
            <w:color w:val="0563C1"/>
            <w:sz w:val="20"/>
            <w:szCs w:val="20"/>
            <w:u w:val="single"/>
          </w:rPr>
          <w:t>https://bio-complexity.org/ojs/index.php/main/article/viewFile/BIO-C.2019.1/BIO-C.2019.1</w:t>
        </w:r>
      </w:hyperlink>
    </w:p>
  </w:footnote>
  <w:footnote w:id="50">
    <w:p>
      <w:pPr>
        <w:pStyle w:val="Normal"/>
        <w:bidi w:val="0"/>
        <w:jc w:val="start"/>
        <w:rPr/>
      </w:pPr>
      <w:r>
        <w:rPr>
          <w:rStyle w:val="FootnoteCharacters"/>
        </w:rPr>
        <w:footnoteRef/>
      </w:r>
      <w:r>
        <w:rPr>
          <w:rFonts w:eastAsia="Georgia" w:cs="Georgia"/>
          <w:sz w:val="20"/>
          <w:szCs w:val="20"/>
        </w:rPr>
        <w:t>Chalmers, David. "Facing Up to the Problem of Consciousness." Journal of Consciousness Studies 2 (1995): 200–219.</w:t>
      </w:r>
      <w:r>
        <w:rPr>
          <w:sz w:val="20"/>
          <w:szCs w:val="20"/>
        </w:rPr>
        <w:t xml:space="preserve"> </w:t>
      </w:r>
      <w:hyperlink r:id="rId36">
        <w:r>
          <w:rPr>
            <w:rStyle w:val="Hyperlink"/>
            <w:rFonts w:eastAsia="Georgia" w:cs="Georgia"/>
            <w:color w:val="0563C1"/>
            <w:sz w:val="20"/>
            <w:szCs w:val="20"/>
            <w:u w:val="single"/>
          </w:rPr>
          <w:t>https://consc.net/papers/facing.html</w:t>
        </w:r>
      </w:hyperlink>
    </w:p>
  </w:footnote>
  <w:footnote w:id="51">
    <w:p>
      <w:pPr>
        <w:pStyle w:val="FootnoteText"/>
        <w:bidi w:val="0"/>
        <w:spacing w:lineRule="auto" w:line="240" w:before="0" w:after="0"/>
        <w:jc w:val="start"/>
        <w:rPr/>
      </w:pPr>
      <w:r>
        <w:rPr>
          <w:rStyle w:val="FootnoteCharacters"/>
        </w:rPr>
        <w:footnoteRef/>
      </w:r>
      <w:r>
        <w:rPr/>
      </w:r>
    </w:p>
  </w:footnote>
  <w:footnote w:id="52">
    <w:p>
      <w:pPr>
        <w:pStyle w:val="FootnoteText"/>
        <w:bidi w:val="0"/>
        <w:spacing w:lineRule="auto" w:line="240" w:before="0" w:after="0"/>
        <w:jc w:val="start"/>
        <w:rPr/>
      </w:pPr>
      <w:r>
        <w:rPr>
          <w:rStyle w:val="FootnoteCharacters"/>
        </w:rPr>
        <w:footnoteRef/>
      </w:r>
      <w:r>
        <w:rPr/>
      </w:r>
    </w:p>
  </w:footnote>
  <w:footnote w:id="53">
    <w:p>
      <w:pPr>
        <w:pStyle w:val="FootnoteText"/>
        <w:bidi w:val="0"/>
        <w:spacing w:lineRule="auto" w:line="240" w:before="0" w:after="0"/>
        <w:jc w:val="start"/>
        <w:rPr/>
      </w:pPr>
      <w:r>
        <w:rPr>
          <w:rStyle w:val="FootnoteCharacters"/>
        </w:rPr>
        <w:footnoteRef/>
      </w:r>
      <w:r>
        <w:rPr/>
      </w:r>
    </w:p>
  </w:footnote>
  <w:footnote w:id="54">
    <w:p>
      <w:pPr>
        <w:pStyle w:val="FootnoteText"/>
        <w:bidi w:val="0"/>
        <w:spacing w:lineRule="auto" w:line="240" w:before="0" w:after="0"/>
        <w:jc w:val="start"/>
        <w:rPr/>
      </w:pPr>
      <w:r>
        <w:rPr>
          <w:rStyle w:val="FootnoteCharacters"/>
        </w:rPr>
        <w:footnoteRef/>
      </w:r>
      <w:r>
        <w:rPr/>
      </w:r>
    </w:p>
  </w:footnote>
  <w:footnote w:id="55">
    <w:p>
      <w:pPr>
        <w:pStyle w:val="FootnoteText"/>
        <w:bidi w:val="0"/>
        <w:spacing w:lineRule="auto" w:line="240" w:before="0" w:after="0"/>
        <w:jc w:val="start"/>
        <w:rPr/>
      </w:pPr>
      <w:r>
        <w:rPr>
          <w:rStyle w:val="FootnoteCharacters"/>
        </w:rPr>
        <w:footnoteRef/>
      </w:r>
      <w:r>
        <w:rPr/>
      </w:r>
    </w:p>
  </w:footnote>
  <w:footnote w:id="56">
    <w:p>
      <w:pPr>
        <w:pStyle w:val="FootnoteText"/>
        <w:bidi w:val="0"/>
        <w:spacing w:lineRule="auto" w:line="240" w:before="0" w:after="0"/>
        <w:jc w:val="start"/>
        <w:rPr/>
      </w:pPr>
      <w:r>
        <w:rPr>
          <w:rStyle w:val="FootnoteCharacters"/>
        </w:rPr>
        <w:footnoteRef/>
      </w:r>
      <w:r>
        <w:rPr/>
      </w:r>
    </w:p>
  </w:footnote>
  <w:footnote w:id="57">
    <w:p>
      <w:pPr>
        <w:pStyle w:val="FootnoteText"/>
        <w:bidi w:val="0"/>
        <w:spacing w:lineRule="auto" w:line="240" w:before="0" w:after="0"/>
        <w:jc w:val="start"/>
        <w:rPr/>
      </w:pPr>
      <w:r>
        <w:rPr>
          <w:rStyle w:val="FootnoteCharacters"/>
        </w:rPr>
        <w:footnoteRef/>
      </w: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CC"/>
      </w:pBdr>
      <w:bidi w:val="0"/>
      <w:jc w:val="center"/>
      <w:rPr>
        <w:rFonts w:ascii="Georgia" w:hAnsi="Georgia" w:eastAsia="Georgia" w:cs="Georgia"/>
        <w:i/>
        <w:i/>
        <w:iCs/>
        <w:color w:val="888888"/>
        <w:sz w:val="18"/>
        <w:szCs w:val="18"/>
      </w:rPr>
    </w:pPr>
    <w:r>
      <w:rPr>
        <w:rFonts w:eastAsia="Georgia" w:cs="Georgia"/>
        <w:i/>
        <w:iCs/>
        <w:color w:val="888888"/>
        <w:sz w:val="18"/>
        <w:szCs w:val="18"/>
      </w:rPr>
      <w:t>Genesis, Science, and the Human Soul</w:t>
    </w:r>
  </w:p>
</w:hdr>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Georgia" w:hAnsi="Georgia" w:eastAsia="Georgia" w:cs="Georgia"/>
      <w:color w:val="auto"/>
      <w:kern w:val="0"/>
      <w:sz w:val="24"/>
      <w:szCs w:val="24"/>
      <w:lang w:val="en-US" w:eastAsia="zh-CN" w:bidi="hi-IN"/>
    </w:rPr>
  </w:style>
  <w:style w:type="paragraph" w:styleId="Heading1">
    <w:name w:val="Heading 1"/>
    <w:basedOn w:val="Heading"/>
    <w:qFormat/>
    <w:pPr>
      <w:numPr>
        <w:ilvl w:val="0"/>
        <w:numId w:val="0"/>
      </w:numPr>
      <w:spacing w:before="360" w:after="240"/>
      <w:outlineLvl w:val="0"/>
    </w:pPr>
    <w:rPr>
      <w:rFonts w:ascii="Georgia" w:hAnsi="Georgia" w:eastAsia="Georgia" w:cs="Georgia"/>
      <w:b/>
      <w:bCs/>
      <w:color w:val="1A1A2E"/>
      <w:sz w:val="36"/>
      <w:szCs w:val="36"/>
    </w:rPr>
  </w:style>
  <w:style w:type="paragraph" w:styleId="Heading2">
    <w:name w:val="Heading 2"/>
    <w:basedOn w:val="Heading"/>
    <w:qFormat/>
    <w:pPr>
      <w:numPr>
        <w:ilvl w:val="0"/>
        <w:numId w:val="0"/>
      </w:numPr>
      <w:spacing w:before="280" w:after="180"/>
      <w:outlineLvl w:val="1"/>
    </w:pPr>
    <w:rPr>
      <w:rFonts w:ascii="Georgia" w:hAnsi="Georgia" w:eastAsia="Georgia" w:cs="Georgia"/>
      <w:b/>
      <w:bCs/>
      <w:color w:val="2D3436"/>
      <w:sz w:val="30"/>
      <w:szCs w:val="30"/>
    </w:rPr>
  </w:style>
  <w:style w:type="paragraph" w:styleId="Heading3">
    <w:name w:val="Heading 3"/>
    <w:basedOn w:val="Heading"/>
    <w:qFormat/>
    <w:pPr>
      <w:numPr>
        <w:ilvl w:val="0"/>
        <w:numId w:val="0"/>
      </w:numPr>
      <w:spacing w:before="240" w:after="140"/>
      <w:outlineLvl w:val="2"/>
    </w:pPr>
    <w:rPr>
      <w:rFonts w:ascii="Georgia" w:hAnsi="Georgia" w:eastAsia="Georgia" w:cs="Georgia"/>
      <w:b/>
      <w:bCs/>
      <w:i/>
      <w:iCs/>
      <w:color w:val="2D343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2B5797"/>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Georgia" w:hAnsi="Georgia" w:eastAsia="Georgia" w:cs="Georgia"/>
      <w:b/>
      <w:bCs/>
      <w:color w:val="auto"/>
      <w:kern w:val="0"/>
      <w:sz w:val="24"/>
      <w:szCs w:val="24"/>
      <w:lang w:val="en-US" w:eastAsia="zh-CN" w:bidi="hi-IN"/>
    </w:rPr>
  </w:style>
  <w:style w:type="paragraph" w:styleId="ListParagraph">
    <w:name w:val="List Paragraph"/>
    <w:qFormat/>
    <w:pPr>
      <w:widowControl w:val="false"/>
      <w:kinsoku w:val="true"/>
      <w:overflowPunct w:val="true"/>
      <w:autoSpaceDE w:val="true"/>
      <w:bidi w:val="0"/>
    </w:pPr>
    <w:rPr>
      <w:rFonts w:ascii="Georgia" w:hAnsi="Georgia" w:eastAsia="Georgia" w:cs="Georgia"/>
      <w:color w:val="auto"/>
      <w:kern w:val="0"/>
      <w:sz w:val="24"/>
      <w:szCs w:val="24"/>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atican.va/content/john-paul-ii/en/encyclicals/documents/hf_jp-ii_enc_14091998_fides-et-ratio.html" TargetMode="External"/><Relationship Id="rId3" Type="http://schemas.openxmlformats.org/officeDocument/2006/relationships/hyperlink" Target="https://www.biblegateway.com/passage/?search=Exodus%2020%3A11&amp;version=NABRE" TargetMode="External"/><Relationship Id="rId4" Type="http://schemas.openxmlformats.org/officeDocument/2006/relationships/hyperlink" Target="https://www.biblegateway.com/passage/?search=Mark%2010%3A6&amp;version=NABRE" TargetMode="External"/><Relationship Id="rId5" Type="http://schemas.openxmlformats.org/officeDocument/2006/relationships/hyperlink" Target="https://www.biblegateway.com/passage/?search=Mark%2013%3A19&amp;version=NABRE" TargetMode="External"/><Relationship Id="rId6" Type="http://schemas.openxmlformats.org/officeDocument/2006/relationships/hyperlink" Target="https://www.ewtn.com/catholicism/teachings/vatican-i-dogmatic-constitution-dei-filius-on-the-catholic-faith-241" TargetMode="External"/><Relationship Id="rId7" Type="http://schemas.openxmlformats.org/officeDocument/2006/relationships/hyperlink" Target="https://www.ewtn.com/catholicism/teachings/vatican-i-dogmatic-constitution-dei-filius-on-the-catholic-faith-241" TargetMode="External"/><Relationship Id="rId8" Type="http://schemas.openxmlformats.org/officeDocument/2006/relationships/hyperlink" Target="https://www.biblegateway.com/passage/?search=John%202%3A1-11&amp;version=NABRE" TargetMode="External"/><Relationship Id="rId9" Type="http://schemas.openxmlformats.org/officeDocument/2006/relationships/hyperlink" Target="https://www.ewtn.com/catholicism/teachings/vatican-i-dogmatic-constitution-dei-filius-on-the-catholic-faith-241" TargetMode="External"/><Relationship Id="rId10" Type="http://schemas.openxmlformats.org/officeDocument/2006/relationships/hyperlink" Target="https://www.biblegateway.com/passage/?search=Romans%201%3A20&amp;version=NABRE" TargetMode="External"/><Relationship Id="rId11" Type="http://schemas.openxmlformats.org/officeDocument/2006/relationships/hyperlink" Target="https://www.ewtn.com/catholicism/teachings/vatican-i-dogmatic-constitution-dei-filius-on-the-catholic-faith-241" TargetMode="External"/><Relationship Id="rId12" Type="http://schemas.openxmlformats.org/officeDocument/2006/relationships/hyperlink" Target="https://www.ewtn.com/catholicism/teachings/vatican-i-dogmatic-constitution-dei-filius-on-the-catholic-faith-241" TargetMode="External"/><Relationship Id="rId13" Type="http://schemas.openxmlformats.org/officeDocument/2006/relationships/hyperlink" Target="https://www.biblegateway.com/passage/?search=Genesis%202%3A7&amp;version=NABRE" TargetMode="External"/><Relationship Id="rId14" Type="http://schemas.openxmlformats.org/officeDocument/2006/relationships/hyperlink" Target="https://www.biblegateway.com/passage/?search=Genesis%201%3A14-19&amp;version=NABRE" TargetMode="External"/><Relationship Id="rId15" Type="http://schemas.openxmlformats.org/officeDocument/2006/relationships/hyperlink" Target="https://www.biblegateway.com/passage/?search=Exodus%2020%3A11&amp;version=NABRE" TargetMode="External"/><Relationship Id="rId16" Type="http://schemas.openxmlformats.org/officeDocument/2006/relationships/hyperlink" Target="https://www.newadvent.org/fathers/1407.htm" TargetMode="External"/><Relationship Id="rId17" Type="http://schemas.openxmlformats.org/officeDocument/2006/relationships/hyperlink" Target="https://www.newadvent.org/fathers/1407.htm" TargetMode="External"/><Relationship Id="rId18" Type="http://schemas.openxmlformats.org/officeDocument/2006/relationships/hyperlink" Target="https://www.ewtn.com/catholicism/teachings/vatican-i-dogmatic-constitution-dei-filius-on-the-catholic-faith-241" TargetMode="External"/><Relationship Id="rId19" Type="http://schemas.openxmlformats.org/officeDocument/2006/relationships/hyperlink" Target="https://www.ewtn.com/catholicism/teachings/vatican-i-dogmatic-constitution-dei-filius-on-the-catholic-faith-241" TargetMode="External"/><Relationship Id="rId20" Type="http://schemas.openxmlformats.org/officeDocument/2006/relationships/hyperlink" Target="https://www.ewtn.com/catholicism/teachings/vatican-i-dogmatic-constitution-dei-filius-on-the-catholic-faith-241" TargetMode="External"/><Relationship Id="rId21" Type="http://schemas.openxmlformats.org/officeDocument/2006/relationships/hyperlink" Target="https://www.ewtn.com/catholicism/teachings/vatican-i-dogmatic-constitution-dei-filius-on-the-catholic-faith-241" TargetMode="External"/><Relationship Id="rId22" Type="http://schemas.openxmlformats.org/officeDocument/2006/relationships/hyperlink" Target="https://www.ewtn.com/catholicism/teachings/vatican-i-dogmatic-constitution-dei-filius-on-the-catholic-faith-241" TargetMode="External"/><Relationship Id="rId23" Type="http://schemas.openxmlformats.org/officeDocument/2006/relationships/hyperlink" Target="https://www.ewtn.com/catholicism/teachings/vatican-i-dogmatic-constitution-dei-filius-on-the-catholic-faith-241" TargetMode="External"/><Relationship Id="rId24" Type="http://schemas.openxmlformats.org/officeDocument/2006/relationships/hyperlink" Target="https://www.ewtn.com/catholicism/teachings/vatican-i-dogmatic-constitution-dei-filius-on-the-catholic-faith-241" TargetMode="External"/><Relationship Id="rId25" Type="http://schemas.openxmlformats.org/officeDocument/2006/relationships/hyperlink" Target="https://www.ewtn.com/catholicism/teachings/vatican-i-dogmatic-constitution-dei-filius-on-the-catholic-faith-241" TargetMode="External"/><Relationship Id="rId26" Type="http://schemas.openxmlformats.org/officeDocument/2006/relationships/hyperlink" Target="https://www.ewtn.com/catholicism/teachings/vatican-i-dogmatic-constitution-dei-filius-on-the-catholic-faith-241" TargetMode="External"/><Relationship Id="rId27" Type="http://schemas.openxmlformats.org/officeDocument/2006/relationships/hyperlink" Target="https://www.ewtn.com/catholicism/teachings/vatican-i-dogmatic-constitution-dei-filius-on-the-catholic-faith-241" TargetMode="External"/><Relationship Id="rId28" Type="http://schemas.openxmlformats.org/officeDocument/2006/relationships/hyperlink" Target="https://www.biblegateway.com/passage/?search=Genesis%201%3A27&amp;version=NABRE" TargetMode="External"/><Relationship Id="rId29" Type="http://schemas.openxmlformats.org/officeDocument/2006/relationships/hyperlink" Target="http://www.scborromeo.org/ccc/para/356.htm" TargetMode="External"/><Relationship Id="rId30" Type="http://schemas.openxmlformats.org/officeDocument/2006/relationships/hyperlink" Target="http://www.scborromeo.org/ccc/para/362.htm" TargetMode="External"/><Relationship Id="rId31" Type="http://schemas.openxmlformats.org/officeDocument/2006/relationships/hyperlink" Target="https://www.vatican.va/content/pius-xii/en/encyclicals/documents/hf_p-xii_enc_12081950_humani-generis.html" TargetMode="External"/><Relationship Id="rId32" Type="http://schemas.openxmlformats.org/officeDocument/2006/relationships/hyperlink" Target="http://www.scborromeo.org/ccc/para/366.htm" TargetMode="External"/><Relationship Id="rId33" Type="http://schemas.openxmlformats.org/officeDocument/2006/relationships/hyperlink" Target="https://www.vatican.va/content/pius-xii/en/encyclicals/documents/hf_p-xii_enc_12081950_humani-generis.html" TargetMode="External"/><Relationship Id="rId34" Type="http://schemas.openxmlformats.org/officeDocument/2006/relationships/hyperlink" Target="https://www.vatican.va/content/pius-xii/en/encyclicals/documents/hf_p-xii_enc_12081950_humani-generis.html" TargetMode="External"/><Relationship Id="rId35" Type="http://schemas.openxmlformats.org/officeDocument/2006/relationships/hyperlink" Target="https://www.ewtn.com/catholicism/library/decree-concerning-original-sin-1503" TargetMode="External"/><Relationship Id="rId36" Type="http://schemas.openxmlformats.org/officeDocument/2006/relationships/hyperlink" Target="https://www.biblegateway.com/passage/?search=Romans%201%3A19-20&amp;version=NABRE" TargetMode="External"/><Relationship Id="rId37" Type="http://schemas.openxmlformats.org/officeDocument/2006/relationships/hyperlink" Target="https://www.ewtn.com/catholicism/teachings/vatican-i-dogmatic-constitution-dei-filius-on-the-catholic-faith-241" TargetMode="External"/><Relationship Id="rId38" Type="http://schemas.openxmlformats.org/officeDocument/2006/relationships/hyperlink" Target="https://www.ewtn.com/catholicism/teachings/vatican-i-dogmatic-constitution-dei-filius-on-the-catholic-faith-241" TargetMode="External"/><Relationship Id="rId39" Type="http://schemas.openxmlformats.org/officeDocument/2006/relationships/hyperlink" Target="http://www.scborromeo.org/ccc/para/36.htm" TargetMode="External"/><Relationship Id="rId40" Type="http://schemas.openxmlformats.org/officeDocument/2006/relationships/hyperlink" Target="http://www.scborromeo.org/ccc/para/390.htm" TargetMode="External"/><Relationship Id="rId41" Type="http://schemas.openxmlformats.org/officeDocument/2006/relationships/hyperlink" Target="https://www.vatican.va/content/pius-xii/en/encyclicals/documents/hf_p-xii_enc_12081950_humani-generis.html" TargetMode="External"/><Relationship Id="rId42" Type="http://schemas.openxmlformats.org/officeDocument/2006/relationships/hyperlink" Target="https://www.vatican.va/content/pius-xii/en/encyclicals/documents/hf_p-xii_enc_12081950_humani-generis.html" TargetMode="External"/><Relationship Id="rId43" Type="http://schemas.openxmlformats.org/officeDocument/2006/relationships/hyperlink" Target="https://www.newadvent.org/fathers/1407.htm" TargetMode="External"/><Relationship Id="rId44" Type="http://schemas.openxmlformats.org/officeDocument/2006/relationships/hyperlink" Target="https://www.vatican.va/content/pius-xii/en/encyclicals/documents/hf_p-xii_enc_12081950_humani-generis.html" TargetMode="External"/><Relationship Id="rId45" Type="http://schemas.openxmlformats.org/officeDocument/2006/relationships/hyperlink" Target="https://www.ewtn.com/catholicism/library/decree-concerning-original-sin-1503" TargetMode="External"/><Relationship Id="rId46" Type="http://schemas.openxmlformats.org/officeDocument/2006/relationships/hyperlink" Target="https://www.vatican.va/content/pius-xii/en/encyclicals/documents/hf_p-xii_enc_12081950_humani-generis.html" TargetMode="External"/><Relationship Id="rId47" Type="http://schemas.openxmlformats.org/officeDocument/2006/relationships/hyperlink" Target="https://www.vatican.va/content/pius-xii/en/encyclicals/documents/hf_p-xii_enc_12081950_humani-generis.html" TargetMode="External"/><Relationship Id="rId48" Type="http://schemas.openxmlformats.org/officeDocument/2006/relationships/hyperlink" Target="https://www.ewtn.com/catholicism/library/decree-concerning-original-sin-1503" TargetMode="External"/><Relationship Id="rId49" Type="http://schemas.openxmlformats.org/officeDocument/2006/relationships/hyperlink" Target="http://www.scborromeo.org/ccc/para/366.htm" TargetMode="External"/><Relationship Id="rId50" Type="http://schemas.openxmlformats.org/officeDocument/2006/relationships/hyperlink" Target="https://www.vatican.va/content/pius-xii/en/encyclicals/documents/hf_p-xii_enc_12081950_humani-generis.html" TargetMode="External"/><Relationship Id="rId51" Type="http://schemas.openxmlformats.org/officeDocument/2006/relationships/hyperlink" Target="https://www.vatican.va/content/pius-xii/en/encyclicals/documents/hf_p-xii_enc_12081950_humani-generis.html" TargetMode="External"/><Relationship Id="rId52" Type="http://schemas.openxmlformats.org/officeDocument/2006/relationships/hyperlink" Target="http://www.scborromeo.org/ccc/para/366.htm" TargetMode="External"/><Relationship Id="rId53" Type="http://schemas.openxmlformats.org/officeDocument/2006/relationships/hyperlink" Target="https://www.biblegateway.com/passage/?search=Romans%201%3A19-20&amp;version=NABRE" TargetMode="External"/><Relationship Id="rId54" Type="http://schemas.openxmlformats.org/officeDocument/2006/relationships/hyperlink" Target="https://www.ewtn.com/catholicism/teachings/vatican-i-dogmatic-constitution-dei-filius-on-the-catholic-faith-241" TargetMode="External"/><Relationship Id="rId55" Type="http://schemas.openxmlformats.org/officeDocument/2006/relationships/hyperlink" Target="https://www.biblegateway.com/passage/?search=Genesis%201%3A27&amp;version=NABRE" TargetMode="External"/><Relationship Id="rId56" Type="http://schemas.openxmlformats.org/officeDocument/2006/relationships/hyperlink" Target="http://www.scborromeo.org/ccc/para/356.htm" TargetMode="External"/><Relationship Id="rId57" Type="http://schemas.openxmlformats.org/officeDocument/2006/relationships/hyperlink" Target="https://www.vatican.va/archive/hist_councils/ii_vatican_council/documents/vat-ii_const_19651207_gaudium-et-spes_en.html" TargetMode="External"/><Relationship Id="rId58" Type="http://schemas.openxmlformats.org/officeDocument/2006/relationships/hyperlink" Target="https://www.vatican.va/archive/hist_councils/ii_vatican_council/documents/vat-ii_const_19651207_gaudium-et-spes_en.html" TargetMode="External"/><Relationship Id="rId59" Type="http://schemas.openxmlformats.org/officeDocument/2006/relationships/hyperlink" Target="http://www.scborromeo.org/ccc/para/366.htm" TargetMode="External"/><Relationship Id="rId60" Type="http://schemas.openxmlformats.org/officeDocument/2006/relationships/hyperlink" Target="https://www.vatican.va/content/pius-xii/en/encyclicals/documents/hf_p-xii_enc_12081950_humani-generis.html" TargetMode="External"/><Relationship Id="rId61" Type="http://schemas.openxmlformats.org/officeDocument/2006/relationships/hyperlink" Target="https://www.vatican.va/content/pius-xii/en/encyclicals/documents/hf_p-xii_enc_12081950_humani-generis.html" TargetMode="External"/><Relationship Id="rId62" Type="http://schemas.openxmlformats.org/officeDocument/2006/relationships/hyperlink" Target="http://www.scborromeo.org/ccc/para/365.htm" TargetMode="External"/><Relationship Id="rId63" Type="http://schemas.openxmlformats.org/officeDocument/2006/relationships/hyperlink" Target="https://www.vatican.va/content/pius-xii/en/encyclicals/documents/hf_p-xii_enc_12081950_humani-generis.html" TargetMode="External"/><Relationship Id="rId64" Type="http://schemas.openxmlformats.org/officeDocument/2006/relationships/hyperlink" Target="https://www.vatican.va/content/pius-xii/en/encyclicals/documents/hf_p-xii_enc_12081950_humani-generis.html" TargetMode="External"/><Relationship Id="rId65" Type="http://schemas.openxmlformats.org/officeDocument/2006/relationships/hyperlink" Target="https://www.vatican.va/content/pius-xii/en/encyclicals/documents/hf_p-xii_enc_12081950_humani-generis.html" TargetMode="External"/><Relationship Id="rId66" Type="http://schemas.openxmlformats.org/officeDocument/2006/relationships/hyperlink" Target="https://www.biblegateway.com/passage/?search=Genesis%202%3A7&amp;version=NABRE" TargetMode="External"/><Relationship Id="rId67" Type="http://schemas.openxmlformats.org/officeDocument/2006/relationships/hyperlink" Target="http://www.scborromeo.org/ccc/para/366.htm" TargetMode="External"/><Relationship Id="rId68" Type="http://schemas.openxmlformats.org/officeDocument/2006/relationships/hyperlink" Target="https://www.vatican.va/content/pius-xii/en/encyclicals/documents/hf_p-xii_enc_12081950_humani-generis.html" TargetMode="External"/><Relationship Id="rId69" Type="http://schemas.openxmlformats.org/officeDocument/2006/relationships/hyperlink" Target="https://www.vatican.va/content/pius-xii/en/encyclicals/documents/hf_p-xii_enc_12081950_humani-generis.html" TargetMode="External"/><Relationship Id="rId70" Type="http://schemas.openxmlformats.org/officeDocument/2006/relationships/hyperlink" Target="https://www.ewtn.com/catholicism/library/decree-concerning-original-sin-1503" TargetMode="External"/><Relationship Id="rId71" Type="http://schemas.openxmlformats.org/officeDocument/2006/relationships/hyperlink" Target="http://www.scborromeo.org/ccc/para/366.htm" TargetMode="External"/><Relationship Id="rId72" Type="http://schemas.openxmlformats.org/officeDocument/2006/relationships/hyperlink" Target="https://www.vatican.va/content/pius-xii/en/encyclicals/documents/hf_p-xii_enc_12081950_humani-generis.html" TargetMode="External"/><Relationship Id="rId73" Type="http://schemas.openxmlformats.org/officeDocument/2006/relationships/hyperlink" Target="https://www.vatican.va/content/pius-xii/en/encyclicals/documents/hf_p-xii_enc_12081950_humani-generis.html" TargetMode="External"/><Relationship Id="rId74" Type="http://schemas.openxmlformats.org/officeDocument/2006/relationships/hyperlink" Target="http://www.scborromeo.org/ccc/para/390.htm" TargetMode="External"/><Relationship Id="rId75" Type="http://schemas.openxmlformats.org/officeDocument/2006/relationships/hyperlink" Target="https://www.ewtn.com/catholicism/library/decree-concerning-original-sin-1503" TargetMode="External"/><Relationship Id="rId76" Type="http://schemas.openxmlformats.org/officeDocument/2006/relationships/hyperlink" Target="https://www.vatican.va/content/pius-xii/en/encyclicals/documents/hf_p-xii_enc_12081950_humani-generis.html" TargetMode="External"/><Relationship Id="rId77" Type="http://schemas.openxmlformats.org/officeDocument/2006/relationships/hyperlink" Target="https://www.vatican.va/content/pius-xii/en/encyclicals/documents/hf_p-xii_enc_12081950_humani-generis.html" TargetMode="External"/><Relationship Id="rId78" Type="http://schemas.openxmlformats.org/officeDocument/2006/relationships/hyperlink" Target="http://www.scborromeo.org/ccc/para/390.htm" TargetMode="External"/><Relationship Id="rId79" Type="http://schemas.openxmlformats.org/officeDocument/2006/relationships/hyperlink" Target="https://www.biblegateway.com/passage/?search=Ecclesiastes%203%3A19&amp;version=NABRE" TargetMode="External"/><Relationship Id="rId80" Type="http://schemas.openxmlformats.org/officeDocument/2006/relationships/hyperlink" Target="https://www.biblegateway.com/passage/?search=Genesis%206-8&amp;version=NABRE" TargetMode="External"/><Relationship Id="rId81" Type="http://schemas.openxmlformats.org/officeDocument/2006/relationships/hyperlink" Target="https://www.vatican.va/content/pius-xii/en/encyclicals/documents/hf_p-xii_enc_12081950_humani-generis.html" TargetMode="External"/><Relationship Id="rId82" Type="http://schemas.openxmlformats.org/officeDocument/2006/relationships/hyperlink" Target="https://www.biblegateway.com/passage/?search=1%20Peter%203%3A20&amp;version=NABRE" TargetMode="External"/><Relationship Id="rId83" Type="http://schemas.openxmlformats.org/officeDocument/2006/relationships/hyperlink" Target="https://www.biblegateway.com/passage/?search=Matthew%2024%3A37-39&amp;version=NABRE" TargetMode="External"/><Relationship Id="rId84" Type="http://schemas.openxmlformats.org/officeDocument/2006/relationships/hyperlink" Target="https://www.biblegateway.com/passage/?search=Luke%2017%3A26-27&amp;version=NABRE" TargetMode="External"/><Relationship Id="rId85" Type="http://schemas.openxmlformats.org/officeDocument/2006/relationships/hyperlink" Target="https://www.ewtn.com/catholicism/library/decree-concerning-original-sin-1503" TargetMode="External"/><Relationship Id="rId86" Type="http://schemas.openxmlformats.org/officeDocument/2006/relationships/hyperlink" Target="https://www.vatican.va/content/pius-xii/en/encyclicals/documents/hf_p-xii_enc_12081950_humani-generis.html" TargetMode="External"/><Relationship Id="rId87" Type="http://schemas.openxmlformats.org/officeDocument/2006/relationships/hyperlink" Target="https://www.vatican.va/content/pius-xii/en/encyclicals/documents/hf_p-xii_enc_12081950_humani-generis.html" TargetMode="External"/><Relationship Id="rId88" Type="http://schemas.openxmlformats.org/officeDocument/2006/relationships/hyperlink" Target="http://www.scborromeo.org/ccc/para/390.htm" TargetMode="External"/><Relationship Id="rId89" Type="http://schemas.openxmlformats.org/officeDocument/2006/relationships/hyperlink" Target="http://www.scborromeo.org/ccc/para/366.htm" TargetMode="External"/><Relationship Id="rId90" Type="http://schemas.openxmlformats.org/officeDocument/2006/relationships/hyperlink" Target="https://www.vatican.va/content/pius-xii/en/encyclicals/documents/hf_p-xii_enc_12081950_humani-generis.html" TargetMode="External"/><Relationship Id="rId91" Type="http://schemas.openxmlformats.org/officeDocument/2006/relationships/hyperlink" Target="https://www.vatican.va/content/pius-xii/en/encyclicals/documents/hf_p-xii_enc_12081950_humani-generis.html" TargetMode="External"/><Relationship Id="rId92" Type="http://schemas.openxmlformats.org/officeDocument/2006/relationships/hyperlink" Target="https://www.biblegateway.com/passage/?search=1%20Peter%203%3A20-21&amp;version=NABRE" TargetMode="External"/><Relationship Id="rId93" Type="http://schemas.openxmlformats.org/officeDocument/2006/relationships/hyperlink" Target="http://www.scborromeo.org/ccc/para/1219.htm" TargetMode="External"/><Relationship Id="rId94" Type="http://schemas.openxmlformats.org/officeDocument/2006/relationships/hyperlink" Target="https://www.biblegateway.com/passage/?search=Matthew%2024%3A37-39&amp;version=NABRE" TargetMode="External"/><Relationship Id="rId95" Type="http://schemas.openxmlformats.org/officeDocument/2006/relationships/hyperlink" Target="https://www.biblegateway.com/passage/?search=Luke%2017%3A26-27&amp;version=NABRE" TargetMode="External"/><Relationship Id="rId96" Type="http://schemas.openxmlformats.org/officeDocument/2006/relationships/hyperlink" Target="https://www.vatican.va/content/pius-xii/en/encyclicals/documents/hf_p-xii_enc_12081950_humani-generis.html" TargetMode="External"/><Relationship Id="rId97" Type="http://schemas.openxmlformats.org/officeDocument/2006/relationships/hyperlink" Target="https://www.vatican.va/content/pius-xii/en/encyclicals/documents/hf_p-xii_enc_12081950_humani-generis.html" TargetMode="External"/><Relationship Id="rId98" Type="http://schemas.openxmlformats.org/officeDocument/2006/relationships/hyperlink" Target="https://www.vatican.va/content/pius-xii/en/encyclicals/documents/hf_p-xii_enc_12081950_humani-generis.html" TargetMode="External"/><Relationship Id="rId99" Type="http://schemas.openxmlformats.org/officeDocument/2006/relationships/hyperlink" Target="https://www.vatican.va/content/pius-xii/en/encyclicals/documents/hf_p-xii_enc_12081950_humani-generis.html" TargetMode="External"/><Relationship Id="rId100" Type="http://schemas.openxmlformats.org/officeDocument/2006/relationships/hyperlink" Target="https://www.vatican.va/content/john-paul-ii/en/encyclicals/documents/hf_jp-ii_enc_14091998_fides-et-ratio.html" TargetMode="External"/><Relationship Id="rId101" Type="http://schemas.openxmlformats.org/officeDocument/2006/relationships/hyperlink" Target="http://www.scborromeo.org/ccc/para/366.htm" TargetMode="External"/><Relationship Id="rId102" Type="http://schemas.openxmlformats.org/officeDocument/2006/relationships/hyperlink" Target="http://www.scborromeo.org/ccc/para/365.htm" TargetMode="External"/><Relationship Id="rId103" Type="http://schemas.openxmlformats.org/officeDocument/2006/relationships/hyperlink" Target="http://www.scborromeo.org/ccc/para/1700.htm" TargetMode="External"/><Relationship Id="rId104" Type="http://schemas.openxmlformats.org/officeDocument/2006/relationships/hyperlink" Target="https://www.ewtn.com/catholicism/teachings/vatican-i-dogmatic-constitution-dei-filius-on-the-catholic-faith-241" TargetMode="External"/><Relationship Id="rId105" Type="http://schemas.openxmlformats.org/officeDocument/2006/relationships/hyperlink" Target="https://www.ewtn.com/catholicism/teachings/vatican-i-dogmatic-constitution-dei-filius-on-the-catholic-faith-241" TargetMode="External"/><Relationship Id="rId106" Type="http://schemas.openxmlformats.org/officeDocument/2006/relationships/hyperlink" Target="https://www.ewtn.com/catholicism/teachings/vatican-i-dogmatic-constitution-dei-filius-on-the-catholic-faith-241" TargetMode="External"/><Relationship Id="rId107" Type="http://schemas.openxmlformats.org/officeDocument/2006/relationships/hyperlink" Target="https://www.vatican.va/content/john-paul-ii/en/encyclicals/documents/hf_jp-ii_enc_14091998_fides-et-ratio.html" TargetMode="External"/><Relationship Id="rId108" Type="http://schemas.openxmlformats.org/officeDocument/2006/relationships/hyperlink" Target="https://www.vatican.va/content/john-paul-ii/en/encyclicals/documents/hf_jp-ii_enc_14091998_fides-et-ratio.html" TargetMode="External"/><Relationship Id="rId109" Type="http://schemas.openxmlformats.org/officeDocument/2006/relationships/hyperlink" Target="https://www.ewtn.com/catholicism/teachings/vatican-i-dogmatic-constitution-dei-filius-on-the-catholic-faith-241" TargetMode="External"/><Relationship Id="rId110" Type="http://schemas.openxmlformats.org/officeDocument/2006/relationships/hyperlink" Target="https://www.ewtn.com/catholicism/teachings/vatican-i-dogmatic-constitution-dei-filius-on-the-catholic-faith-241" TargetMode="External"/><Relationship Id="rId111" Type="http://schemas.openxmlformats.org/officeDocument/2006/relationships/hyperlink" Target="https://www.vatican.va/content/pius-xii/en/encyclicals/documents/hf_p-xii_enc_12081950_humani-generis.html" TargetMode="External"/><Relationship Id="rId112" Type="http://schemas.openxmlformats.org/officeDocument/2006/relationships/hyperlink" Target="https://www.vatican.va/content/pius-xii/en/encyclicals/documents/hf_p-xii_enc_12081950_humani-generis.html" TargetMode="External"/><Relationship Id="rId113" Type="http://schemas.openxmlformats.org/officeDocument/2006/relationships/hyperlink" Target="https://www.ewtn.com/catholicism/library/decree-concerning-original-sin-1503" TargetMode="External"/><Relationship Id="rId114" Type="http://schemas.openxmlformats.org/officeDocument/2006/relationships/hyperlink" Target="http://www.scborromeo.org/ccc/para/390.htm" TargetMode="External"/><Relationship Id="rId115" Type="http://schemas.openxmlformats.org/officeDocument/2006/relationships/hyperlink" Target="https://www.ewtn.com/catholicism/library/decree-concerning-original-sin-1503" TargetMode="External"/><Relationship Id="rId116" Type="http://schemas.openxmlformats.org/officeDocument/2006/relationships/hyperlink" Target="http://www.scborromeo.org/ccc/para/366.htm" TargetMode="External"/><Relationship Id="rId117" Type="http://schemas.openxmlformats.org/officeDocument/2006/relationships/hyperlink" Target="https://www.vatican.va/content/pius-xii/en/encyclicals/documents/hf_p-xii_enc_12081950_humani-generis.html" TargetMode="External"/><Relationship Id="rId118" Type="http://schemas.openxmlformats.org/officeDocument/2006/relationships/hyperlink" Target="https://www.vatican.va/content/pius-xii/en/encyclicals/documents/hf_p-xii_enc_12081950_humani-generis.html" TargetMode="External"/><Relationship Id="rId119" Type="http://schemas.openxmlformats.org/officeDocument/2006/relationships/hyperlink" Target="http://www.scborromeo.org/ccc/para/365.htm" TargetMode="External"/><Relationship Id="rId120" Type="http://schemas.openxmlformats.org/officeDocument/2006/relationships/hyperlink" Target="https://www.ewtn.com/catholicism/library/decree-concerning-original-sin-1503" TargetMode="External"/><Relationship Id="rId121" Type="http://schemas.openxmlformats.org/officeDocument/2006/relationships/hyperlink" Target="http://www.scborromeo.org/ccc/para/388.htm" TargetMode="External"/><Relationship Id="rId122" Type="http://schemas.openxmlformats.org/officeDocument/2006/relationships/hyperlink" Target="https://www.ewtn.com/catholicism/teachings/vatican-i-dogmatic-constitution-dei-filius-on-the-catholic-faith-241" TargetMode="External"/><Relationship Id="rId123" Type="http://schemas.openxmlformats.org/officeDocument/2006/relationships/hyperlink" Target="https://www.ewtn.com/catholicism/teachings/vatican-i-dogmatic-constitution-dei-filius-on-the-catholic-faith-241" TargetMode="External"/><Relationship Id="rId124" Type="http://schemas.openxmlformats.org/officeDocument/2006/relationships/hyperlink" Target="https://www.vatican.va/content/john-paul-ii/en/encyclicals/documents/hf_jp-ii_enc_14091998_fides-et-ratio.html" TargetMode="External"/><Relationship Id="rId125" Type="http://schemas.openxmlformats.org/officeDocument/2006/relationships/hyperlink" Target="https://www.vatican.va/content/john-paul-ii/en/encyclicals/documents/hf_jp-ii_enc_14091998_fides-et-ratio.html" TargetMode="External"/><Relationship Id="rId126" Type="http://schemas.openxmlformats.org/officeDocument/2006/relationships/hyperlink" Target="https://www.vatican.va/content/pius-xii/en/encyclicals/documents/hf_p-xii_enc_12081950_humani-generis.html" TargetMode="External"/><Relationship Id="rId127" Type="http://schemas.openxmlformats.org/officeDocument/2006/relationships/hyperlink" Target="https://www.vatican.va/content/pius-xii/en/encyclicals/documents/hf_p-xii_enc_12081950_humani-generis.html" TargetMode="External"/><Relationship Id="rId128" Type="http://schemas.openxmlformats.org/officeDocument/2006/relationships/hyperlink" Target="https://archive.org/details/newbiologydiscov0000augr" TargetMode="External"/><Relationship Id="rId129" Type="http://schemas.openxmlformats.org/officeDocument/2006/relationships/hyperlink" Target="https://archive.org/details/newstoryofscien000augr" TargetMode="External"/><Relationship Id="rId130" Type="http://schemas.openxmlformats.org/officeDocument/2006/relationships/hyperlink" Target="https://www.newadvent.org/fathers/1407.htm" TargetMode="External"/><Relationship Id="rId131" Type="http://schemas.openxmlformats.org/officeDocument/2006/relationships/hyperlink" Target="https://www.encyclopedia.com/religion/encyclopedias-almanacs-transcripts-and-maps/monogenism-and-polygenism" TargetMode="External"/><Relationship Id="rId132" Type="http://schemas.openxmlformats.org/officeDocument/2006/relationships/hyperlink" Target="https://www.hprweb.com/2014/07/time-to-abandon-the-genesis-story/" TargetMode="External"/><Relationship Id="rId133" Type="http://schemas.openxmlformats.org/officeDocument/2006/relationships/hyperlink" Target="https://www.vatican.va/archive/ENG0015/_INDEX.HTM" TargetMode="External"/><Relationship Id="rId134" Type="http://schemas.openxmlformats.org/officeDocument/2006/relationships/hyperlink" Target="https://consc.net/papers/facing.html" TargetMode="External"/><Relationship Id="rId135" Type="http://schemas.openxmlformats.org/officeDocument/2006/relationships/hyperlink" Target="https://www.eerdmans.com/Products/7835/in-quest-of-the-historical-adam.aspx" TargetMode="External"/><Relationship Id="rId136" Type="http://schemas.openxmlformats.org/officeDocument/2006/relationships/hyperlink" Target="https://doi.org/10.1126/science.aap7778" TargetMode="External"/><Relationship Id="rId137" Type="http://schemas.openxmlformats.org/officeDocument/2006/relationships/hyperlink" Target="https://www.vatican.va/roman_curia/congregations/cfaith/cti_documents/rc_con_cfaith_doc_20040723_communion-stewardship_en.html" TargetMode="External"/><Relationship Id="rId138" Type="http://schemas.openxmlformats.org/officeDocument/2006/relationships/hyperlink" Target="https://doi.org/10.5840/acpq201185213" TargetMode="External"/><Relationship Id="rId139" Type="http://schemas.openxmlformats.org/officeDocument/2006/relationships/hyperlink" Target="https://catholicscientists.org/articles/adam-eve-evolution/" TargetMode="External"/><Relationship Id="rId140" Type="http://schemas.openxmlformats.org/officeDocument/2006/relationships/hyperlink" Target="https://www.vatican.va/content/pius-xii/en/encyclicals/documents/hf_p-xii_enc_12081950_humani-generis.html" TargetMode="External"/><Relationship Id="rId141" Type="http://schemas.openxmlformats.org/officeDocument/2006/relationships/hyperlink" Target="https://humanorigins.si.edu/evidence/genetics/ancient-dna-and-neanderthals" TargetMode="External"/><Relationship Id="rId142" Type="http://schemas.openxmlformats.org/officeDocument/2006/relationships/hyperlink" Target="https://humanorigins.si.edu/evidence/human-fossils/species/homo-heidelbergensis" TargetMode="External"/><Relationship Id="rId143" Type="http://schemas.openxmlformats.org/officeDocument/2006/relationships/hyperlink" Target="https://humanorigins.si.edu/evidence/human-fossils/species/homo-neanderthalensis" TargetMode="External"/><Relationship Id="rId144" Type="http://schemas.openxmlformats.org/officeDocument/2006/relationships/hyperlink" Target="https://www.catholicscientists.org/common-questions/adam-and-eve" TargetMode="External"/><Relationship Id="rId145" Type="http://schemas.openxmlformats.org/officeDocument/2006/relationships/hyperlink" Target="https://doi.org/10.1038/s41586-020-2224-8" TargetMode="External"/><Relationship Id="rId146" Type="http://schemas.openxmlformats.org/officeDocument/2006/relationships/hyperlink" Target="https://www.ivpress.com/the-genealogical-adam-and-eve" TargetMode="External"/><Relationship Id="rId147" Type="http://schemas.openxmlformats.org/officeDocument/2006/relationships/hyperlink" Target="https://doi.org/10.3390/rel14040528" TargetMode="External"/><Relationship Id="rId148" Type="http://schemas.openxmlformats.org/officeDocument/2006/relationships/hyperlink" Target="https://www.amnh.org/research/staff-directory/ian-tattersall" TargetMode="External"/><Relationship Id="rId149" Type="http://schemas.openxmlformats.org/officeDocument/2006/relationships/hyperlink" Target="https://www.haaretz.com/archaeology/2026-01-19/ty-article-magazine/the-last-common-ancestor-of-humans-and-neanderthals-is-found-in-morocco/0000019b-d6b5-d627-a99b-ffbdf46d0000" TargetMode="External"/><Relationship Id="rId150" Type="http://schemas.openxmlformats.org/officeDocument/2006/relationships/hyperlink" Target="https://doi.org/10.1126/science.abq7487" TargetMode="External"/><Relationship Id="rId151" Type="http://schemas.openxmlformats.org/officeDocument/2006/relationships/hyperlink" Target="https://www.nhm.ac.uk/discover/who-were-the-neanderthals.html" TargetMode="External"/><Relationship Id="rId152" Type="http://schemas.openxmlformats.org/officeDocument/2006/relationships/hyperlink" Target="https://peacefulscience.org/articles/adam-eve-catholic-models/" TargetMode="External"/><Relationship Id="rId153" Type="http://schemas.openxmlformats.org/officeDocument/2006/relationships/hyperlink" Target="https://doi.org/10.12775/SetF.2020.019" TargetMode="External"/><Relationship Id="rId154" Type="http://schemas.openxmlformats.org/officeDocument/2006/relationships/hyperlink" Target="https://doi.org/10.1080/00049182.2015.1077539" TargetMode="External"/><Relationship Id="rId155" Type="http://schemas.openxmlformats.org/officeDocument/2006/relationships/hyperlink" Target="https://archive.org/details/folkloreinoldtes01fraz" TargetMode="External"/><Relationship Id="rId156" Type="http://schemas.openxmlformats.org/officeDocument/2006/relationships/hyperlink" Target="https://archive.org/details/omabornattemptto00goss" TargetMode="External"/><Relationship Id="rId157" Type="http://schemas.openxmlformats.org/officeDocument/2006/relationships/hyperlink" Target="https://www.vatican.va/content/pius-ix/la/documents/constitutio-dogmatica-dei-filius-24-aprilis-1870.html" TargetMode="External"/><Relationship Id="rId158" Type="http://schemas.openxmlformats.org/officeDocument/2006/relationships/hyperlink" Target="https://link.springer.com/chapter/10.1007/978-3-540-32711-0_2" TargetMode="External"/><Relationship Id="rId159" Type="http://schemas.openxmlformats.org/officeDocument/2006/relationships/hyperlink" Target="https://www.jstor.org/stable/40454080" TargetMode="External"/><Relationship Id="rId160" Type="http://schemas.openxmlformats.org/officeDocument/2006/relationships/hyperlink" Target="https://www.ewtn.com/catholicism/library/decree-concerning-original-sin-1503" TargetMode="External"/><Relationship Id="rId161" Type="http://schemas.openxmlformats.org/officeDocument/2006/relationships/hyperlink" Target="https://www.ewtn.com/catholicism/library/letter-to-cardinal-suhard-on-the-pentateuch-2028" TargetMode="External"/><Relationship Id="rId162" Type="http://schemas.openxmlformats.org/officeDocument/2006/relationships/hyperlink" Target="https://www.papalencyclicals.net/councils/ecum15.htm" TargetMode="External"/><Relationship Id="rId163" Type="http://schemas.openxmlformats.org/officeDocument/2006/relationships/hyperlink" Target="https://www.icr.org/rate" TargetMode="External"/><Relationship Id="rId164" Type="http://schemas.openxmlformats.org/officeDocument/2006/relationships/hyperlink" Target="https://doi.org/10.1038/nature02599" TargetMode="External"/><Relationship Id="rId165" Type="http://schemas.openxmlformats.org/officeDocument/2006/relationships/hyperlink" Target="https://doi.org/10.1017/S0033822200033078" TargetMode="External"/><Relationship Id="rId166" Type="http://schemas.openxmlformats.org/officeDocument/2006/relationships/hyperlink" Target="https://www.vatican.va/content/john-paul-ii/en/encyclicals/documents/hf_jp-ii_enc_14091998_fides-et-ratio.html" TargetMode="External"/><Relationship Id="rId167" Type="http://schemas.openxmlformats.org/officeDocument/2006/relationships/hyperlink" Target="https://www.vatican.va/archive/hist_councils/ii_vatican_council/documents/vat-ii_const_19651207_gaudium-et-spes_en.html" TargetMode="External"/><Relationship Id="rId168" Type="http://schemas.openxmlformats.org/officeDocument/2006/relationships/hyperlink" Target="https://www.ewtn.com/library/COUNCILS/LATERAN4.HTM" TargetMode="External"/><Relationship Id="rId169" Type="http://schemas.openxmlformats.org/officeDocument/2006/relationships/hyperlink" Target="https://www.papalencyclicals.net/councils/ecum18.htm" TargetMode="External"/><Relationship Id="rId170" Type="http://schemas.openxmlformats.org/officeDocument/2006/relationships/hyperlink" Target="https://www.pas.va/en.html" TargetMode="External"/><Relationship Id="rId171" Type="http://schemas.openxmlformats.org/officeDocument/2006/relationships/hyperlink" Target="https://www.baronius.com/fundamentals-of-catholic-dogma.html" TargetMode="External"/><Relationship Id="rId172" Type="http://schemas.openxmlformats.org/officeDocument/2006/relationships/hyperlink" Target="http://catholicapologetics.info/scripture/oldtestament/commission.htm" TargetMode="External"/><Relationship Id="rId173" Type="http://schemas.openxmlformats.org/officeDocument/2006/relationships/hyperlink" Target="https://kolbecenter.org/" TargetMode="External"/><Relationship Id="rId174" Type="http://schemas.openxmlformats.org/officeDocument/2006/relationships/hyperlink" Target="https://www.papalencyclicals.net/pius10/p10prasc.htm" TargetMode="External"/><Relationship Id="rId175" Type="http://schemas.openxmlformats.org/officeDocument/2006/relationships/hyperlink" Target="https://doi.org/10.1038/nature24298" TargetMode="External"/><Relationship Id="rId176" Type="http://schemas.openxmlformats.org/officeDocument/2006/relationships/hyperlink" Target="https://doi.org/10.1038/nature24453" TargetMode="External"/><Relationship Id="rId177" Type="http://schemas.openxmlformats.org/officeDocument/2006/relationships/hyperlink" Target="https://doi.org/10.1038/s41586-023-06759-1" TargetMode="External"/><Relationship Id="rId178" Type="http://schemas.openxmlformats.org/officeDocument/2006/relationships/hyperlink" Target="https://arxiv.org/abs/2508.03842" TargetMode="External"/><Relationship Id="rId179" Type="http://schemas.openxmlformats.org/officeDocument/2006/relationships/hyperlink" Target="https://www.catholic.com/magazine/print-edition/the-six-days-of-creation" TargetMode="External"/><Relationship Id="rId180" Type="http://schemas.openxmlformats.org/officeDocument/2006/relationships/hyperlink" Target="https://archive.org/details/theologiaedogmat01hurt" TargetMode="External"/><Relationship Id="rId181" Type="http://schemas.openxmlformats.org/officeDocument/2006/relationships/hyperlink" Target="https://archive.org/details/quatuorlibrisent00petruoft" TargetMode="External"/><Relationship Id="rId182" Type="http://schemas.openxmlformats.org/officeDocument/2006/relationships/hyperlink" Target="https://www.setterfield.org/report/report.html" TargetMode="External"/><Relationship Id="rId183" Type="http://schemas.openxmlformats.org/officeDocument/2006/relationships/hyperlink" Target="https://doi.org/10.1038/nature11247" TargetMode="External"/><Relationship Id="rId184" Type="http://schemas.openxmlformats.org/officeDocument/2006/relationships/hyperlink" Target="https://elifesciences.org/articles/103547" TargetMode="External"/><Relationship Id="rId185" Type="http://schemas.openxmlformats.org/officeDocument/2006/relationships/hyperlink" Target="https://elifesciences.org/articles/103545" TargetMode="External"/><Relationship Id="rId186" Type="http://schemas.openxmlformats.org/officeDocument/2006/relationships/hyperlink" Target="https://academic.oup.com/genetics/article/221/2/iyac058/6569836" TargetMode="External"/><Relationship Id="rId187" Type="http://schemas.openxmlformats.org/officeDocument/2006/relationships/hyperlink" Target="https://www.nature.com/articles/ng0398-237" TargetMode="External"/><Relationship Id="rId188" Type="http://schemas.openxmlformats.org/officeDocument/2006/relationships/hyperlink" Target="https://link.springer.com/article/10.1007/s00251-007-0196-8" TargetMode="External"/><Relationship Id="rId189" Type="http://schemas.openxmlformats.org/officeDocument/2006/relationships/hyperlink" Target="https://pmc.ncbi.nlm.nih.gov/articles/PMC53700/" TargetMode="External"/><Relationship Id="rId190" Type="http://schemas.openxmlformats.org/officeDocument/2006/relationships/hyperlink" Target="https://bio-complexity.org/ojs/index.php/main/article/viewFile/BIO-C.2019.1/BIO-C.2019.1" TargetMode="External"/><Relationship Id="rId191" Type="http://schemas.openxmlformats.org/officeDocument/2006/relationships/hyperlink" Target="https://peacefulscience.org/prints/misunderstood-bottleneck/" TargetMode="External"/><Relationship Id="rId192" Type="http://schemas.openxmlformats.org/officeDocument/2006/relationships/header" Target="header1.xml"/><Relationship Id="rId193" Type="http://schemas.openxmlformats.org/officeDocument/2006/relationships/footer" Target="footer1.xml"/><Relationship Id="rId194" Type="http://schemas.openxmlformats.org/officeDocument/2006/relationships/footnotes" Target="footnotes.xml"/><Relationship Id="rId195" Type="http://schemas.openxmlformats.org/officeDocument/2006/relationships/fontTable" Target="fontTable.xml"/><Relationship Id="rId196" Type="http://schemas.openxmlformats.org/officeDocument/2006/relationships/settings" Target="settings.xml"/><Relationship Id="rId19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vatican.va/content/john-paul-ii/en/encyclicals/documents/hf_jp-ii_enc_14091998_fides-et-ratio.html" TargetMode="External"/><Relationship Id="rId2" Type="http://schemas.openxmlformats.org/officeDocument/2006/relationships/hyperlink" Target="https://archive.org/details/omphalosattemptt00goss" TargetMode="External"/><Relationship Id="rId3" Type="http://schemas.openxmlformats.org/officeDocument/2006/relationships/hyperlink" Target="https://kolbecenter.org/" TargetMode="External"/><Relationship Id="rId4" Type="http://schemas.openxmlformats.org/officeDocument/2006/relationships/hyperlink" Target="https://www.catholic.com/magazine/print-edition/the-six-days-of-creation" TargetMode="External"/><Relationship Id="rId5" Type="http://schemas.openxmlformats.org/officeDocument/2006/relationships/hyperlink" Target="https://doi.org/10.1038/nature02599" TargetMode="External"/><Relationship Id="rId6" Type="http://schemas.openxmlformats.org/officeDocument/2006/relationships/hyperlink" Target="https://doi.org/10.1017/S0033822200033078" TargetMode="External"/><Relationship Id="rId7" Type="http://schemas.openxmlformats.org/officeDocument/2006/relationships/hyperlink" Target="https://doi.org/10.1038/199947a0" TargetMode="External"/><Relationship Id="rId8" Type="http://schemas.openxmlformats.org/officeDocument/2006/relationships/hyperlink" Target="https://www.talkorigins.org/faqs/helium/zircons.html" TargetMode="External"/><Relationship Id="rId9" Type="http://schemas.openxmlformats.org/officeDocument/2006/relationships/hyperlink" Target="https://www.ewtn.com/catholicism/teachings/vatican-i-dogmatic-constitution-dei-filius-on-the-catholic-faith-241" TargetMode="External"/><Relationship Id="rId10" Type="http://schemas.openxmlformats.org/officeDocument/2006/relationships/hyperlink" Target="https://www.vatican.va/archive/ENG0015/_INDEX.HTM" TargetMode="External"/><Relationship Id="rId11" Type="http://schemas.openxmlformats.org/officeDocument/2006/relationships/hyperlink" Target="https://www.newadvent.org/fathers/04124.htm" TargetMode="External"/><Relationship Id="rId12" Type="http://schemas.openxmlformats.org/officeDocument/2006/relationships/hyperlink" Target="https://www.newadvent.org/fathers/02106.htm" TargetMode="External"/><Relationship Id="rId13" Type="http://schemas.openxmlformats.org/officeDocument/2006/relationships/hyperlink" Target="https://www.baronius.com/fundamentals-of-catholic-dogma.html" TargetMode="External"/><Relationship Id="rId14" Type="http://schemas.openxmlformats.org/officeDocument/2006/relationships/hyperlink" Target="https://www.vatican.va/content/pius-xii/en/encyclicals/documents/hf_p-xii_enc_12081950_humani-generis.html" TargetMode="External"/><Relationship Id="rId15" Type="http://schemas.openxmlformats.org/officeDocument/2006/relationships/hyperlink" Target="https://www.vatican.va/roman_curia/congregations/cfaith/cti_documents/rc_con_cfaith_doc_20040723_communion-stewardship_en.html" TargetMode="External"/><Relationship Id="rId16" Type="http://schemas.openxmlformats.org/officeDocument/2006/relationships/hyperlink" Target="https://www.ivpress.com/the-genealogical-adam-and-eve" TargetMode="External"/><Relationship Id="rId17" Type="http://schemas.openxmlformats.org/officeDocument/2006/relationships/hyperlink" Target="https://doi.org/10.5840/acpq201185213" TargetMode="External"/><Relationship Id="rId18" Type="http://schemas.openxmlformats.org/officeDocument/2006/relationships/hyperlink" Target="https://doi.org/10.1038/nature24298" TargetMode="External"/><Relationship Id="rId19" Type="http://schemas.openxmlformats.org/officeDocument/2006/relationships/hyperlink" Target="https://doi.org/10.1038/s41586-023-06759-1" TargetMode="External"/><Relationship Id="rId20" Type="http://schemas.openxmlformats.org/officeDocument/2006/relationships/hyperlink" Target="https://doi.org/10.1126/science.abq7487" TargetMode="External"/><Relationship Id="rId21" Type="http://schemas.openxmlformats.org/officeDocument/2006/relationships/hyperlink" Target="https://humanorigins.si.edu/evidence/human-fossils/species/homo-neanderthalensis" TargetMode="External"/><Relationship Id="rId22" Type="http://schemas.openxmlformats.org/officeDocument/2006/relationships/hyperlink" Target="https://doi.org/10.1126/science.aap7778" TargetMode="External"/><Relationship Id="rId23" Type="http://schemas.openxmlformats.org/officeDocument/2006/relationships/hyperlink" Target="https://www.vatican.va/archive/hist_councils/ii_vatican_council/documents/vat-ii_const_19651207_gaudium-et-spes_en.html" TargetMode="External"/><Relationship Id="rId24" Type="http://schemas.openxmlformats.org/officeDocument/2006/relationships/hyperlink" Target="https://www.catholicscientists.org/common-questions/adam-and-eve" TargetMode="External"/><Relationship Id="rId25" Type="http://schemas.openxmlformats.org/officeDocument/2006/relationships/hyperlink" Target="https://www.newadvent.org/cathen/04702a.htm" TargetMode="External"/><Relationship Id="rId26" Type="http://schemas.openxmlformats.org/officeDocument/2006/relationships/hyperlink" Target="https://archive.org/details/folkloreinoldtes01fraz_1" TargetMode="External"/><Relationship Id="rId27" Type="http://schemas.openxmlformats.org/officeDocument/2006/relationships/hyperlink" Target="https://doi.org/10.1080/00049182.2015.1077539" TargetMode="External"/><Relationship Id="rId28" Type="http://schemas.openxmlformats.org/officeDocument/2006/relationships/hyperlink" Target="https://www.nature.com/articles/ng0398-237" TargetMode="External"/><Relationship Id="rId29" Type="http://schemas.openxmlformats.org/officeDocument/2006/relationships/hyperlink" Target="https://link.springer.com/article/10.1007/s00251-007-0196-8" TargetMode="External"/><Relationship Id="rId30" Type="http://schemas.openxmlformats.org/officeDocument/2006/relationships/hyperlink" Target="https://pmc.ncbi.nlm.nih.gov/articles/PMC53700/" TargetMode="External"/><Relationship Id="rId31" Type="http://schemas.openxmlformats.org/officeDocument/2006/relationships/hyperlink" Target="https://academic.oup.com/genetics/article/221/2/iyac058/6569836" TargetMode="External"/><Relationship Id="rId32" Type="http://schemas.openxmlformats.org/officeDocument/2006/relationships/hyperlink" Target="https://elifesciences.org/articles/103547" TargetMode="External"/><Relationship Id="rId33" Type="http://schemas.openxmlformats.org/officeDocument/2006/relationships/hyperlink" Target="https://elifesciences.org/articles/103545" TargetMode="External"/><Relationship Id="rId34" Type="http://schemas.openxmlformats.org/officeDocument/2006/relationships/hyperlink" Target="https://peacefulscience.org/prints/misunderstood-bottleneck/" TargetMode="External"/><Relationship Id="rId35" Type="http://schemas.openxmlformats.org/officeDocument/2006/relationships/hyperlink" Target="https://bio-complexity.org/ojs/index.php/main/article/viewFile/BIO-C.2019.1/BIO-C.2019.1" TargetMode="External"/><Relationship Id="rId36" Type="http://schemas.openxmlformats.org/officeDocument/2006/relationships/hyperlink" Target="https://consc.net/papers/facing.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38</Pages>
  <Words>27357</Words>
  <Characters>152403</Characters>
  <CharactersWithSpaces>178863</CharactersWithSpaces>
  <Paragraphs>603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2026-03-06T21:39:06Z</dcterms:created>
  <dc:creator>Un-named</dc:creator>
  <dc:description/>
  <dc:language>en-US</dc:language>
  <cp:lastModifiedBy>Un-named</cp:lastModifiedBy>
  <dcterms:modified xsi:type="dcterms:W3CDTF">2026-03-06T21:39:06Z</dcterms:modified>
  <cp:revision>1</cp:revision>
  <dc:subject/>
  <dc:title/>
</cp:coreProperties>
</file>