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lastRenderedPageBreak/>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 xml:space="preserve">La caracterización estadística de los cuatro bits que utilizamos se detallan en la </w:t>
      </w:r>
      <w:r w:rsidR="00183929">
        <w:rPr>
          <w:rFonts w:eastAsiaTheme="minorEastAsia"/>
        </w:rPr>
        <w:t>referencia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6A3B02">
        <w:t xml:space="preserve"> en la referencia [1].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CE49EE">
        <w:t>más</w:t>
      </w:r>
      <w:r>
        <w:t xml:space="preserve"> adelante,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7360E7" w:rsidRDefault="007360E7" w:rsidP="007360E7">
      <w:pPr>
        <w:pStyle w:val="Prrafodelista"/>
        <w:numPr>
          <w:ilvl w:val="0"/>
          <w:numId w:val="9"/>
        </w:numPr>
      </w:pPr>
      <w:r>
        <w:t xml:space="preserve">Drivers: Son los módulos software expanden la funcionalidad de comunicación con los módulos hardware que se nos proporciona en la HAL. Esta ampliación será más detallada a continuación, pero consiste sobretodo en el tratamiento </w:t>
      </w:r>
      <w:r>
        <w:lastRenderedPageBreak/>
        <w:t>de los datos recibidos por parte de los periféricos que los que recibidos datos y el encapsulamiento de algunas instrucciones para una tarea concreta, como puede ser el pintar una línea en el LCD</w:t>
      </w:r>
    </w:p>
    <w:p w:rsidR="007360E7" w:rsidRDefault="00C4393C" w:rsidP="007360E7">
      <w:pPr>
        <w:pStyle w:val="Prrafodelista"/>
        <w:numPr>
          <w:ilvl w:val="0"/>
          <w:numId w:val="9"/>
        </w:numPr>
      </w:pPr>
      <w:r>
        <w:t>Middleware</w:t>
      </w:r>
      <w:r w:rsidR="00D0425F">
        <w:t>: Este módulo consiste en un sistema operativo de tiempo real(FreeRTOS</w:t>
      </w:r>
      <w:r w:rsidR="007360E7">
        <w:t xml:space="preserve">) que permite la definición de tareas con espacio de memoria aislado, </w:t>
      </w:r>
      <w:r w:rsidR="00CE49EE">
        <w:t>así</w:t>
      </w:r>
      <w:r w:rsidR="007360E7">
        <w:t xml:space="preserve"> como elementos de sincronización y </w:t>
      </w:r>
      <w:r w:rsidR="00CE49EE">
        <w:t>envío</w:t>
      </w:r>
      <w:r w:rsidR="007360E7">
        <w:t xml:space="preserve">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lastRenderedPageBreak/>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t>luetooth y no es el objetivo de nuestro 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lastRenderedPageBreak/>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 xml:space="preserve">El establecimiento de comunicación se hace a través del perfil GAP, el cual se encarga de todo el proceso que se describe en los requisitos (descubrimiento de dispositivos, vinculación y conexión). En primer lugar, es necesario configurar el simulador de </w:t>
      </w:r>
      <w:r>
        <w:lastRenderedPageBreak/>
        <w:t>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lastRenderedPageBreak/>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lastRenderedPageBreak/>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lastRenderedPageBreak/>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sacarlo de este estado de bajo consumo, y proceso es pulsar dicho botón durante un tiempo de 2s, tras el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lastRenderedPageBreak/>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713D9" w:rsidP="00D713D9">
      <w:r>
        <w:t xml:space="preserve">Por último, este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Los esquemas contemplan la liberación </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rsidR="00D713D9" w:rsidRDefault="00D713D9" w:rsidP="00D713D9">
      <w:r>
        <w:lastRenderedPageBreak/>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 xml:space="preserve">Validación de clave: Se encarga de llevar a cabo todo el proceso de validación de la contraseña recibida. Como fuente de datos utiliza la clave generada por la </w:t>
      </w:r>
      <w:r>
        <w:lastRenderedPageBreak/>
        <w:t>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Atención a la pantalla: Aquí estamos a la espera de recibir algún tipo de información que haya que representar por pantalla( batería, hora, señal ECG) y se realizaran las acciones necesarias mostrar dicha información por pantalla. Esta tarea también tiene prioridad baja, pues no es critica para el sistema.</w:t>
      </w:r>
    </w:p>
    <w:p w:rsidR="00D713D9" w:rsidRDefault="00D713D9" w:rsidP="00685EF5">
      <w:bookmarkStart w:id="0" w:name="_GoBack"/>
      <w:bookmarkEnd w:id="0"/>
    </w:p>
    <w:p w:rsidR="00685EF5" w:rsidRDefault="00685EF5" w:rsidP="002C288F">
      <w:pPr>
        <w:pStyle w:val="Ttulo1"/>
      </w:pPr>
      <w:r>
        <w:t>Implementación de los prototipos software</w:t>
      </w:r>
    </w:p>
    <w:p w:rsidR="00747690" w:rsidRPr="00747690" w:rsidRDefault="00747690" w:rsidP="00747690">
      <w:r>
        <w:t xml:space="preserve">En este apartado se detallan la implementación de los diversos </w:t>
      </w:r>
      <w:r w:rsidR="00011B92">
        <w:t>módulos</w:t>
      </w:r>
      <w:r>
        <w:t xml:space="preserve"> software</w:t>
      </w:r>
      <w:r w:rsidR="00171517">
        <w:t xml:space="preserve"> que han sido diseñados en el capitulo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Pr="00D65F86" w:rsidRDefault="00D65F86" w:rsidP="00D65F86">
      <w:r>
        <w:t>Para el proceso de inicialización del software se utilizan las funciones planteadas +</w:t>
      </w:r>
    </w:p>
    <w:p w:rsidR="00685EF5" w:rsidRDefault="0097033F" w:rsidP="002C288F">
      <w:pPr>
        <w:pStyle w:val="Ttulo3"/>
      </w:pPr>
      <w:r>
        <w:t>Implementación</w:t>
      </w:r>
      <w:r w:rsidR="00685EF5">
        <w:t xml:space="preserve"> de las etapas de tratamiento de la señal</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lastRenderedPageBreak/>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lastRenderedPageBreak/>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631" w:rsidRDefault="005F2631" w:rsidP="00BE5238">
      <w:pPr>
        <w:spacing w:after="0" w:line="240" w:lineRule="auto"/>
      </w:pPr>
      <w:r>
        <w:separator/>
      </w:r>
    </w:p>
  </w:endnote>
  <w:endnote w:type="continuationSeparator" w:id="0">
    <w:p w:rsidR="005F2631" w:rsidRDefault="005F2631"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A64B3F" w:rsidRDefault="00A64B3F">
        <w:pPr>
          <w:pStyle w:val="Piedepgina"/>
          <w:jc w:val="center"/>
        </w:pPr>
        <w:r>
          <w:fldChar w:fldCharType="begin"/>
        </w:r>
        <w:r>
          <w:instrText>PAGE   \* MERGEFORMAT</w:instrText>
        </w:r>
        <w:r>
          <w:fldChar w:fldCharType="separate"/>
        </w:r>
        <w:r w:rsidR="00D713D9">
          <w:rPr>
            <w:noProof/>
          </w:rPr>
          <w:t>38</w:t>
        </w:r>
        <w:r>
          <w:fldChar w:fldCharType="end"/>
        </w:r>
      </w:p>
    </w:sdtContent>
  </w:sdt>
  <w:p w:rsidR="00A64B3F" w:rsidRDefault="00A64B3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631" w:rsidRDefault="005F2631" w:rsidP="00BE5238">
      <w:pPr>
        <w:spacing w:after="0" w:line="240" w:lineRule="auto"/>
      </w:pPr>
      <w:r>
        <w:separator/>
      </w:r>
    </w:p>
  </w:footnote>
  <w:footnote w:type="continuationSeparator" w:id="0">
    <w:p w:rsidR="005F2631" w:rsidRDefault="005F2631"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1"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3"/>
  </w:num>
  <w:num w:numId="4">
    <w:abstractNumId w:val="16"/>
  </w:num>
  <w:num w:numId="5">
    <w:abstractNumId w:val="18"/>
  </w:num>
  <w:num w:numId="6">
    <w:abstractNumId w:val="7"/>
  </w:num>
  <w:num w:numId="7">
    <w:abstractNumId w:val="2"/>
  </w:num>
  <w:num w:numId="8">
    <w:abstractNumId w:val="17"/>
  </w:num>
  <w:num w:numId="9">
    <w:abstractNumId w:val="10"/>
  </w:num>
  <w:num w:numId="10">
    <w:abstractNumId w:val="32"/>
  </w:num>
  <w:num w:numId="11">
    <w:abstractNumId w:val="22"/>
  </w:num>
  <w:num w:numId="12">
    <w:abstractNumId w:val="9"/>
  </w:num>
  <w:num w:numId="13">
    <w:abstractNumId w:val="19"/>
  </w:num>
  <w:num w:numId="14">
    <w:abstractNumId w:val="12"/>
  </w:num>
  <w:num w:numId="15">
    <w:abstractNumId w:val="20"/>
  </w:num>
  <w:num w:numId="16">
    <w:abstractNumId w:val="8"/>
  </w:num>
  <w:num w:numId="17">
    <w:abstractNumId w:val="1"/>
  </w:num>
  <w:num w:numId="18">
    <w:abstractNumId w:val="6"/>
  </w:num>
  <w:num w:numId="19">
    <w:abstractNumId w:val="33"/>
  </w:num>
  <w:num w:numId="20">
    <w:abstractNumId w:val="28"/>
  </w:num>
  <w:num w:numId="21">
    <w:abstractNumId w:val="27"/>
  </w:num>
  <w:num w:numId="22">
    <w:abstractNumId w:val="24"/>
  </w:num>
  <w:num w:numId="23">
    <w:abstractNumId w:val="15"/>
  </w:num>
  <w:num w:numId="24">
    <w:abstractNumId w:val="29"/>
  </w:num>
  <w:num w:numId="25">
    <w:abstractNumId w:val="25"/>
  </w:num>
  <w:num w:numId="26">
    <w:abstractNumId w:val="5"/>
  </w:num>
  <w:num w:numId="27">
    <w:abstractNumId w:val="0"/>
  </w:num>
  <w:num w:numId="28">
    <w:abstractNumId w:val="14"/>
  </w:num>
  <w:num w:numId="29">
    <w:abstractNumId w:val="30"/>
  </w:num>
  <w:num w:numId="30">
    <w:abstractNumId w:val="31"/>
  </w:num>
  <w:num w:numId="31">
    <w:abstractNumId w:val="3"/>
  </w:num>
  <w:num w:numId="32">
    <w:abstractNumId w:val="11"/>
  </w:num>
  <w:num w:numId="33">
    <w:abstractNumId w:val="1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11B92"/>
    <w:rsid w:val="000238EE"/>
    <w:rsid w:val="00025013"/>
    <w:rsid w:val="00025F9E"/>
    <w:rsid w:val="00033A2D"/>
    <w:rsid w:val="00035C5B"/>
    <w:rsid w:val="00042721"/>
    <w:rsid w:val="00045FCC"/>
    <w:rsid w:val="000831FE"/>
    <w:rsid w:val="00083D31"/>
    <w:rsid w:val="0009402E"/>
    <w:rsid w:val="000A3FE5"/>
    <w:rsid w:val="000A4B1D"/>
    <w:rsid w:val="000B0BDB"/>
    <w:rsid w:val="000B245B"/>
    <w:rsid w:val="000C177C"/>
    <w:rsid w:val="000D321C"/>
    <w:rsid w:val="000E06A9"/>
    <w:rsid w:val="000E3DC1"/>
    <w:rsid w:val="000F2C02"/>
    <w:rsid w:val="0010715B"/>
    <w:rsid w:val="00110CAF"/>
    <w:rsid w:val="0011118C"/>
    <w:rsid w:val="001117DA"/>
    <w:rsid w:val="00120434"/>
    <w:rsid w:val="001216D9"/>
    <w:rsid w:val="00130F5C"/>
    <w:rsid w:val="001315EF"/>
    <w:rsid w:val="0013681D"/>
    <w:rsid w:val="00137693"/>
    <w:rsid w:val="00137A04"/>
    <w:rsid w:val="00142AB7"/>
    <w:rsid w:val="00160991"/>
    <w:rsid w:val="00161CF8"/>
    <w:rsid w:val="00171517"/>
    <w:rsid w:val="001746D5"/>
    <w:rsid w:val="00176D17"/>
    <w:rsid w:val="001771D7"/>
    <w:rsid w:val="00180E86"/>
    <w:rsid w:val="001815C2"/>
    <w:rsid w:val="00183929"/>
    <w:rsid w:val="00185978"/>
    <w:rsid w:val="00196F3F"/>
    <w:rsid w:val="001A5729"/>
    <w:rsid w:val="001A6290"/>
    <w:rsid w:val="001A6E42"/>
    <w:rsid w:val="001B1147"/>
    <w:rsid w:val="001B1448"/>
    <w:rsid w:val="001E20B9"/>
    <w:rsid w:val="001E2691"/>
    <w:rsid w:val="001E6C4E"/>
    <w:rsid w:val="001F5F00"/>
    <w:rsid w:val="00213A6E"/>
    <w:rsid w:val="002176F6"/>
    <w:rsid w:val="00217B2B"/>
    <w:rsid w:val="0022205C"/>
    <w:rsid w:val="00232A71"/>
    <w:rsid w:val="002345D7"/>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34B8"/>
    <w:rsid w:val="002A7B21"/>
    <w:rsid w:val="002B27DD"/>
    <w:rsid w:val="002C288F"/>
    <w:rsid w:val="002D3BA1"/>
    <w:rsid w:val="002D5367"/>
    <w:rsid w:val="002F0E2A"/>
    <w:rsid w:val="0030528C"/>
    <w:rsid w:val="00306277"/>
    <w:rsid w:val="00324095"/>
    <w:rsid w:val="00326C38"/>
    <w:rsid w:val="003303AF"/>
    <w:rsid w:val="00331491"/>
    <w:rsid w:val="00340E59"/>
    <w:rsid w:val="00344488"/>
    <w:rsid w:val="00354AE5"/>
    <w:rsid w:val="00354D00"/>
    <w:rsid w:val="003557B4"/>
    <w:rsid w:val="00356322"/>
    <w:rsid w:val="0035708F"/>
    <w:rsid w:val="003617F0"/>
    <w:rsid w:val="00364709"/>
    <w:rsid w:val="00380422"/>
    <w:rsid w:val="003804C0"/>
    <w:rsid w:val="00384C1D"/>
    <w:rsid w:val="003920B5"/>
    <w:rsid w:val="00392D74"/>
    <w:rsid w:val="0039369C"/>
    <w:rsid w:val="003949AB"/>
    <w:rsid w:val="003A3736"/>
    <w:rsid w:val="003B6634"/>
    <w:rsid w:val="003B7BFF"/>
    <w:rsid w:val="003C50AC"/>
    <w:rsid w:val="003D098D"/>
    <w:rsid w:val="003E730B"/>
    <w:rsid w:val="003F4053"/>
    <w:rsid w:val="00402C1E"/>
    <w:rsid w:val="00410299"/>
    <w:rsid w:val="00411F0B"/>
    <w:rsid w:val="0041236D"/>
    <w:rsid w:val="00414AF0"/>
    <w:rsid w:val="00414F37"/>
    <w:rsid w:val="004234BA"/>
    <w:rsid w:val="004326DB"/>
    <w:rsid w:val="00432C1D"/>
    <w:rsid w:val="004564C5"/>
    <w:rsid w:val="00456D4C"/>
    <w:rsid w:val="00464599"/>
    <w:rsid w:val="004760C3"/>
    <w:rsid w:val="00480D73"/>
    <w:rsid w:val="00492AF7"/>
    <w:rsid w:val="004A470B"/>
    <w:rsid w:val="004A5994"/>
    <w:rsid w:val="004B2B6A"/>
    <w:rsid w:val="004B5311"/>
    <w:rsid w:val="004D6DBC"/>
    <w:rsid w:val="004E40A4"/>
    <w:rsid w:val="004E7D9B"/>
    <w:rsid w:val="004F167B"/>
    <w:rsid w:val="00503598"/>
    <w:rsid w:val="005128C7"/>
    <w:rsid w:val="00512D0F"/>
    <w:rsid w:val="0051304A"/>
    <w:rsid w:val="00513E5F"/>
    <w:rsid w:val="00514F97"/>
    <w:rsid w:val="0051555D"/>
    <w:rsid w:val="005160ED"/>
    <w:rsid w:val="0051751E"/>
    <w:rsid w:val="00517BCE"/>
    <w:rsid w:val="00523788"/>
    <w:rsid w:val="00525306"/>
    <w:rsid w:val="00530403"/>
    <w:rsid w:val="005359A9"/>
    <w:rsid w:val="0054569A"/>
    <w:rsid w:val="00546722"/>
    <w:rsid w:val="005501C6"/>
    <w:rsid w:val="00554A12"/>
    <w:rsid w:val="0056511A"/>
    <w:rsid w:val="0056717E"/>
    <w:rsid w:val="005776EA"/>
    <w:rsid w:val="0058212E"/>
    <w:rsid w:val="005953AD"/>
    <w:rsid w:val="005A2740"/>
    <w:rsid w:val="005A381D"/>
    <w:rsid w:val="005A6280"/>
    <w:rsid w:val="005A69C1"/>
    <w:rsid w:val="005B0399"/>
    <w:rsid w:val="005B7CCC"/>
    <w:rsid w:val="005C144C"/>
    <w:rsid w:val="005C16EA"/>
    <w:rsid w:val="005C30C9"/>
    <w:rsid w:val="005C670F"/>
    <w:rsid w:val="005D24DA"/>
    <w:rsid w:val="005D42D3"/>
    <w:rsid w:val="005D509F"/>
    <w:rsid w:val="005E0B67"/>
    <w:rsid w:val="005E7C83"/>
    <w:rsid w:val="005F2631"/>
    <w:rsid w:val="005F6885"/>
    <w:rsid w:val="005F7EB7"/>
    <w:rsid w:val="00606490"/>
    <w:rsid w:val="00612F4D"/>
    <w:rsid w:val="006149FF"/>
    <w:rsid w:val="00615547"/>
    <w:rsid w:val="00622FE8"/>
    <w:rsid w:val="006231C3"/>
    <w:rsid w:val="0062450D"/>
    <w:rsid w:val="006247BF"/>
    <w:rsid w:val="00626940"/>
    <w:rsid w:val="0064163F"/>
    <w:rsid w:val="0064164D"/>
    <w:rsid w:val="006440D8"/>
    <w:rsid w:val="00654C71"/>
    <w:rsid w:val="00655123"/>
    <w:rsid w:val="0066590C"/>
    <w:rsid w:val="00673782"/>
    <w:rsid w:val="00673D40"/>
    <w:rsid w:val="00681D04"/>
    <w:rsid w:val="006847CE"/>
    <w:rsid w:val="00685EF5"/>
    <w:rsid w:val="00686352"/>
    <w:rsid w:val="006904BB"/>
    <w:rsid w:val="00692FEF"/>
    <w:rsid w:val="006A3B02"/>
    <w:rsid w:val="006A43C4"/>
    <w:rsid w:val="006A595D"/>
    <w:rsid w:val="006A6BA9"/>
    <w:rsid w:val="006C61D0"/>
    <w:rsid w:val="006D016C"/>
    <w:rsid w:val="006D0E4A"/>
    <w:rsid w:val="006D5545"/>
    <w:rsid w:val="006D6A30"/>
    <w:rsid w:val="006F2032"/>
    <w:rsid w:val="006F3D3E"/>
    <w:rsid w:val="006F3DD7"/>
    <w:rsid w:val="0070032E"/>
    <w:rsid w:val="00701494"/>
    <w:rsid w:val="00715F19"/>
    <w:rsid w:val="00722758"/>
    <w:rsid w:val="00730327"/>
    <w:rsid w:val="007342C0"/>
    <w:rsid w:val="007360E7"/>
    <w:rsid w:val="00747690"/>
    <w:rsid w:val="0075199B"/>
    <w:rsid w:val="007543D5"/>
    <w:rsid w:val="007544CF"/>
    <w:rsid w:val="007545ED"/>
    <w:rsid w:val="00777A97"/>
    <w:rsid w:val="007832D5"/>
    <w:rsid w:val="007854C3"/>
    <w:rsid w:val="00790864"/>
    <w:rsid w:val="00793AB3"/>
    <w:rsid w:val="007A247B"/>
    <w:rsid w:val="007B226A"/>
    <w:rsid w:val="007B261E"/>
    <w:rsid w:val="007B5B48"/>
    <w:rsid w:val="007D25B3"/>
    <w:rsid w:val="007E2842"/>
    <w:rsid w:val="007E3F5C"/>
    <w:rsid w:val="007E6981"/>
    <w:rsid w:val="007F330F"/>
    <w:rsid w:val="007F5464"/>
    <w:rsid w:val="00800007"/>
    <w:rsid w:val="00810D72"/>
    <w:rsid w:val="00811634"/>
    <w:rsid w:val="0081459C"/>
    <w:rsid w:val="00840EDF"/>
    <w:rsid w:val="00844488"/>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6358C"/>
    <w:rsid w:val="00963941"/>
    <w:rsid w:val="00967741"/>
    <w:rsid w:val="0097033F"/>
    <w:rsid w:val="009762A3"/>
    <w:rsid w:val="00976ED2"/>
    <w:rsid w:val="009821AC"/>
    <w:rsid w:val="00982CAD"/>
    <w:rsid w:val="00992E44"/>
    <w:rsid w:val="00997342"/>
    <w:rsid w:val="009A31A5"/>
    <w:rsid w:val="009D1F63"/>
    <w:rsid w:val="009D2718"/>
    <w:rsid w:val="009D2C95"/>
    <w:rsid w:val="009D746B"/>
    <w:rsid w:val="009E1033"/>
    <w:rsid w:val="009E4E75"/>
    <w:rsid w:val="009F4CD1"/>
    <w:rsid w:val="00A02FDE"/>
    <w:rsid w:val="00A10287"/>
    <w:rsid w:val="00A11973"/>
    <w:rsid w:val="00A12C0B"/>
    <w:rsid w:val="00A16D37"/>
    <w:rsid w:val="00A24DB0"/>
    <w:rsid w:val="00A2578A"/>
    <w:rsid w:val="00A34EE3"/>
    <w:rsid w:val="00A35FAD"/>
    <w:rsid w:val="00A40045"/>
    <w:rsid w:val="00A4626F"/>
    <w:rsid w:val="00A54404"/>
    <w:rsid w:val="00A64B3F"/>
    <w:rsid w:val="00A727BA"/>
    <w:rsid w:val="00A7530E"/>
    <w:rsid w:val="00A816F4"/>
    <w:rsid w:val="00A970FE"/>
    <w:rsid w:val="00AA0A07"/>
    <w:rsid w:val="00AA28C0"/>
    <w:rsid w:val="00AA2A28"/>
    <w:rsid w:val="00AB0B16"/>
    <w:rsid w:val="00AB0EFE"/>
    <w:rsid w:val="00AC0CA4"/>
    <w:rsid w:val="00AC3B17"/>
    <w:rsid w:val="00AC4600"/>
    <w:rsid w:val="00AC7EA9"/>
    <w:rsid w:val="00AE1D1D"/>
    <w:rsid w:val="00AE7FF6"/>
    <w:rsid w:val="00AF0226"/>
    <w:rsid w:val="00AF156A"/>
    <w:rsid w:val="00AF3647"/>
    <w:rsid w:val="00B14E24"/>
    <w:rsid w:val="00B17AC6"/>
    <w:rsid w:val="00B21C0E"/>
    <w:rsid w:val="00B34309"/>
    <w:rsid w:val="00B43A02"/>
    <w:rsid w:val="00B4671B"/>
    <w:rsid w:val="00B51496"/>
    <w:rsid w:val="00B55872"/>
    <w:rsid w:val="00B62958"/>
    <w:rsid w:val="00B81EAF"/>
    <w:rsid w:val="00B827F6"/>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1392"/>
    <w:rsid w:val="00C962F0"/>
    <w:rsid w:val="00C96D81"/>
    <w:rsid w:val="00CA4D5A"/>
    <w:rsid w:val="00CA6FE4"/>
    <w:rsid w:val="00CC638B"/>
    <w:rsid w:val="00CC70F8"/>
    <w:rsid w:val="00CE05F8"/>
    <w:rsid w:val="00CE49EE"/>
    <w:rsid w:val="00D0425F"/>
    <w:rsid w:val="00D102AA"/>
    <w:rsid w:val="00D11431"/>
    <w:rsid w:val="00D2781E"/>
    <w:rsid w:val="00D35189"/>
    <w:rsid w:val="00D36A33"/>
    <w:rsid w:val="00D428BF"/>
    <w:rsid w:val="00D51909"/>
    <w:rsid w:val="00D5605B"/>
    <w:rsid w:val="00D578CF"/>
    <w:rsid w:val="00D57B37"/>
    <w:rsid w:val="00D625EA"/>
    <w:rsid w:val="00D65F86"/>
    <w:rsid w:val="00D713D9"/>
    <w:rsid w:val="00D72061"/>
    <w:rsid w:val="00D76C30"/>
    <w:rsid w:val="00D76F20"/>
    <w:rsid w:val="00D86350"/>
    <w:rsid w:val="00D86921"/>
    <w:rsid w:val="00D87C42"/>
    <w:rsid w:val="00D916CE"/>
    <w:rsid w:val="00D91CE4"/>
    <w:rsid w:val="00D9613D"/>
    <w:rsid w:val="00DA769B"/>
    <w:rsid w:val="00DB0C5E"/>
    <w:rsid w:val="00DB440B"/>
    <w:rsid w:val="00DB4A4D"/>
    <w:rsid w:val="00DB710A"/>
    <w:rsid w:val="00DC2ADE"/>
    <w:rsid w:val="00DC46D4"/>
    <w:rsid w:val="00DE54CF"/>
    <w:rsid w:val="00DF1CFD"/>
    <w:rsid w:val="00E10059"/>
    <w:rsid w:val="00E238CF"/>
    <w:rsid w:val="00E3017B"/>
    <w:rsid w:val="00E370E0"/>
    <w:rsid w:val="00E41E82"/>
    <w:rsid w:val="00E4785E"/>
    <w:rsid w:val="00E54368"/>
    <w:rsid w:val="00E548DD"/>
    <w:rsid w:val="00E61553"/>
    <w:rsid w:val="00E653F6"/>
    <w:rsid w:val="00E665E5"/>
    <w:rsid w:val="00E910BF"/>
    <w:rsid w:val="00E94984"/>
    <w:rsid w:val="00EA6349"/>
    <w:rsid w:val="00EA6CE3"/>
    <w:rsid w:val="00EB16F3"/>
    <w:rsid w:val="00EB4410"/>
    <w:rsid w:val="00EC55BF"/>
    <w:rsid w:val="00ED0E7D"/>
    <w:rsid w:val="00ED52BE"/>
    <w:rsid w:val="00EE08B5"/>
    <w:rsid w:val="00EE7556"/>
    <w:rsid w:val="00EF0A4E"/>
    <w:rsid w:val="00EF3B04"/>
    <w:rsid w:val="00EF5A3A"/>
    <w:rsid w:val="00EF6A17"/>
    <w:rsid w:val="00F110C4"/>
    <w:rsid w:val="00F247EE"/>
    <w:rsid w:val="00F2483D"/>
    <w:rsid w:val="00F32C5A"/>
    <w:rsid w:val="00F377DA"/>
    <w:rsid w:val="00F416F1"/>
    <w:rsid w:val="00F44649"/>
    <w:rsid w:val="00F47C74"/>
    <w:rsid w:val="00F51361"/>
    <w:rsid w:val="00F5423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D4F03"/>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3662"/>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2718C-D952-44C9-9875-EEEBAE50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5671</TotalTime>
  <Pages>40</Pages>
  <Words>12500</Words>
  <Characters>68753</Characters>
  <Application>Microsoft Office Word</Application>
  <DocSecurity>0</DocSecurity>
  <Lines>572</Lines>
  <Paragraphs>162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150</cp:revision>
  <dcterms:created xsi:type="dcterms:W3CDTF">2016-06-15T11:09:00Z</dcterms:created>
  <dcterms:modified xsi:type="dcterms:W3CDTF">2016-09-15T16:08:00Z</dcterms:modified>
</cp:coreProperties>
</file>