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0EDA5DA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jc w:val="center"/>
        <w:textAlignment w:val="auto"/>
        <w:rPr>
          <w:rFonts w:ascii="方正小标宋简体" w:eastAsia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</w:pPr>
      <w:r>
        <w:rPr>
          <w:rFonts w:hint="eastAsia" w:ascii="方正小标宋简体" w:eastAsia="方正小标宋简体"/>
          <w:color w:val="000000" w:themeColor="text1"/>
          <w:sz w:val="44"/>
          <w:szCs w:val="44"/>
          <w14:textFill>
            <w14:solidFill>
              <w14:schemeClr w14:val="tx1"/>
            </w14:solidFill>
          </w14:textFill>
        </w:rPr>
        <w:t>物联网平台容灾备份建设项目工作周报</w:t>
      </w:r>
    </w:p>
    <w:p w14:paraId="5475111E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firstLine="640" w:firstLineChars="200"/>
        <w:textAlignment w:val="auto"/>
        <w:rPr>
          <w:rFonts w:ascii="仿宋" w:hAnsi="仿宋" w:eastAsia="仿宋"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</w:pPr>
    </w:p>
    <w:p w14:paraId="29841549">
      <w:pPr>
        <w:keepNext w:val="0"/>
        <w:keepLines w:val="0"/>
        <w:pageBreakBefore w:val="0"/>
        <w:widowControl w:val="0"/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jc w:val="right"/>
        <w:textAlignment w:val="auto"/>
        <w:rPr>
          <w:rFonts w:hint="default" w:ascii="仿宋" w:hAnsi="仿宋" w:eastAsia="仿宋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仿宋" w:hAnsi="仿宋" w:eastAsia="仿宋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</w:t>
      </w:r>
      <w:r>
        <w:rPr>
          <w:rFonts w:ascii="仿宋" w:hAnsi="仿宋" w:eastAsia="仿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 xml:space="preserve">       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     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202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02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7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-202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5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02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14:textFill>
            <w14:solidFill>
              <w14:schemeClr w14:val="tx1"/>
            </w14:solidFill>
          </w14:textFill>
        </w:rPr>
        <w:t>/</w:t>
      </w:r>
      <w:r>
        <w:rPr>
          <w:rFonts w:hint="eastAsia" w:ascii="仿宋" w:hAnsi="仿宋" w:eastAsia="仿宋"/>
          <w:b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14</w:t>
      </w:r>
    </w:p>
    <w:tbl>
      <w:tblPr>
        <w:tblStyle w:val="10"/>
        <w:tblW w:w="8818" w:type="dxa"/>
        <w:tblInd w:w="0" w:type="dxa"/>
        <w:tblBorders>
          <w:top w:val="single" w:color="auto" w:sz="4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818"/>
      </w:tblGrid>
      <w:tr w14:paraId="1C40B413">
        <w:trPr>
          <w:trHeight w:val="93" w:hRule="atLeast"/>
        </w:trPr>
        <w:tc>
          <w:tcPr>
            <w:tcW w:w="8818" w:type="dxa"/>
          </w:tcPr>
          <w:p w14:paraId="2D5CFACD">
            <w:pPr>
              <w:keepNext w:val="0"/>
              <w:keepLines w:val="0"/>
              <w:pageBreakBefore w:val="0"/>
              <w:widowControl w:val="0"/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firstLine="881" w:firstLineChars="200"/>
              <w:textAlignment w:val="auto"/>
              <w:rPr>
                <w:rFonts w:ascii="方正小标宋简体" w:eastAsia="方正小标宋简体"/>
                <w:b/>
                <w:color w:val="000000" w:themeColor="text1"/>
                <w:sz w:val="44"/>
                <w:szCs w:val="44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</w:tbl>
    <w:p w14:paraId="4259D8C7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640" w:firstLineChars="200"/>
        <w:textAlignment w:val="auto"/>
        <w:rPr>
          <w:rFonts w:hint="eastAsia" w:ascii="黑体" w:hAnsi="黑体" w:eastAsia="黑体" w:cs="黑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本周工作内容</w:t>
      </w:r>
    </w:p>
    <w:p w14:paraId="3BBE088F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420" w:firstLineChars="0"/>
        <w:jc w:val="left"/>
        <w:textAlignment w:val="auto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为数据中台“数据安全场景分析”建设数据Tdengine备库。</w:t>
      </w:r>
    </w:p>
    <w:p w14:paraId="01667C54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本周主要进行数据导出、同步、校验工作；主库共包含33张表，目前完成26张表导出、其中6张表24年无数据，剩余1张超级大表；预计下周可提前</w:t>
      </w:r>
      <w:bookmarkStart w:id="0" w:name="_GoBack"/>
      <w:bookmarkEnd w:id="0"/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完成Tdengine数据库中包含2024数据的所有表同步工作；</w:t>
      </w:r>
    </w:p>
    <w:p w14:paraId="3558B744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420" w:firstLineChars="0"/>
        <w:jc w:val="left"/>
        <w:textAlignment w:val="auto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容灾备份建设-数据库同步验证工作项开展；</w:t>
      </w:r>
    </w:p>
    <w:p w14:paraId="382C61C1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jc w:val="left"/>
        <w:textAlignment w:val="auto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本周同步评估saas测试环境中mongodb数据同步验证工作，预计下周二输出同步验证方案；</w:t>
      </w:r>
    </w:p>
    <w:p w14:paraId="1D9225A1">
      <w:pPr>
        <w:keepNext w:val="0"/>
        <w:keepLines w:val="0"/>
        <w:pageBreakBefore w:val="0"/>
        <w:widowControl w:val="0"/>
        <w:numPr>
          <w:ilvl w:val="0"/>
          <w:numId w:val="2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420" w:firstLineChars="0"/>
        <w:jc w:val="left"/>
        <w:textAlignment w:val="auto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容灾备份建设-AEP平台升级方案评估工作项开展。</w:t>
      </w:r>
    </w:p>
    <w:p w14:paraId="6DCA5246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0" w:firstLineChars="0"/>
        <w:jc w:val="left"/>
        <w:textAlignment w:val="auto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    整体平台侧容灾升级方案评估分节点实行，包括：aep平台升版（输出升版方案）、整体压测扩容评估（输出压测评估报告）、分步迁移保障（输出迁移保障方案）；</w:t>
      </w:r>
    </w:p>
    <w:p w14:paraId="1C217476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640" w:firstLineChars="200"/>
        <w:textAlignment w:val="auto"/>
        <w:rPr>
          <w:rFonts w:hint="eastAsia" w:ascii="黑体" w:hAnsi="黑体" w:eastAsia="黑体" w:cs="黑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</w:pPr>
      <w:r>
        <w:rPr>
          <w:rFonts w:hint="default" w:ascii="黑体" w:hAnsi="黑体" w:eastAsia="黑体" w:cs="黑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下</w:t>
      </w:r>
      <w:r>
        <w:rPr>
          <w:rFonts w:hint="eastAsia" w:ascii="黑体" w:hAnsi="黑体" w:eastAsia="黑体" w:cs="黑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周工作</w:t>
      </w:r>
      <w:r>
        <w:rPr>
          <w:rFonts w:hint="default" w:ascii="黑体" w:hAnsi="黑体" w:eastAsia="黑体" w:cs="黑体"/>
          <w:color w:val="000000" w:themeColor="text1"/>
          <w:kern w:val="0"/>
          <w:sz w:val="32"/>
          <w:szCs w:val="32"/>
          <w14:textFill>
            <w14:solidFill>
              <w14:schemeClr w14:val="tx1"/>
            </w14:solidFill>
          </w14:textFill>
        </w:rPr>
        <w:t>安排</w:t>
      </w:r>
    </w:p>
    <w:p w14:paraId="3403918D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420" w:firstLineChars="0"/>
        <w:textAlignment w:val="auto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按进度完成最后一张超级大表同步工作，同步制定常规实时同步策略，观测日常同步运营状态，保障同步工作自动化运行；</w:t>
      </w:r>
    </w:p>
    <w:p w14:paraId="212397C7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420" w:firstLineChars="0"/>
        <w:textAlignment w:val="auto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按评估方案正式开展mongodb数据库测试环境验证工作；</w:t>
      </w:r>
    </w:p>
    <w:p w14:paraId="711C941F">
      <w:pPr>
        <w:keepNext w:val="0"/>
        <w:keepLines w:val="0"/>
        <w:pageBreakBefore w:val="0"/>
        <w:widowControl w:val="0"/>
        <w:numPr>
          <w:ilvl w:val="0"/>
          <w:numId w:val="3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left="0" w:leftChars="0" w:right="0" w:rightChars="0" w:firstLine="420" w:firstLineChars="0"/>
        <w:textAlignment w:val="auto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按计划输出aep平台升版方案、以及压测资源需求；</w:t>
      </w:r>
    </w:p>
    <w:p w14:paraId="74A75CAE">
      <w:pPr>
        <w:keepNext w:val="0"/>
        <w:keepLines w:val="0"/>
        <w:pageBreakBefore w:val="0"/>
        <w:widowControl w:val="0"/>
        <w:numPr>
          <w:ilvl w:val="0"/>
          <w:numId w:val="1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firstLine="640" w:firstLineChars="200"/>
        <w:textAlignment w:val="auto"/>
        <w:rPr>
          <w:rFonts w:hint="default" w:ascii="黑体" w:hAnsi="黑体" w:eastAsia="黑体" w:cs="黑体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黑体" w:hAnsi="黑体" w:eastAsia="黑体" w:cs="黑体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整体工作计划</w:t>
      </w:r>
    </w:p>
    <w:p w14:paraId="7E82E46A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textAlignment w:val="auto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项目工作的整体计划如下，后续会根据实际情况进行滚动更新。</w:t>
      </w:r>
    </w:p>
    <w:p w14:paraId="2704132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textAlignment w:val="auto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（1）备库安排计划</w:t>
      </w:r>
    </w:p>
    <w:tbl>
      <w:tblPr>
        <w:tblStyle w:val="10"/>
        <w:tblW w:w="4998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91"/>
        <w:gridCol w:w="2563"/>
        <w:gridCol w:w="2702"/>
        <w:gridCol w:w="1688"/>
      </w:tblGrid>
      <w:tr w14:paraId="018172DE">
        <w:trPr>
          <w:trHeight w:val="680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3C8BE72D">
            <w:pPr>
              <w:jc w:val="left"/>
              <w:rPr>
                <w:rFonts w:hint="default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节后时间安排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3FAA76A5">
            <w:pPr>
              <w:jc w:val="left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任务i</w:t>
            </w:r>
          </w:p>
        </w:tc>
        <w:tc>
          <w:tcPr>
            <w:tcW w:w="2702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6CA5C52A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  <w:t>说明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C2D69B" w:themeFill="accent3" w:themeFillTint="99"/>
            <w:vAlign w:val="center"/>
          </w:tcPr>
          <w:p w14:paraId="6CA4D50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cs="宋体"/>
                <w:i w:val="0"/>
                <w:iCs w:val="0"/>
                <w:color w:val="000000"/>
                <w:sz w:val="22"/>
                <w:szCs w:val="22"/>
                <w:u w:val="none"/>
                <w:lang w:val="en-US" w:eastAsia="zh-CN"/>
              </w:rPr>
            </w:pPr>
          </w:p>
        </w:tc>
      </w:tr>
      <w:tr w14:paraId="54FF3FF9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C12400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2025/2/5（年后）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BF8BA5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restar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C0D2FA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按照3500万 1个月， 1小时可以导出22G的csv文件。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meter_wh 1年总量：442727924 条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1115439164/12  约等于meter_wh3倍  那么一个月 66G   半个月  30G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2094051934/12  约等于meter_wh5倍  那么一个月 110G  半个月 55G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剩下三张大数据量超级表的11.5个月的数据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表1：264G-22G=242G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表2：792G-30G=762G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表3：1320G-55G=1265G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三张大数据量超级表11.5个月的数据总计：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242G+762G+1265G=2269G</w:t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br w:type="textWrapping"/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每天允许导出5小时，100G数据，需要22天导出。传输 1个小时 100G md5 1小时，导入每天可以150G。</w:t>
            </w: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4F098E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按计划完成</w:t>
            </w:r>
          </w:p>
        </w:tc>
      </w:tr>
      <w:tr w14:paraId="19373DF0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479AB4F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2025/2/6（年后）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4CEFE9E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7F682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68752B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按计划完成</w:t>
            </w:r>
          </w:p>
        </w:tc>
      </w:tr>
      <w:tr w14:paraId="6914A87B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1ADAEDF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2025/2/7（年后）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37BAC17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76AFA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6DD83E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按计划完成</w:t>
            </w:r>
          </w:p>
        </w:tc>
      </w:tr>
      <w:tr w14:paraId="27C85DEC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319FD0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2025/2/8（年后）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28B4C18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4E31465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34B4D82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按计划完成</w:t>
            </w:r>
          </w:p>
        </w:tc>
      </w:tr>
      <w:tr w14:paraId="4EF92D36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193B7B4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2025/2/10（年后）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9BEE28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152F4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34CF5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按计划完成</w:t>
            </w:r>
          </w:p>
        </w:tc>
      </w:tr>
      <w:tr w14:paraId="56A804CA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35730DA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2025/2/11（年后）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596AD458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B73A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34EBF4B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按计划完成</w:t>
            </w:r>
          </w:p>
        </w:tc>
      </w:tr>
      <w:tr w14:paraId="45D37741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2AC99A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2025/2/12（年后）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16DC68F1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726A2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2061A4E1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按计划完成</w:t>
            </w:r>
          </w:p>
        </w:tc>
      </w:tr>
      <w:tr w14:paraId="10D38088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7D300ECB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2025/2/13（年后）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39E355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FA2E2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6829414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按计划完成</w:t>
            </w:r>
          </w:p>
        </w:tc>
      </w:tr>
      <w:tr w14:paraId="2A5F6245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25FC8B7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2025/2/14（年后）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329175E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69C3FB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92D050"/>
            <w:vAlign w:val="center"/>
          </w:tcPr>
          <w:p w14:paraId="054C8B38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按计划完成</w:t>
            </w:r>
          </w:p>
        </w:tc>
      </w:tr>
      <w:tr w14:paraId="66B6F344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CCE449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2025/2/15（年后）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83E37F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6E4B7A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C4C5546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8759830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8EE8FB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2025/2/17（年后）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E382E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02018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A1C796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25D629C4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B48058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2025/2/18（年后）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7AF052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8DF28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119EC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17F2FAE7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D1CA9E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2025/2/19（年后）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8D69333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7C5386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C12FD3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6F0B72F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87A53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2025/2/20（年后）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5139DF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8CFA00A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6561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43D9CBB9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DCAA6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2025/2/21（年后）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93B2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119F167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AE7B2DD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A51CEBC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370BA6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2025/2/24（年后）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6B51C20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6F80C674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0C028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FC98758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DCA3182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2025/2/25（年后）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F832C9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ACD40A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E61D922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6002D7F7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8E7BE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2025/2/26（年后）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70B3896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F09C8F0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7982E2B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068EE6D4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E1F4D5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2025/2/27（年后）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F2A773C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4ADEE43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4BAB63F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  <w:tr w14:paraId="3F879682">
        <w:trPr>
          <w:trHeight w:val="336" w:hRule="atLeast"/>
        </w:trPr>
        <w:tc>
          <w:tcPr>
            <w:tcW w:w="199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05FABCF7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2025/2/28（年后）</w:t>
            </w:r>
          </w:p>
        </w:tc>
        <w:tc>
          <w:tcPr>
            <w:tcW w:w="2563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7F309B24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t>导入三张表的100G数据</w:t>
            </w:r>
          </w:p>
        </w:tc>
        <w:tc>
          <w:tcPr>
            <w:tcW w:w="2702" w:type="dxa"/>
            <w:vMerge w:val="continue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51811C5E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  <w:tc>
          <w:tcPr>
            <w:tcW w:w="1688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11DDB3D9">
            <w:pPr>
              <w:jc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2"/>
                <w:szCs w:val="22"/>
                <w:u w:val="none"/>
              </w:rPr>
            </w:pPr>
          </w:p>
        </w:tc>
      </w:tr>
    </w:tbl>
    <w:p w14:paraId="70DBAEDD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textAlignment w:val="auto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49312D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 w:firstLine="640" w:firstLineChars="200"/>
        <w:textAlignment w:val="auto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（3）整体计划安排</w:t>
      </w:r>
    </w:p>
    <w:tbl>
      <w:tblPr>
        <w:tblStyle w:val="11"/>
        <w:tblW w:w="913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72"/>
        <w:gridCol w:w="1090"/>
        <w:gridCol w:w="3897"/>
        <w:gridCol w:w="1296"/>
        <w:gridCol w:w="1227"/>
        <w:gridCol w:w="948"/>
      </w:tblGrid>
      <w:tr w14:paraId="09F83AD6">
        <w:trPr>
          <w:jc w:val="center"/>
        </w:trPr>
        <w:tc>
          <w:tcPr>
            <w:tcW w:w="672" w:type="dxa"/>
            <w:vAlign w:val="center"/>
          </w:tcPr>
          <w:p w14:paraId="3A7E2E7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序号</w:t>
            </w:r>
          </w:p>
        </w:tc>
        <w:tc>
          <w:tcPr>
            <w:tcW w:w="1090" w:type="dxa"/>
            <w:vAlign w:val="center"/>
          </w:tcPr>
          <w:p w14:paraId="03DCF33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任务</w:t>
            </w:r>
          </w:p>
        </w:tc>
        <w:tc>
          <w:tcPr>
            <w:tcW w:w="3897" w:type="dxa"/>
            <w:vAlign w:val="center"/>
          </w:tcPr>
          <w:p w14:paraId="5A38060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事项</w:t>
            </w:r>
          </w:p>
        </w:tc>
        <w:tc>
          <w:tcPr>
            <w:tcW w:w="1296" w:type="dxa"/>
            <w:vAlign w:val="center"/>
          </w:tcPr>
          <w:p w14:paraId="467B776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完成时间</w:t>
            </w:r>
          </w:p>
        </w:tc>
        <w:tc>
          <w:tcPr>
            <w:tcW w:w="1227" w:type="dxa"/>
            <w:vAlign w:val="center"/>
          </w:tcPr>
          <w:p w14:paraId="2B667CE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落实单位</w:t>
            </w:r>
          </w:p>
        </w:tc>
        <w:tc>
          <w:tcPr>
            <w:tcW w:w="948" w:type="dxa"/>
            <w:vAlign w:val="center"/>
          </w:tcPr>
          <w:p w14:paraId="6462F34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责任人</w:t>
            </w:r>
          </w:p>
        </w:tc>
      </w:tr>
      <w:tr w14:paraId="675FFEB4">
        <w:trPr>
          <w:jc w:val="center"/>
        </w:trPr>
        <w:tc>
          <w:tcPr>
            <w:tcW w:w="672" w:type="dxa"/>
            <w:vMerge w:val="restart"/>
            <w:vAlign w:val="center"/>
          </w:tcPr>
          <w:p w14:paraId="0DDD698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1</w:t>
            </w:r>
          </w:p>
        </w:tc>
        <w:tc>
          <w:tcPr>
            <w:tcW w:w="1090" w:type="dxa"/>
            <w:vMerge w:val="restart"/>
            <w:vAlign w:val="center"/>
          </w:tcPr>
          <w:p w14:paraId="27BF055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灾备方案和环境准备</w:t>
            </w:r>
          </w:p>
        </w:tc>
        <w:tc>
          <w:tcPr>
            <w:tcW w:w="3897" w:type="dxa"/>
            <w:vAlign w:val="center"/>
          </w:tcPr>
          <w:p w14:paraId="65748F1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AEP平台升级方案评估及验证</w:t>
            </w:r>
          </w:p>
        </w:tc>
        <w:tc>
          <w:tcPr>
            <w:tcW w:w="1296" w:type="dxa"/>
            <w:vAlign w:val="center"/>
          </w:tcPr>
          <w:p w14:paraId="7B5267E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2025.1.10</w:t>
            </w:r>
          </w:p>
        </w:tc>
        <w:tc>
          <w:tcPr>
            <w:tcW w:w="1227" w:type="dxa"/>
            <w:vAlign w:val="center"/>
          </w:tcPr>
          <w:p w14:paraId="252E122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赛易特</w:t>
            </w:r>
          </w:p>
        </w:tc>
        <w:tc>
          <w:tcPr>
            <w:tcW w:w="948" w:type="dxa"/>
            <w:vAlign w:val="center"/>
          </w:tcPr>
          <w:p w14:paraId="6D53E69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胡鹏</w:t>
            </w:r>
          </w:p>
        </w:tc>
      </w:tr>
      <w:tr w14:paraId="3D4FDAFF">
        <w:trPr>
          <w:jc w:val="center"/>
        </w:trPr>
        <w:tc>
          <w:tcPr>
            <w:tcW w:w="672" w:type="dxa"/>
            <w:vMerge w:val="continue"/>
            <w:vAlign w:val="center"/>
          </w:tcPr>
          <w:p w14:paraId="0CA364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43BC4CF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7" w:type="dxa"/>
            <w:shd w:val="clear" w:color="auto" w:fill="auto"/>
            <w:vAlign w:val="center"/>
          </w:tcPr>
          <w:p w14:paraId="60881B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灾备资源评估及准备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4DB6782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2025.1.20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54B5B56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信息中心</w:t>
            </w:r>
          </w:p>
        </w:tc>
        <w:tc>
          <w:tcPr>
            <w:tcW w:w="948" w:type="dxa"/>
            <w:shd w:val="clear" w:color="auto" w:fill="auto"/>
            <w:vAlign w:val="center"/>
          </w:tcPr>
          <w:p w14:paraId="7C2A27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宋超</w:t>
            </w:r>
          </w:p>
        </w:tc>
      </w:tr>
      <w:tr w14:paraId="2857206A">
        <w:trPr>
          <w:jc w:val="center"/>
        </w:trPr>
        <w:tc>
          <w:tcPr>
            <w:tcW w:w="672" w:type="dxa"/>
            <w:vMerge w:val="continue"/>
            <w:vAlign w:val="center"/>
          </w:tcPr>
          <w:p w14:paraId="02C371C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7819235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7" w:type="dxa"/>
            <w:shd w:val="clear" w:color="auto" w:fill="auto"/>
            <w:vAlign w:val="center"/>
          </w:tcPr>
          <w:p w14:paraId="2D46315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网络资源评估及准备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5640974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2025.1.20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2D3B49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信息中心</w:t>
            </w:r>
          </w:p>
        </w:tc>
        <w:tc>
          <w:tcPr>
            <w:tcW w:w="948" w:type="dxa"/>
            <w:shd w:val="clear" w:color="auto" w:fill="auto"/>
            <w:vAlign w:val="center"/>
          </w:tcPr>
          <w:p w14:paraId="043B32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雷泽成</w:t>
            </w:r>
          </w:p>
        </w:tc>
      </w:tr>
      <w:tr w14:paraId="5FFE7FD9">
        <w:trPr>
          <w:jc w:val="center"/>
        </w:trPr>
        <w:tc>
          <w:tcPr>
            <w:tcW w:w="672" w:type="dxa"/>
            <w:vMerge w:val="continue"/>
            <w:vAlign w:val="center"/>
          </w:tcPr>
          <w:p w14:paraId="28664BC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7560694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7" w:type="dxa"/>
            <w:shd w:val="clear" w:color="auto" w:fill="auto"/>
            <w:vAlign w:val="center"/>
          </w:tcPr>
          <w:p w14:paraId="0A54336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AEP平台升级及表具设备分批迁移</w:t>
            </w:r>
          </w:p>
        </w:tc>
        <w:tc>
          <w:tcPr>
            <w:tcW w:w="1296" w:type="dxa"/>
            <w:shd w:val="clear" w:color="auto" w:fill="auto"/>
            <w:vAlign w:val="center"/>
          </w:tcPr>
          <w:p w14:paraId="65F52A91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shd w:val="clear" w:fill="FFFF00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2025.2.20～4.30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212599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赛易特</w:t>
            </w:r>
          </w:p>
        </w:tc>
        <w:tc>
          <w:tcPr>
            <w:tcW w:w="948" w:type="dxa"/>
            <w:shd w:val="clear" w:color="auto" w:fill="auto"/>
            <w:vAlign w:val="center"/>
          </w:tcPr>
          <w:p w14:paraId="4D78853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胡鹏</w:t>
            </w:r>
          </w:p>
        </w:tc>
      </w:tr>
      <w:tr w14:paraId="437BB517">
        <w:trPr>
          <w:jc w:val="center"/>
        </w:trPr>
        <w:tc>
          <w:tcPr>
            <w:tcW w:w="672" w:type="dxa"/>
            <w:vMerge w:val="restart"/>
            <w:vAlign w:val="center"/>
          </w:tcPr>
          <w:p w14:paraId="015AC5A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</w:t>
            </w:r>
          </w:p>
        </w:tc>
        <w:tc>
          <w:tcPr>
            <w:tcW w:w="1090" w:type="dxa"/>
            <w:vMerge w:val="restart"/>
            <w:vAlign w:val="center"/>
          </w:tcPr>
          <w:p w14:paraId="2A16D08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灾备方案验证和评审</w:t>
            </w:r>
          </w:p>
        </w:tc>
        <w:tc>
          <w:tcPr>
            <w:tcW w:w="3897" w:type="dxa"/>
            <w:vAlign w:val="center"/>
          </w:tcPr>
          <w:p w14:paraId="1EB78FE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数据库同步、写入、切换验证</w:t>
            </w:r>
          </w:p>
        </w:tc>
        <w:tc>
          <w:tcPr>
            <w:tcW w:w="1296" w:type="dxa"/>
            <w:vAlign w:val="center"/>
          </w:tcPr>
          <w:p w14:paraId="5532B59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2025.3.15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2225048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赛易特</w:t>
            </w:r>
          </w:p>
        </w:tc>
        <w:tc>
          <w:tcPr>
            <w:tcW w:w="948" w:type="dxa"/>
            <w:shd w:val="clear" w:color="auto" w:fill="auto"/>
            <w:vAlign w:val="center"/>
          </w:tcPr>
          <w:p w14:paraId="0D92E3E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胡鹏</w:t>
            </w:r>
          </w:p>
        </w:tc>
      </w:tr>
      <w:tr w14:paraId="3E97D7C5">
        <w:trPr>
          <w:jc w:val="center"/>
        </w:trPr>
        <w:tc>
          <w:tcPr>
            <w:tcW w:w="672" w:type="dxa"/>
            <w:vMerge w:val="continue"/>
            <w:vAlign w:val="center"/>
          </w:tcPr>
          <w:p w14:paraId="26C1010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04364B9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7" w:type="dxa"/>
            <w:vAlign w:val="center"/>
          </w:tcPr>
          <w:p w14:paraId="357577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平台稳定性验证</w:t>
            </w:r>
          </w:p>
        </w:tc>
        <w:tc>
          <w:tcPr>
            <w:tcW w:w="1296" w:type="dxa"/>
            <w:vAlign w:val="center"/>
          </w:tcPr>
          <w:p w14:paraId="6636B57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2025.3.31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5E5707E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赛易特</w:t>
            </w:r>
          </w:p>
        </w:tc>
        <w:tc>
          <w:tcPr>
            <w:tcW w:w="948" w:type="dxa"/>
            <w:shd w:val="clear" w:color="auto" w:fill="auto"/>
            <w:vAlign w:val="center"/>
          </w:tcPr>
          <w:p w14:paraId="4543A2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胡鹏</w:t>
            </w:r>
          </w:p>
        </w:tc>
      </w:tr>
      <w:tr w14:paraId="03CB0205">
        <w:trPr>
          <w:jc w:val="center"/>
        </w:trPr>
        <w:tc>
          <w:tcPr>
            <w:tcW w:w="672" w:type="dxa"/>
            <w:vMerge w:val="continue"/>
            <w:vAlign w:val="center"/>
          </w:tcPr>
          <w:p w14:paraId="7E33914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609B5A0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7" w:type="dxa"/>
            <w:vAlign w:val="center"/>
          </w:tcPr>
          <w:p w14:paraId="7ECFFE5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系统应急处置等细化方案制定</w:t>
            </w:r>
          </w:p>
        </w:tc>
        <w:tc>
          <w:tcPr>
            <w:tcW w:w="1296" w:type="dxa"/>
            <w:vAlign w:val="center"/>
          </w:tcPr>
          <w:p w14:paraId="405C477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2025.4.15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5F2A37B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赛易特</w:t>
            </w:r>
          </w:p>
        </w:tc>
        <w:tc>
          <w:tcPr>
            <w:tcW w:w="948" w:type="dxa"/>
            <w:shd w:val="clear" w:color="auto" w:fill="auto"/>
            <w:vAlign w:val="center"/>
          </w:tcPr>
          <w:p w14:paraId="202936C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胡鹏</w:t>
            </w:r>
          </w:p>
        </w:tc>
      </w:tr>
      <w:tr w14:paraId="49284300">
        <w:trPr>
          <w:jc w:val="center"/>
        </w:trPr>
        <w:tc>
          <w:tcPr>
            <w:tcW w:w="672" w:type="dxa"/>
            <w:vMerge w:val="continue"/>
            <w:vAlign w:val="center"/>
          </w:tcPr>
          <w:p w14:paraId="4E5E2F2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351741D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7" w:type="dxa"/>
            <w:vAlign w:val="center"/>
          </w:tcPr>
          <w:p w14:paraId="06680DD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方案评审</w:t>
            </w:r>
          </w:p>
        </w:tc>
        <w:tc>
          <w:tcPr>
            <w:tcW w:w="1296" w:type="dxa"/>
            <w:vAlign w:val="center"/>
          </w:tcPr>
          <w:p w14:paraId="5E65F29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2025.4.30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37A4051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信息中心</w:t>
            </w:r>
          </w:p>
        </w:tc>
        <w:tc>
          <w:tcPr>
            <w:tcW w:w="948" w:type="dxa"/>
            <w:shd w:val="clear" w:color="auto" w:fill="auto"/>
            <w:vAlign w:val="center"/>
          </w:tcPr>
          <w:p w14:paraId="11C0EAA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钟书峘</w:t>
            </w:r>
          </w:p>
        </w:tc>
      </w:tr>
      <w:tr w14:paraId="58DAD367">
        <w:trPr>
          <w:jc w:val="center"/>
        </w:trPr>
        <w:tc>
          <w:tcPr>
            <w:tcW w:w="672" w:type="dxa"/>
            <w:vMerge w:val="restart"/>
            <w:vAlign w:val="center"/>
          </w:tcPr>
          <w:p w14:paraId="1DDAE56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3</w:t>
            </w:r>
          </w:p>
        </w:tc>
        <w:tc>
          <w:tcPr>
            <w:tcW w:w="1090" w:type="dxa"/>
            <w:vMerge w:val="restart"/>
            <w:vAlign w:val="center"/>
          </w:tcPr>
          <w:p w14:paraId="447D0AB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灾备环境部署</w:t>
            </w:r>
          </w:p>
        </w:tc>
        <w:tc>
          <w:tcPr>
            <w:tcW w:w="3897" w:type="dxa"/>
            <w:vAlign w:val="center"/>
          </w:tcPr>
          <w:p w14:paraId="58B6D4F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灾备资源分配</w:t>
            </w:r>
          </w:p>
        </w:tc>
        <w:tc>
          <w:tcPr>
            <w:tcW w:w="1296" w:type="dxa"/>
            <w:vAlign w:val="center"/>
          </w:tcPr>
          <w:p w14:paraId="7D95BAD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2025.5.1</w:t>
            </w:r>
          </w:p>
        </w:tc>
        <w:tc>
          <w:tcPr>
            <w:tcW w:w="1227" w:type="dxa"/>
            <w:vAlign w:val="center"/>
          </w:tcPr>
          <w:p w14:paraId="7F119D8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信息中心</w:t>
            </w:r>
          </w:p>
        </w:tc>
        <w:tc>
          <w:tcPr>
            <w:tcW w:w="948" w:type="dxa"/>
            <w:vAlign w:val="center"/>
          </w:tcPr>
          <w:p w14:paraId="7FF306B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宋超</w:t>
            </w:r>
          </w:p>
        </w:tc>
      </w:tr>
      <w:tr w14:paraId="152EAB21">
        <w:trPr>
          <w:jc w:val="center"/>
        </w:trPr>
        <w:tc>
          <w:tcPr>
            <w:tcW w:w="672" w:type="dxa"/>
            <w:vMerge w:val="continue"/>
            <w:vAlign w:val="center"/>
          </w:tcPr>
          <w:p w14:paraId="08E2D04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6DB30C8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7" w:type="dxa"/>
            <w:vAlign w:val="center"/>
          </w:tcPr>
          <w:p w14:paraId="151A235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网络扩容及相关配置</w:t>
            </w:r>
          </w:p>
        </w:tc>
        <w:tc>
          <w:tcPr>
            <w:tcW w:w="1296" w:type="dxa"/>
            <w:vAlign w:val="center"/>
          </w:tcPr>
          <w:p w14:paraId="25CED85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2025.5.1</w:t>
            </w:r>
          </w:p>
        </w:tc>
        <w:tc>
          <w:tcPr>
            <w:tcW w:w="1227" w:type="dxa"/>
            <w:vAlign w:val="center"/>
          </w:tcPr>
          <w:p w14:paraId="25CA93E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信息中心</w:t>
            </w:r>
          </w:p>
        </w:tc>
        <w:tc>
          <w:tcPr>
            <w:tcW w:w="948" w:type="dxa"/>
            <w:vAlign w:val="center"/>
          </w:tcPr>
          <w:p w14:paraId="6E72453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雷泽成</w:t>
            </w:r>
          </w:p>
        </w:tc>
      </w:tr>
      <w:tr w14:paraId="2E6FD1C0">
        <w:trPr>
          <w:jc w:val="center"/>
        </w:trPr>
        <w:tc>
          <w:tcPr>
            <w:tcW w:w="672" w:type="dxa"/>
            <w:vMerge w:val="continue"/>
            <w:vAlign w:val="center"/>
          </w:tcPr>
          <w:p w14:paraId="3241F02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5D769B9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7" w:type="dxa"/>
            <w:vAlign w:val="center"/>
          </w:tcPr>
          <w:p w14:paraId="566C5BCA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梅林区域</w:t>
            </w: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aa</w:t>
            </w: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s、AEP</w:t>
            </w:r>
            <w:r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改造</w:t>
            </w:r>
          </w:p>
        </w:tc>
        <w:tc>
          <w:tcPr>
            <w:tcW w:w="1296" w:type="dxa"/>
            <w:vAlign w:val="center"/>
          </w:tcPr>
          <w:p w14:paraId="3D31E6B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2025.5.14</w:t>
            </w:r>
          </w:p>
        </w:tc>
        <w:tc>
          <w:tcPr>
            <w:tcW w:w="1227" w:type="dxa"/>
            <w:vAlign w:val="center"/>
          </w:tcPr>
          <w:p w14:paraId="2ED6716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赛易特</w:t>
            </w:r>
          </w:p>
        </w:tc>
        <w:tc>
          <w:tcPr>
            <w:tcW w:w="948" w:type="dxa"/>
            <w:vAlign w:val="center"/>
          </w:tcPr>
          <w:p w14:paraId="7E912D3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胡鹏</w:t>
            </w:r>
          </w:p>
        </w:tc>
      </w:tr>
      <w:tr w14:paraId="210731B8">
        <w:trPr>
          <w:jc w:val="center"/>
        </w:trPr>
        <w:tc>
          <w:tcPr>
            <w:tcW w:w="672" w:type="dxa"/>
            <w:vMerge w:val="continue"/>
            <w:vAlign w:val="center"/>
          </w:tcPr>
          <w:p w14:paraId="104E96E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38C0B28F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7" w:type="dxa"/>
            <w:vAlign w:val="center"/>
          </w:tcPr>
          <w:p w14:paraId="7146A1E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西丽区域</w:t>
            </w: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S</w:t>
            </w:r>
            <w:r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aas、aep部署配置</w:t>
            </w:r>
          </w:p>
        </w:tc>
        <w:tc>
          <w:tcPr>
            <w:tcW w:w="1296" w:type="dxa"/>
            <w:vAlign w:val="center"/>
          </w:tcPr>
          <w:p w14:paraId="3B176EDB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2025.5.31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04A6BA2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赛易特</w:t>
            </w:r>
          </w:p>
        </w:tc>
        <w:tc>
          <w:tcPr>
            <w:tcW w:w="948" w:type="dxa"/>
            <w:shd w:val="clear" w:color="auto" w:fill="auto"/>
            <w:vAlign w:val="center"/>
          </w:tcPr>
          <w:p w14:paraId="1DB69BE5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胡鹏</w:t>
            </w:r>
          </w:p>
        </w:tc>
      </w:tr>
      <w:tr w14:paraId="7AF1E250">
        <w:trPr>
          <w:jc w:val="center"/>
        </w:trPr>
        <w:tc>
          <w:tcPr>
            <w:tcW w:w="672" w:type="dxa"/>
            <w:vMerge w:val="continue"/>
            <w:vAlign w:val="center"/>
          </w:tcPr>
          <w:p w14:paraId="3990EC76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7872FA9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7" w:type="dxa"/>
            <w:vAlign w:val="center"/>
          </w:tcPr>
          <w:p w14:paraId="6E5CD3C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双区域数据双活同步配置</w:t>
            </w:r>
          </w:p>
        </w:tc>
        <w:tc>
          <w:tcPr>
            <w:tcW w:w="1296" w:type="dxa"/>
            <w:vAlign w:val="center"/>
          </w:tcPr>
          <w:p w14:paraId="268D05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2025.6.15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3A31A0C7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赛易特</w:t>
            </w:r>
          </w:p>
        </w:tc>
        <w:tc>
          <w:tcPr>
            <w:tcW w:w="948" w:type="dxa"/>
            <w:shd w:val="clear" w:color="auto" w:fill="auto"/>
            <w:vAlign w:val="center"/>
          </w:tcPr>
          <w:p w14:paraId="6939EFB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胡鹏</w:t>
            </w:r>
          </w:p>
        </w:tc>
      </w:tr>
      <w:tr w14:paraId="4388D538">
        <w:trPr>
          <w:jc w:val="center"/>
        </w:trPr>
        <w:tc>
          <w:tcPr>
            <w:tcW w:w="672" w:type="dxa"/>
            <w:vMerge w:val="restart"/>
            <w:vAlign w:val="center"/>
          </w:tcPr>
          <w:p w14:paraId="00CCAE7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4</w:t>
            </w:r>
          </w:p>
        </w:tc>
        <w:tc>
          <w:tcPr>
            <w:tcW w:w="1090" w:type="dxa"/>
            <w:vMerge w:val="restart"/>
            <w:vAlign w:val="center"/>
          </w:tcPr>
          <w:p w14:paraId="5D75AAA0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灾备能力演练</w:t>
            </w:r>
          </w:p>
        </w:tc>
        <w:tc>
          <w:tcPr>
            <w:tcW w:w="3897" w:type="dxa"/>
            <w:vAlign w:val="center"/>
          </w:tcPr>
          <w:p w14:paraId="15A1CD8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双机房网络故障切换验证</w:t>
            </w:r>
          </w:p>
        </w:tc>
        <w:tc>
          <w:tcPr>
            <w:tcW w:w="1296" w:type="dxa"/>
            <w:vAlign w:val="center"/>
          </w:tcPr>
          <w:p w14:paraId="18A54693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2025.6.20</w:t>
            </w:r>
          </w:p>
        </w:tc>
        <w:tc>
          <w:tcPr>
            <w:tcW w:w="1227" w:type="dxa"/>
            <w:shd w:val="clear" w:color="auto" w:fill="auto"/>
            <w:vAlign w:val="center"/>
          </w:tcPr>
          <w:p w14:paraId="41B6880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赛易特</w:t>
            </w:r>
          </w:p>
        </w:tc>
        <w:tc>
          <w:tcPr>
            <w:tcW w:w="948" w:type="dxa"/>
            <w:shd w:val="clear" w:color="auto" w:fill="auto"/>
            <w:vAlign w:val="center"/>
          </w:tcPr>
          <w:p w14:paraId="5C57EE2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left="0" w:leftChars="0" w:right="0" w:rightChars="0" w:firstLine="0" w:firstLine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 w:bidi="ar-SA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胡鹏</w:t>
            </w:r>
          </w:p>
        </w:tc>
      </w:tr>
      <w:tr w14:paraId="50F319F6">
        <w:trPr>
          <w:jc w:val="center"/>
        </w:trPr>
        <w:tc>
          <w:tcPr>
            <w:tcW w:w="672" w:type="dxa"/>
            <w:vMerge w:val="continue"/>
            <w:vAlign w:val="center"/>
          </w:tcPr>
          <w:p w14:paraId="2A73BCDC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1090" w:type="dxa"/>
            <w:vMerge w:val="continue"/>
            <w:vAlign w:val="center"/>
          </w:tcPr>
          <w:p w14:paraId="58F6AB04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</w:p>
        </w:tc>
        <w:tc>
          <w:tcPr>
            <w:tcW w:w="3897" w:type="dxa"/>
            <w:vAlign w:val="center"/>
          </w:tcPr>
          <w:p w14:paraId="3EE55412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组织</w:t>
            </w:r>
            <w:r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评估组织灾备演练</w:t>
            </w: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效果</w:t>
            </w:r>
          </w:p>
        </w:tc>
        <w:tc>
          <w:tcPr>
            <w:tcW w:w="1296" w:type="dxa"/>
            <w:vAlign w:val="center"/>
          </w:tcPr>
          <w:p w14:paraId="541B71DE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2025.6.30</w:t>
            </w:r>
          </w:p>
        </w:tc>
        <w:tc>
          <w:tcPr>
            <w:tcW w:w="1227" w:type="dxa"/>
            <w:vAlign w:val="center"/>
          </w:tcPr>
          <w:p w14:paraId="214BC8AD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信息中心</w:t>
            </w:r>
          </w:p>
        </w:tc>
        <w:tc>
          <w:tcPr>
            <w:tcW w:w="948" w:type="dxa"/>
            <w:vAlign w:val="center"/>
          </w:tcPr>
          <w:p w14:paraId="48D52F18">
            <w:pPr>
              <w:keepNext w:val="0"/>
              <w:keepLines w:val="0"/>
              <w:pageBreakBefore w:val="0"/>
              <w:widowControl w:val="0"/>
              <w:numPr>
                <w:ilvl w:val="0"/>
                <w:numId w:val="0"/>
              </w:numPr>
              <w:kinsoku/>
              <w:overflowPunct/>
              <w:topLinePunct w:val="0"/>
              <w:autoSpaceDE/>
              <w:autoSpaceDN/>
              <w:bidi w:val="0"/>
              <w:adjustRightInd/>
              <w:snapToGrid/>
              <w:spacing w:line="560" w:lineRule="exact"/>
              <w:ind w:right="0" w:rightChars="0"/>
              <w:jc w:val="center"/>
              <w:textAlignment w:val="auto"/>
              <w:rPr>
                <w:rFonts w:hint="default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楷体" w:hAnsi="楷体" w:eastAsia="楷体" w:cs="楷体"/>
                <w:b w:val="0"/>
                <w:bCs w:val="0"/>
                <w:color w:val="000000" w:themeColor="text1"/>
                <w:kern w:val="0"/>
                <w:sz w:val="24"/>
                <w:szCs w:val="24"/>
                <w:vertAlign w:val="baseline"/>
                <w:lang w:val="en-US" w:eastAsia="zh-CN"/>
                <w14:textFill>
                  <w14:solidFill>
                    <w14:schemeClr w14:val="tx1"/>
                  </w14:solidFill>
                </w14:textFill>
              </w:rPr>
              <w:t>钟书峘</w:t>
            </w:r>
          </w:p>
        </w:tc>
      </w:tr>
    </w:tbl>
    <w:p w14:paraId="4ED4C197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textAlignment w:val="auto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382CE74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both"/>
        <w:textAlignment w:val="auto"/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p w14:paraId="18987C6F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 w:val="0"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right"/>
        <w:textAlignment w:val="auto"/>
        <w:rPr>
          <w:rFonts w:hint="default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 xml:space="preserve">信息中心   </w:t>
      </w:r>
    </w:p>
    <w:p w14:paraId="54285698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right"/>
        <w:textAlignment w:val="auto"/>
        <w:rPr>
          <w:rFonts w:hint="default" w:ascii="仿宋" w:hAnsi="仿宋" w:eastAsia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eastAsia" w:ascii="楷体" w:hAnsi="楷体" w:eastAsia="楷体" w:cs="楷体"/>
          <w:b w:val="0"/>
          <w:bCs w:val="0"/>
          <w:color w:val="000000" w:themeColor="text1"/>
          <w:kern w:val="0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  <w:t>2025年1月23日</w:t>
      </w:r>
    </w:p>
    <w:p w14:paraId="3145F979">
      <w:pPr>
        <w:keepNext w:val="0"/>
        <w:keepLines w:val="0"/>
        <w:pageBreakBefore w:val="0"/>
        <w:widowControl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line="560" w:lineRule="exact"/>
        <w:ind w:right="0" w:rightChars="0"/>
        <w:jc w:val="right"/>
        <w:textAlignment w:val="auto"/>
        <w:rPr>
          <w:rFonts w:hint="default" w:ascii="仿宋" w:hAnsi="仿宋" w:eastAsia="仿宋"/>
          <w:b w:val="0"/>
          <w:bCs w:val="0"/>
          <w:color w:val="000000" w:themeColor="text1"/>
          <w:sz w:val="32"/>
          <w:szCs w:val="32"/>
          <w:lang w:val="en-US" w:eastAsia="zh-CN"/>
          <w14:textFill>
            <w14:solidFill>
              <w14:schemeClr w14:val="tx1"/>
            </w14:solidFill>
          </w14:textFill>
        </w:rPr>
      </w:pPr>
    </w:p>
    <w:sectPr>
      <w:footerReference r:id="rId3" w:type="default"/>
      <w:footerReference r:id="rId4" w:type="even"/>
      <w:pgSz w:w="11906" w:h="16838"/>
      <w:pgMar w:top="2098" w:right="1587" w:bottom="2098" w:left="1587" w:header="851" w:footer="992" w:gutter="0"/>
      <w:pgNumType w:fmt="numberInDash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AEF" w:usb1="C0007841" w:usb2="00000009" w:usb3="00000000" w:csb0="400001FF" w:csb1="FFFF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ongti SC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0" w:usb3="00000000" w:csb0="2000019F" w:csb1="00000000"/>
  </w:font>
  <w:font w:name="DejaVu Sans">
    <w:altName w:val="苹方-简"/>
    <w:panose1 w:val="02020603050405020304"/>
    <w:charset w:val="00"/>
    <w:family w:val="roman"/>
    <w:pitch w:val="default"/>
    <w:sig w:usb0="00000000" w:usb1="00000000" w:usb2="00000008" w:usb3="00000000" w:csb0="000001FF" w:csb1="00000000"/>
  </w:font>
  <w:font w:name="方正黑体_GBK">
    <w:altName w:val="汉仪中黑KW"/>
    <w:panose1 w:val="02000000000000000000"/>
    <w:charset w:val="00"/>
    <w:family w:val="auto"/>
    <w:pitch w:val="default"/>
    <w:sig w:usb0="00000000" w:usb1="00000000" w:usb2="00000000" w:usb3="00000000" w:csb0="00040000" w:csb1="00000000"/>
  </w:font>
  <w:font w:name="等线">
    <w:altName w:val="汉仪中等线KW"/>
    <w:panose1 w:val="02010600030101010101"/>
    <w:charset w:val="00"/>
    <w:family w:val="auto"/>
    <w:pitch w:val="default"/>
    <w:sig w:usb0="00000000" w:usb1="00000000" w:usb2="00000016" w:usb3="00000000" w:csb0="0004000F" w:csb1="00000000"/>
  </w:font>
  <w:font w:name="仿宋">
    <w:altName w:val="方正仿宋_GBK"/>
    <w:panose1 w:val="02010609060101010101"/>
    <w:charset w:val="86"/>
    <w:family w:val="modern"/>
    <w:pitch w:val="default"/>
    <w:sig w:usb0="00000000" w:usb1="00000000" w:usb2="00000016" w:usb3="00000000" w:csb0="00040001" w:csb1="00000000"/>
  </w:font>
  <w:font w:name="方正小标宋简体">
    <w:altName w:val="汉仪书宋二KW"/>
    <w:panose1 w:val="02000000000000000000"/>
    <w:charset w:val="86"/>
    <w:family w:val="script"/>
    <w:pitch w:val="default"/>
    <w:sig w:usb0="00000000" w:usb1="00000000" w:usb2="00000000" w:usb3="00000000" w:csb0="00040000" w:csb1="00000000"/>
  </w:font>
  <w:font w:name="黑体">
    <w:altName w:val="汉仪中黑KW"/>
    <w:panose1 w:val="02010609060101010101"/>
    <w:charset w:val="00"/>
    <w:family w:val="auto"/>
    <w:pitch w:val="default"/>
    <w:sig w:usb0="00000000" w:usb1="00000000" w:usb2="00000016" w:usb3="00000000" w:csb0="00040001" w:csb1="00000000"/>
  </w:font>
  <w:font w:name="楷体">
    <w:altName w:val="汉仪楷体KW"/>
    <w:panose1 w:val="0201060906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方正仿宋_GBK">
    <w:panose1 w:val="02000000000000000000"/>
    <w:charset w:val="86"/>
    <w:family w:val="auto"/>
    <w:pitch w:val="default"/>
    <w:sig w:usb0="A00002BF" w:usb1="38CF7CFA" w:usb2="00082016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楷体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Cambria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4D6DBB8">
    <w:pPr>
      <w:pStyle w:val="5"/>
      <w:jc w:val="right"/>
      <w:rPr>
        <w:rFonts w:ascii="宋体" w:hAnsi="宋体"/>
        <w:sz w:val="24"/>
        <w:szCs w:val="28"/>
      </w:rPr>
    </w:pPr>
    <w:r>
      <w:rPr>
        <w:rFonts w:ascii="宋体" w:hAnsi="宋体"/>
        <w:sz w:val="24"/>
        <w:szCs w:val="28"/>
      </w:rPr>
      <w:fldChar w:fldCharType="begin"/>
    </w:r>
    <w:r>
      <w:rPr>
        <w:rFonts w:ascii="宋体" w:hAnsi="宋体"/>
        <w:sz w:val="24"/>
        <w:szCs w:val="28"/>
      </w:rPr>
      <w:instrText xml:space="preserve">PAGE   \* MERGEFORMAT</w:instrText>
    </w:r>
    <w:r>
      <w:rPr>
        <w:rFonts w:ascii="宋体" w:hAnsi="宋体"/>
        <w:sz w:val="24"/>
        <w:szCs w:val="28"/>
      </w:rPr>
      <w:fldChar w:fldCharType="separate"/>
    </w:r>
    <w:r>
      <w:rPr>
        <w:rFonts w:ascii="宋体" w:hAnsi="宋体"/>
        <w:sz w:val="24"/>
        <w:szCs w:val="28"/>
        <w:lang w:val="zh-CN"/>
      </w:rPr>
      <w:t>-</w:t>
    </w:r>
    <w:r>
      <w:rPr>
        <w:rFonts w:ascii="宋体" w:hAnsi="宋体"/>
        <w:sz w:val="24"/>
        <w:szCs w:val="28"/>
      </w:rPr>
      <w:t xml:space="preserve"> 3 -</w:t>
    </w:r>
    <w:r>
      <w:rPr>
        <w:rFonts w:ascii="宋体" w:hAnsi="宋体"/>
        <w:sz w:val="24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901B9FB">
    <w:pPr>
      <w:pStyle w:val="5"/>
      <w:rPr>
        <w:rFonts w:ascii="宋体" w:hAnsi="宋体"/>
        <w:sz w:val="24"/>
        <w:szCs w:val="24"/>
      </w:rPr>
    </w:pPr>
    <w:r>
      <w:rPr>
        <w:rFonts w:ascii="宋体" w:hAnsi="宋体"/>
        <w:sz w:val="24"/>
        <w:szCs w:val="24"/>
      </w:rPr>
      <w:fldChar w:fldCharType="begin"/>
    </w:r>
    <w:r>
      <w:rPr>
        <w:rFonts w:ascii="宋体" w:hAnsi="宋体"/>
        <w:sz w:val="24"/>
        <w:szCs w:val="24"/>
      </w:rPr>
      <w:instrText xml:space="preserve">PAGE   \* MERGEFORMAT</w:instrText>
    </w:r>
    <w:r>
      <w:rPr>
        <w:rFonts w:ascii="宋体" w:hAnsi="宋体"/>
        <w:sz w:val="24"/>
        <w:szCs w:val="24"/>
      </w:rPr>
      <w:fldChar w:fldCharType="separate"/>
    </w:r>
    <w:r>
      <w:rPr>
        <w:rFonts w:ascii="宋体" w:hAnsi="宋体"/>
        <w:sz w:val="24"/>
        <w:szCs w:val="24"/>
        <w:lang w:val="zh-CN"/>
      </w:rPr>
      <w:t>-</w:t>
    </w:r>
    <w:r>
      <w:rPr>
        <w:rFonts w:ascii="宋体" w:hAnsi="宋体"/>
        <w:sz w:val="24"/>
        <w:szCs w:val="24"/>
      </w:rPr>
      <w:t xml:space="preserve"> 2 -</w:t>
    </w:r>
    <w:r>
      <w:rPr>
        <w:rFonts w:ascii="宋体" w:hAnsi="宋体"/>
        <w:sz w:val="24"/>
        <w:szCs w:val="24"/>
      </w:rPr>
      <w:fldChar w:fldCharType="end"/>
    </w:r>
  </w:p>
</w:ft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6833BC9"/>
    <w:multiLevelType w:val="singleLevel"/>
    <w:tmpl w:val="E6833BC9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abstractNum w:abstractNumId="1">
    <w:nsid w:val="174DD303"/>
    <w:multiLevelType w:val="singleLevel"/>
    <w:tmpl w:val="174DD303"/>
    <w:lvl w:ilvl="0" w:tentative="0">
      <w:start w:val="1"/>
      <w:numFmt w:val="chineseCounting"/>
      <w:suff w:val="nothing"/>
      <w:lvlText w:val="%1、"/>
      <w:lvlJc w:val="left"/>
      <w:pPr>
        <w:ind w:left="0" w:firstLine="420"/>
      </w:pPr>
      <w:rPr>
        <w:rFonts w:hint="eastAsia"/>
      </w:rPr>
    </w:lvl>
  </w:abstractNum>
  <w:abstractNum w:abstractNumId="2">
    <w:nsid w:val="7FCB0856"/>
    <w:multiLevelType w:val="singleLevel"/>
    <w:tmpl w:val="7FCB0856"/>
    <w:lvl w:ilvl="0" w:tentative="0">
      <w:start w:val="1"/>
      <w:numFmt w:val="chineseCounting"/>
      <w:suff w:val="nothing"/>
      <w:lvlText w:val="（%1）"/>
      <w:lvlJc w:val="left"/>
      <w:pPr>
        <w:ind w:left="0" w:firstLine="420"/>
      </w:pPr>
      <w:rPr>
        <w:rFonts w:hint="eastAsi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doNotDisplayPageBoundaries w:val="1"/>
  <w:embedTrueTypeFonts/>
  <w:saveSubsetFonts/>
  <w:bordersDoNotSurroundHeader w:val="0"/>
  <w:bordersDoNotSurroundFooter w:val="0"/>
  <w:documentProtection w:enforcement="0"/>
  <w:defaultTabStop w:val="420"/>
  <w:evenAndOddHeaders w:val="1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3D9CDCE4"/>
    <w:rsid w:val="7FEF0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nhideWhenUsed="0" w:uiPriority="99" w:semiHidden="0" w:name="footnote text"/>
    <w:lsdException w:qFormat="1" w:unhideWhenUsed="0" w:uiPriority="99" w:semiHidden="0" w:name="annotation text"/>
    <w:lsdException w:qFormat="1" w:unhideWhenUsed="0" w:uiPriority="99" w:semiHidden="0" w:name="header"/>
    <w:lsdException w:qFormat="1" w:unhideWhenUsed="0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nhideWhenUsed="0" w:uiPriority="99" w:semiHidden="0" w:name="footnote reference"/>
    <w:lsdException w:qFormat="1" w:unhideWhenUsed="0"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qFormat="1" w:uiPriority="99" w:semiHidden="0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nhideWhenUsed="0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qFormat="1" w:unhideWhenUsed="0"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nhideWhenUsed="0" w:uiPriority="99" w:semiHidden="0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default="1" w:styleId="12">
    <w:name w:val="Default Paragraph Font"/>
    <w:unhideWhenUsed/>
    <w:qFormat/>
    <w:uiPriority w:val="1"/>
  </w:style>
  <w:style w:type="table" w:default="1" w:styleId="10">
    <w:name w:val="Normal Table"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link w:val="24"/>
    <w:qFormat/>
    <w:uiPriority w:val="99"/>
    <w:pPr>
      <w:jc w:val="left"/>
    </w:pPr>
  </w:style>
  <w:style w:type="paragraph" w:styleId="3">
    <w:name w:val="Date"/>
    <w:basedOn w:val="1"/>
    <w:next w:val="1"/>
    <w:link w:val="32"/>
    <w:unhideWhenUsed/>
    <w:qFormat/>
    <w:uiPriority w:val="99"/>
    <w:pPr>
      <w:ind w:left="100" w:leftChars="2500"/>
    </w:pPr>
  </w:style>
  <w:style w:type="paragraph" w:styleId="4">
    <w:name w:val="Balloon Text"/>
    <w:basedOn w:val="1"/>
    <w:link w:val="20"/>
    <w:qFormat/>
    <w:uiPriority w:val="99"/>
    <w:rPr>
      <w:sz w:val="18"/>
      <w:szCs w:val="18"/>
    </w:rPr>
  </w:style>
  <w:style w:type="paragraph" w:styleId="5">
    <w:name w:val="footer"/>
    <w:basedOn w:val="1"/>
    <w:link w:val="22"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21"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footnote text"/>
    <w:basedOn w:val="1"/>
    <w:link w:val="27"/>
    <w:qFormat/>
    <w:uiPriority w:val="99"/>
    <w:pPr>
      <w:snapToGrid w:val="0"/>
      <w:jc w:val="left"/>
    </w:pPr>
    <w:rPr>
      <w:sz w:val="18"/>
      <w:szCs w:val="18"/>
    </w:rPr>
  </w:style>
  <w:style w:type="paragraph" w:styleId="8">
    <w:name w:val="Normal (Web)"/>
    <w:basedOn w:val="1"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paragraph" w:styleId="9">
    <w:name w:val="annotation subject"/>
    <w:basedOn w:val="2"/>
    <w:next w:val="2"/>
    <w:link w:val="25"/>
    <w:qFormat/>
    <w:uiPriority w:val="99"/>
    <w:rPr>
      <w:b/>
      <w:bCs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qFormat/>
    <w:uiPriority w:val="99"/>
    <w:rPr>
      <w:color w:val="0000FF"/>
      <w:u w:val="single"/>
    </w:rPr>
  </w:style>
  <w:style w:type="character" w:styleId="14">
    <w:name w:val="annotation reference"/>
    <w:basedOn w:val="12"/>
    <w:qFormat/>
    <w:uiPriority w:val="99"/>
    <w:rPr>
      <w:sz w:val="21"/>
      <w:szCs w:val="21"/>
    </w:rPr>
  </w:style>
  <w:style w:type="character" w:styleId="15">
    <w:name w:val="footnote reference"/>
    <w:basedOn w:val="12"/>
    <w:qFormat/>
    <w:uiPriority w:val="99"/>
    <w:rPr>
      <w:vertAlign w:val="superscript"/>
    </w:rPr>
  </w:style>
  <w:style w:type="paragraph" w:customStyle="1" w:styleId="16">
    <w:name w:val="reader-word-layer"/>
    <w:basedOn w:val="1"/>
    <w:qFormat/>
    <w:uiPriority w:val="0"/>
    <w:pPr>
      <w:widowControl/>
      <w:spacing w:before="100" w:beforeAutospacing="1" w:after="100" w:afterAutospacing="1"/>
      <w:jc w:val="left"/>
    </w:pPr>
    <w:rPr>
      <w:rFonts w:ascii="宋体" w:hAnsi="宋体"/>
      <w:kern w:val="0"/>
      <w:sz w:val="24"/>
      <w:szCs w:val="24"/>
    </w:rPr>
  </w:style>
  <w:style w:type="character" w:customStyle="1" w:styleId="17">
    <w:name w:val="mail_session_title_main"/>
    <w:basedOn w:val="12"/>
    <w:qFormat/>
    <w:uiPriority w:val="0"/>
  </w:style>
  <w:style w:type="character" w:customStyle="1" w:styleId="18">
    <w:name w:val="mail_session_title_tail"/>
    <w:basedOn w:val="12"/>
    <w:qFormat/>
    <w:uiPriority w:val="0"/>
  </w:style>
  <w:style w:type="paragraph" w:customStyle="1" w:styleId="19">
    <w:name w:val="列出段落1"/>
    <w:basedOn w:val="1"/>
    <w:qFormat/>
    <w:uiPriority w:val="34"/>
    <w:pPr>
      <w:ind w:firstLine="420" w:firstLineChars="200"/>
    </w:pPr>
  </w:style>
  <w:style w:type="character" w:customStyle="1" w:styleId="20">
    <w:name w:val="批注框文本 Char"/>
    <w:basedOn w:val="12"/>
    <w:link w:val="4"/>
    <w:qFormat/>
    <w:uiPriority w:val="99"/>
    <w:rPr>
      <w:sz w:val="18"/>
      <w:szCs w:val="18"/>
    </w:rPr>
  </w:style>
  <w:style w:type="character" w:customStyle="1" w:styleId="21">
    <w:name w:val="页眉 Char"/>
    <w:basedOn w:val="12"/>
    <w:link w:val="6"/>
    <w:qFormat/>
    <w:uiPriority w:val="99"/>
    <w:rPr>
      <w:sz w:val="18"/>
      <w:szCs w:val="18"/>
    </w:rPr>
  </w:style>
  <w:style w:type="character" w:customStyle="1" w:styleId="22">
    <w:name w:val="页脚 Char"/>
    <w:basedOn w:val="12"/>
    <w:link w:val="5"/>
    <w:qFormat/>
    <w:uiPriority w:val="99"/>
    <w:rPr>
      <w:sz w:val="18"/>
      <w:szCs w:val="18"/>
    </w:rPr>
  </w:style>
  <w:style w:type="paragraph" w:customStyle="1" w:styleId="23">
    <w:name w:val="列出段落2"/>
    <w:basedOn w:val="1"/>
    <w:qFormat/>
    <w:uiPriority w:val="34"/>
    <w:pPr>
      <w:ind w:firstLine="420" w:firstLineChars="200"/>
    </w:pPr>
  </w:style>
  <w:style w:type="character" w:customStyle="1" w:styleId="24">
    <w:name w:val="批注文字 Char"/>
    <w:basedOn w:val="12"/>
    <w:link w:val="2"/>
    <w:qFormat/>
    <w:uiPriority w:val="99"/>
    <w:rPr>
      <w:rFonts w:ascii="Calibri" w:hAnsi="Calibri" w:eastAsia="宋体" w:cs="宋体"/>
      <w:kern w:val="2"/>
      <w:sz w:val="21"/>
      <w:szCs w:val="22"/>
    </w:rPr>
  </w:style>
  <w:style w:type="character" w:customStyle="1" w:styleId="25">
    <w:name w:val="批注主题 Char"/>
    <w:basedOn w:val="24"/>
    <w:link w:val="9"/>
    <w:qFormat/>
    <w:uiPriority w:val="99"/>
    <w:rPr>
      <w:rFonts w:ascii="Calibri" w:hAnsi="Calibri" w:eastAsia="宋体" w:cs="宋体"/>
      <w:b/>
      <w:bCs/>
      <w:kern w:val="2"/>
      <w:sz w:val="21"/>
      <w:szCs w:val="22"/>
    </w:rPr>
  </w:style>
  <w:style w:type="paragraph" w:customStyle="1" w:styleId="26">
    <w:name w:val="修订1"/>
    <w:qFormat/>
    <w:uiPriority w:val="99"/>
    <w:rPr>
      <w:rFonts w:ascii="Calibri" w:hAnsi="Calibri" w:eastAsia="宋体" w:cs="宋体"/>
      <w:kern w:val="2"/>
      <w:sz w:val="21"/>
      <w:szCs w:val="22"/>
      <w:lang w:val="en-US" w:eastAsia="zh-CN" w:bidi="ar-SA"/>
    </w:rPr>
  </w:style>
  <w:style w:type="character" w:customStyle="1" w:styleId="27">
    <w:name w:val="脚注文本 Char"/>
    <w:basedOn w:val="12"/>
    <w:link w:val="7"/>
    <w:qFormat/>
    <w:uiPriority w:val="99"/>
    <w:rPr>
      <w:rFonts w:ascii="Calibri" w:hAnsi="Calibri" w:eastAsia="宋体" w:cs="宋体"/>
      <w:kern w:val="2"/>
      <w:sz w:val="18"/>
      <w:szCs w:val="18"/>
    </w:rPr>
  </w:style>
  <w:style w:type="paragraph" w:customStyle="1" w:styleId="28">
    <w:name w:val="Default"/>
    <w:qFormat/>
    <w:uiPriority w:val="0"/>
    <w:pPr>
      <w:widowControl w:val="0"/>
      <w:autoSpaceDE w:val="0"/>
      <w:autoSpaceDN w:val="0"/>
      <w:adjustRightInd w:val="0"/>
    </w:pPr>
    <w:rPr>
      <w:rFonts w:ascii="仿宋" w:hAnsi="仿宋" w:eastAsia="宋体" w:cs="仿宋"/>
      <w:color w:val="000000"/>
      <w:sz w:val="24"/>
      <w:szCs w:val="24"/>
      <w:lang w:val="en-US" w:eastAsia="zh-CN" w:bidi="ar-SA"/>
    </w:rPr>
  </w:style>
  <w:style w:type="paragraph" w:customStyle="1" w:styleId="29">
    <w:name w:val="列出段落21"/>
    <w:basedOn w:val="1"/>
    <w:qFormat/>
    <w:uiPriority w:val="99"/>
    <w:pPr>
      <w:ind w:firstLine="420" w:firstLineChars="200"/>
    </w:pPr>
  </w:style>
  <w:style w:type="paragraph" w:customStyle="1" w:styleId="30">
    <w:name w:val="List Paragraph"/>
    <w:basedOn w:val="1"/>
    <w:qFormat/>
    <w:uiPriority w:val="34"/>
    <w:pPr>
      <w:ind w:firstLine="420" w:firstLineChars="200"/>
    </w:pPr>
  </w:style>
  <w:style w:type="paragraph" w:customStyle="1" w:styleId="31">
    <w:name w:val="1 Char"/>
    <w:basedOn w:val="1"/>
    <w:qFormat/>
    <w:uiPriority w:val="0"/>
    <w:rPr>
      <w:rFonts w:ascii="Times New Roman" w:hAnsi="Times New Roman" w:cs="Times New Roman"/>
      <w:szCs w:val="20"/>
    </w:rPr>
  </w:style>
  <w:style w:type="character" w:customStyle="1" w:styleId="32">
    <w:name w:val="日期 Char"/>
    <w:basedOn w:val="12"/>
    <w:link w:val="3"/>
    <w:semiHidden/>
    <w:qFormat/>
    <w:uiPriority w:val="99"/>
    <w:rPr>
      <w:rFonts w:ascii="Calibri" w:hAnsi="Calibri" w:cs="宋体"/>
      <w:kern w:val="2"/>
      <w:sz w:val="21"/>
      <w:szCs w:val="22"/>
    </w:rPr>
  </w:style>
  <w:style w:type="character" w:customStyle="1" w:styleId="33">
    <w:name w:val="正文（绿盟科技） Char"/>
    <w:link w:val="34"/>
    <w:qFormat/>
    <w:locked/>
    <w:uiPriority w:val="0"/>
    <w:rPr>
      <w:rFonts w:ascii="Calibri" w:hAnsi="Calibri"/>
      <w:sz w:val="18"/>
      <w:szCs w:val="21"/>
    </w:rPr>
  </w:style>
  <w:style w:type="paragraph" w:customStyle="1" w:styleId="34">
    <w:name w:val="正文（绿盟科技）"/>
    <w:link w:val="33"/>
    <w:qFormat/>
    <w:uiPriority w:val="0"/>
    <w:pPr>
      <w:spacing w:line="300" w:lineRule="auto"/>
      <w:ind w:firstLine="200" w:firstLineChars="200"/>
      <w:jc w:val="both"/>
    </w:pPr>
    <w:rPr>
      <w:rFonts w:ascii="Calibri" w:hAnsi="Calibri" w:eastAsia="宋体" w:cs="Times New Roman"/>
      <w:sz w:val="18"/>
      <w:szCs w:val="21"/>
      <w:lang w:val="en-US" w:eastAsia="zh-CN" w:bidi="ar-SA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Hewlett-Packard</Company>
  <Pages>4</Pages>
  <Words>290</Words>
  <Characters>320</Characters>
  <Lines>6</Lines>
  <Paragraphs>1</Paragraphs>
  <TotalTime>2</TotalTime>
  <ScaleCrop>false</ScaleCrop>
  <LinksUpToDate>false</LinksUpToDate>
  <CharactersWithSpaces>343</CharactersWithSpaces>
  <Application>WPS Office_6.10.2.8876_F1E327BC-269C-435d-A152-05C5408002CA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2019-11-26T03:26:00Z</dcterms:created>
  <dc:creator>刘攀</dc:creator>
  <cp:lastModifiedBy>安煜</cp:lastModifiedBy>
  <cp:lastPrinted>2017-11-03T00:29:00Z</cp:lastPrinted>
  <dcterms:modified xsi:type="dcterms:W3CDTF">2025-02-14T14:36:16Z</dcterms:modified>
  <cp:revision>286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2052-6.10.2.8876</vt:lpwstr>
  </property>
  <property fmtid="{D5CDD505-2E9C-101B-9397-08002B2CF9AE}" pid="3" name="ICV">
    <vt:lpwstr>5F228C6F2A6D750FBAE3AE67106D1EC1_43</vt:lpwstr>
  </property>
</Properties>
</file>