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PostgreSQL类型系统包含了一些特殊目的的项，它们被统称为伪类型。伪类型不能被用作一个列的数据类型，但是它可以被用来定义一个函数的参数或者结果类型。每一种可用的伪类型都有其可以发挥作用的情况，这些情况的特点是一个函数的行为并不能符合于简单使用或者返回一种特定SQL数据类型的值。</w:t>
      </w:r>
    </w:p>
    <w:tbl>
      <w:tblPr>
        <w:tblW w:w="0" w:type="auto"/>
        <w:tblBorders>
          <w:top w:val="single"/>
          <w:left w:val="single"/>
          <w:bottom w:val="single"/>
          <w:right w:val="single"/>
          <w:insideH w:val="single"/>
          <w:insideV w:val="single"/>
        </w:tblBorders>
      </w:tblPr>
      <w:tblGrid>
        <w:gridCol w:w="2560"/>
        <w:gridCol w:w="7380"/>
      </w:tblGrid>
      <w:tr>
        <w:trPr>
          <w:trHeight w:val="120"/>
        </w:trPr>
        <w:tc>
          <w:tcPr>
            <w:tcW w:w="2560"/>
            <w:vAlign w:val="center"/>
          </w:tcPr>
          <w:p/>
          <w:p>
            <w:pPr>
              <w:jc w:val="left"/>
            </w:pPr>
            <w:bookmarkStart w:name="UKB7-1671501170118" w:id="2"/>
            <w:bookmarkEnd w:id="2"/>
            <w:r>
              <w:rPr>
                <w:color w:val="000000"/>
              </w:rPr>
              <w:t>名字</w:t>
            </w:r>
          </w:p>
        </w:tc>
        <w:tc>
          <w:tcPr>
            <w:tcW w:w="7380"/>
            <w:vAlign w:val="center"/>
          </w:tcPr>
          <w:p/>
          <w:p>
            <w:pPr>
              <w:jc w:val="left"/>
            </w:pPr>
            <w:bookmarkStart w:name="hmMX-1671501170121" w:id="3"/>
            <w:bookmarkEnd w:id="3"/>
            <w:r>
              <w:rPr>
                <w:color w:val="000000"/>
              </w:rPr>
              <w:t>描述</w:t>
            </w:r>
          </w:p>
        </w:tc>
      </w:tr>
      <w:tr>
        <w:trPr>
          <w:trHeight w:val="200"/>
        </w:trPr>
        <w:tc>
          <w:tcPr>
            <w:tcW w:w="2560"/>
            <w:vAlign w:val="center"/>
          </w:tcPr>
          <w:p/>
          <w:p>
            <w:pPr>
              <w:jc w:val="left"/>
            </w:pPr>
            <w:bookmarkStart w:name="dXRD-1671501170126" w:id="4"/>
            <w:bookmarkEnd w:id="4"/>
            <w:r>
              <w:rPr>
                <w:color w:val="000000"/>
              </w:rPr>
              <w:t>any</w:t>
            </w:r>
          </w:p>
        </w:tc>
        <w:tc>
          <w:tcPr>
            <w:tcW w:w="7380"/>
            <w:vAlign w:val="center"/>
          </w:tcPr>
          <w:p/>
          <w:p>
            <w:pPr>
              <w:jc w:val="left"/>
            </w:pPr>
            <w:bookmarkStart w:name="M1vn-1671501170129" w:id="5"/>
            <w:bookmarkEnd w:id="5"/>
            <w:r>
              <w:rPr>
                <w:color w:val="000000"/>
              </w:rPr>
              <w:t>表示一个函数可以接受任意输入数据类型。</w:t>
            </w:r>
          </w:p>
        </w:tc>
      </w:tr>
      <w:tr>
        <w:trPr>
          <w:trHeight w:val="280"/>
        </w:trPr>
        <w:tc>
          <w:tcPr>
            <w:tcW w:w="2560"/>
            <w:vAlign w:val="center"/>
          </w:tcPr>
          <w:p/>
          <w:p>
            <w:pPr>
              <w:jc w:val="left"/>
            </w:pPr>
            <w:bookmarkStart w:name="cKF0-1671501170133" w:id="6"/>
            <w:bookmarkEnd w:id="6"/>
            <w:r>
              <w:rPr>
                <w:color w:val="000000"/>
              </w:rPr>
              <w:t>anyelement</w:t>
            </w:r>
          </w:p>
        </w:tc>
        <w:tc>
          <w:tcPr>
            <w:tcW w:w="7380"/>
            <w:vAlign w:val="center"/>
          </w:tcPr>
          <w:p/>
          <w:p>
            <w:pPr>
              <w:jc w:val="left"/>
            </w:pPr>
            <w:bookmarkStart w:name="PXE0-1671501170136" w:id="7"/>
            <w:bookmarkEnd w:id="7"/>
            <w:r>
              <w:rPr>
                <w:color w:val="000000"/>
              </w:rPr>
              <w:t>表示一个函数可以接受任意数据类型。
</w:t>
            </w:r>
          </w:p>
        </w:tc>
      </w:tr>
      <w:tr>
        <w:trPr>
          <w:trHeight w:val="280"/>
        </w:trPr>
        <w:tc>
          <w:tcPr>
            <w:tcW w:w="2560"/>
            <w:vAlign w:val="center"/>
          </w:tcPr>
          <w:p/>
          <w:p>
            <w:pPr>
              <w:jc w:val="left"/>
            </w:pPr>
            <w:bookmarkStart w:name="X9AN-1671501170140" w:id="8"/>
            <w:bookmarkEnd w:id="8"/>
            <w:r>
              <w:rPr>
                <w:color w:val="000000"/>
              </w:rPr>
              <w:t>anyarray</w:t>
            </w:r>
          </w:p>
        </w:tc>
        <w:tc>
          <w:tcPr>
            <w:tcW w:w="7380"/>
            <w:vAlign w:val="center"/>
          </w:tcPr>
          <w:p/>
          <w:p>
            <w:pPr>
              <w:jc w:val="left"/>
            </w:pPr>
            <w:bookmarkStart w:name="rKRD-1671501170144" w:id="9"/>
            <w:bookmarkEnd w:id="9"/>
            <w:r>
              <w:rPr>
                <w:color w:val="000000"/>
              </w:rPr>
              <w:t>表示一个函数可以接受任意数组数据类型。
</w:t>
            </w:r>
          </w:p>
        </w:tc>
      </w:tr>
      <w:tr>
        <w:trPr>
          <w:trHeight w:val="280"/>
        </w:trPr>
        <w:tc>
          <w:tcPr>
            <w:tcW w:w="2560"/>
            <w:vAlign w:val="center"/>
          </w:tcPr>
          <w:p/>
          <w:p>
            <w:pPr>
              <w:jc w:val="left"/>
            </w:pPr>
            <w:bookmarkStart w:name="w27Y-1671501170148" w:id="10"/>
            <w:bookmarkEnd w:id="10"/>
            <w:r>
              <w:rPr>
                <w:color w:val="000000"/>
              </w:rPr>
              <w:t>anynonarray</w:t>
            </w:r>
          </w:p>
        </w:tc>
        <w:tc>
          <w:tcPr>
            <w:tcW w:w="7380"/>
            <w:vAlign w:val="center"/>
          </w:tcPr>
          <w:p/>
          <w:p>
            <w:pPr>
              <w:jc w:val="left"/>
            </w:pPr>
            <w:bookmarkStart w:name="fGxd-1671501170151" w:id="11"/>
            <w:bookmarkEnd w:id="11"/>
            <w:r>
              <w:rPr>
                <w:color w:val="000000"/>
              </w:rPr>
              <w:t>表示一个函数可以接受任意非数组数据类型。
</w:t>
            </w:r>
          </w:p>
        </w:tc>
      </w:tr>
      <w:tr>
        <w:trPr>
          <w:trHeight w:val="280"/>
        </w:trPr>
        <w:tc>
          <w:tcPr>
            <w:tcW w:w="2560"/>
            <w:vAlign w:val="center"/>
          </w:tcPr>
          <w:p/>
          <w:p>
            <w:pPr>
              <w:jc w:val="left"/>
            </w:pPr>
            <w:bookmarkStart w:name="bP9d-1671501170155" w:id="12"/>
            <w:bookmarkEnd w:id="12"/>
            <w:r>
              <w:rPr>
                <w:color w:val="000000"/>
              </w:rPr>
              <w:t>anyenum</w:t>
            </w:r>
          </w:p>
        </w:tc>
        <w:tc>
          <w:tcPr>
            <w:tcW w:w="7380"/>
            <w:vAlign w:val="center"/>
          </w:tcPr>
          <w:p/>
          <w:p>
            <w:pPr>
              <w:jc w:val="left"/>
            </w:pPr>
            <w:bookmarkStart w:name="Sxw2-1671501170158" w:id="13"/>
            <w:bookmarkEnd w:id="13"/>
            <w:r>
              <w:rPr>
                <w:color w:val="000000"/>
              </w:rPr>
              <w:t>表示一个函数可以接受任意枚举数据类型。
</w:t>
            </w:r>
          </w:p>
        </w:tc>
      </w:tr>
      <w:tr>
        <w:trPr>
          <w:trHeight w:val="280"/>
        </w:trPr>
        <w:tc>
          <w:tcPr>
            <w:tcW w:w="2560"/>
            <w:vAlign w:val="center"/>
          </w:tcPr>
          <w:p/>
          <w:p>
            <w:pPr>
              <w:jc w:val="left"/>
            </w:pPr>
            <w:bookmarkStart w:name="8rLM-1671501170163" w:id="14"/>
            <w:bookmarkEnd w:id="14"/>
            <w:r>
              <w:rPr>
                <w:color w:val="000000"/>
              </w:rPr>
              <w:t>anyrange</w:t>
            </w:r>
          </w:p>
        </w:tc>
        <w:tc>
          <w:tcPr>
            <w:tcW w:w="7380"/>
            <w:vAlign w:val="center"/>
          </w:tcPr>
          <w:p/>
          <w:p>
            <w:pPr>
              <w:jc w:val="left"/>
            </w:pPr>
            <w:bookmarkStart w:name="Eowh-1671501170166" w:id="15"/>
            <w:bookmarkEnd w:id="15"/>
            <w:r>
              <w:rPr>
                <w:color w:val="000000"/>
              </w:rPr>
              <w:t>表示一个函数可以接受任意范围数据类型。
</w:t>
            </w:r>
          </w:p>
        </w:tc>
      </w:tr>
      <w:tr>
        <w:trPr>
          <w:trHeight w:val="380"/>
        </w:trPr>
        <w:tc>
          <w:tcPr>
            <w:tcW w:w="2560"/>
            <w:vAlign w:val="center"/>
          </w:tcPr>
          <w:p/>
          <w:p>
            <w:pPr>
              <w:jc w:val="left"/>
            </w:pPr>
            <w:bookmarkStart w:name="cj9Z-1671501170170" w:id="16"/>
            <w:bookmarkEnd w:id="16"/>
            <w:r>
              <w:rPr>
                <w:color w:val="000000"/>
              </w:rPr>
              <w:t>anycompatible</w:t>
            </w:r>
          </w:p>
        </w:tc>
        <w:tc>
          <w:tcPr>
            <w:tcW w:w="7380"/>
            <w:vAlign w:val="center"/>
          </w:tcPr>
          <w:p/>
          <w:p>
            <w:pPr>
              <w:jc w:val="left"/>
            </w:pPr>
            <w:bookmarkStart w:name="cRaG-1671501170173" w:id="17"/>
            <w:bookmarkEnd w:id="17"/>
            <w:r>
              <w:rPr>
                <w:color w:val="000000"/>
              </w:rPr>
              <w:t>指示函数接受任何数据类型，并自动将多个参数提升为通用数据类型 。
</w:t>
            </w:r>
          </w:p>
        </w:tc>
      </w:tr>
      <w:tr>
        <w:trPr>
          <w:trHeight w:val="380"/>
        </w:trPr>
        <w:tc>
          <w:tcPr>
            <w:tcW w:w="2560"/>
            <w:vAlign w:val="center"/>
          </w:tcPr>
          <w:p/>
          <w:p>
            <w:pPr>
              <w:jc w:val="left"/>
            </w:pPr>
            <w:bookmarkStart w:name="O5AU-1671501170177" w:id="18"/>
            <w:bookmarkEnd w:id="18"/>
            <w:r>
              <w:rPr>
                <w:color w:val="000000"/>
              </w:rPr>
              <w:t>anycompatiblearray</w:t>
            </w:r>
          </w:p>
        </w:tc>
        <w:tc>
          <w:tcPr>
            <w:tcW w:w="7380"/>
            <w:vAlign w:val="center"/>
          </w:tcPr>
          <w:p/>
          <w:p>
            <w:pPr>
              <w:jc w:val="left"/>
            </w:pPr>
            <w:bookmarkStart w:name="HTJm-1671501170181" w:id="19"/>
            <w:bookmarkEnd w:id="19"/>
            <w:r>
              <w:rPr>
                <w:color w:val="000000"/>
              </w:rPr>
              <w:t>指示函数接受任何数组数据类型，并自动将多个参数提升为通用数据类型 。
</w:t>
            </w:r>
          </w:p>
        </w:tc>
      </w:tr>
      <w:tr>
        <w:trPr>
          <w:trHeight w:val="380"/>
        </w:trPr>
        <w:tc>
          <w:tcPr>
            <w:tcW w:w="2560"/>
            <w:vAlign w:val="center"/>
          </w:tcPr>
          <w:p/>
          <w:p>
            <w:pPr>
              <w:jc w:val="left"/>
            </w:pPr>
            <w:bookmarkStart w:name="bJt6-1671501170185" w:id="20"/>
            <w:bookmarkEnd w:id="20"/>
            <w:r>
              <w:rPr>
                <w:color w:val="000000"/>
              </w:rPr>
              <w:t>anycompatiblenonarray</w:t>
            </w:r>
          </w:p>
        </w:tc>
        <w:tc>
          <w:tcPr>
            <w:tcW w:w="7380"/>
            <w:vAlign w:val="center"/>
          </w:tcPr>
          <w:p/>
          <w:p>
            <w:pPr>
              <w:jc w:val="left"/>
            </w:pPr>
            <w:bookmarkStart w:name="yST0-1671501170188" w:id="21"/>
            <w:bookmarkEnd w:id="21"/>
            <w:r>
              <w:rPr>
                <w:color w:val="000000"/>
              </w:rPr>
              <w:t>指示函数接受任何非数组数据类型，并将多个参数自动提升为通用。
</w:t>
            </w:r>
          </w:p>
        </w:tc>
      </w:tr>
      <w:tr>
        <w:trPr>
          <w:trHeight w:val="460"/>
        </w:trPr>
        <w:tc>
          <w:tcPr>
            <w:tcW w:w="2560"/>
            <w:vAlign w:val="center"/>
          </w:tcPr>
          <w:p/>
          <w:p>
            <w:pPr>
              <w:jc w:val="left"/>
            </w:pPr>
            <w:bookmarkStart w:name="UCM5-1671501170192" w:id="22"/>
            <w:bookmarkEnd w:id="22"/>
            <w:r>
              <w:rPr>
                <w:color w:val="000000"/>
              </w:rPr>
              <w:t>anycompatiblerange</w:t>
            </w:r>
          </w:p>
        </w:tc>
        <w:tc>
          <w:tcPr>
            <w:tcW w:w="7380"/>
            <w:vAlign w:val="center"/>
          </w:tcPr>
          <w:p/>
          <w:p>
            <w:pPr>
              <w:jc w:val="left"/>
            </w:pPr>
            <w:bookmarkStart w:name="f6Ph-1671501170195" w:id="23"/>
            <w:bookmarkEnd w:id="23"/>
            <w:r>
              <w:rPr>
                <w:color w:val="000000"/>
              </w:rPr>
              <w:t>指示函数接受任何范围数据类型，并将多个参数自动提升为通用数据类型 。
</w:t>
            </w:r>
          </w:p>
        </w:tc>
      </w:tr>
      <w:tr>
        <w:trPr>
          <w:trHeight w:val="200"/>
        </w:trPr>
        <w:tc>
          <w:tcPr>
            <w:tcW w:w="2560"/>
            <w:vAlign w:val="center"/>
          </w:tcPr>
          <w:p/>
          <w:p>
            <w:pPr>
              <w:jc w:val="left"/>
            </w:pPr>
            <w:bookmarkStart w:name="cUJx-1671501170200" w:id="24"/>
            <w:bookmarkEnd w:id="24"/>
            <w:r>
              <w:rPr>
                <w:color w:val="000000"/>
              </w:rPr>
              <w:t>cstring</w:t>
            </w:r>
          </w:p>
        </w:tc>
        <w:tc>
          <w:tcPr>
            <w:tcW w:w="7380"/>
            <w:vAlign w:val="center"/>
          </w:tcPr>
          <w:p/>
          <w:p>
            <w:pPr>
              <w:jc w:val="left"/>
            </w:pPr>
            <w:bookmarkStart w:name="Kimr-1671501170203" w:id="25"/>
            <w:bookmarkEnd w:id="25"/>
            <w:r>
              <w:rPr>
                <w:color w:val="000000"/>
              </w:rPr>
              <w:t>表示一个函数接受或者返回一个非空结尾的C字符串。</w:t>
            </w:r>
          </w:p>
        </w:tc>
      </w:tr>
      <w:tr>
        <w:trPr>
          <w:trHeight w:val="200"/>
        </w:trPr>
        <w:tc>
          <w:tcPr>
            <w:tcW w:w="2560"/>
            <w:vAlign w:val="center"/>
          </w:tcPr>
          <w:p/>
          <w:p>
            <w:pPr>
              <w:jc w:val="left"/>
            </w:pPr>
            <w:bookmarkStart w:name="Rwfa-1671501170207" w:id="26"/>
            <w:bookmarkEnd w:id="26"/>
            <w:r>
              <w:rPr>
                <w:color w:val="000000"/>
              </w:rPr>
              <w:t>internal</w:t>
            </w:r>
          </w:p>
        </w:tc>
        <w:tc>
          <w:tcPr>
            <w:tcW w:w="7380"/>
            <w:vAlign w:val="center"/>
          </w:tcPr>
          <w:p/>
          <w:p>
            <w:pPr>
              <w:jc w:val="left"/>
            </w:pPr>
            <w:bookmarkStart w:name="cBJs-1671501170210" w:id="27"/>
            <w:bookmarkEnd w:id="27"/>
            <w:r>
              <w:rPr>
                <w:color w:val="000000"/>
              </w:rPr>
              <w:t>表示一个函数接受或返回一个服务器内部数据类型。</w:t>
            </w:r>
          </w:p>
        </w:tc>
      </w:tr>
      <w:tr>
        <w:trPr>
          <w:trHeight w:val="280"/>
        </w:trPr>
        <w:tc>
          <w:tcPr>
            <w:tcW w:w="2560"/>
            <w:vAlign w:val="center"/>
          </w:tcPr>
          <w:p/>
          <w:p>
            <w:pPr>
              <w:jc w:val="left"/>
            </w:pPr>
            <w:bookmarkStart w:name="qkIB-1671501170214" w:id="28"/>
            <w:bookmarkEnd w:id="28"/>
            <w:r>
              <w:rPr>
                <w:color w:val="000000"/>
              </w:rPr>
              <w:t>language_handler</w:t>
            </w:r>
          </w:p>
        </w:tc>
        <w:tc>
          <w:tcPr>
            <w:tcW w:w="7380"/>
            <w:vAlign w:val="center"/>
          </w:tcPr>
          <w:p/>
          <w:p>
            <w:pPr>
              <w:jc w:val="left"/>
            </w:pPr>
            <w:bookmarkStart w:name="y5aO-1671501170218" w:id="29"/>
            <w:bookmarkEnd w:id="29"/>
            <w:r>
              <w:rPr>
                <w:color w:val="000000"/>
              </w:rPr>
              <w:t>一个被声明为返回language_handler的过程语言调用处理器。</w:t>
            </w:r>
          </w:p>
        </w:tc>
      </w:tr>
      <w:tr>
        <w:trPr>
          <w:trHeight w:val="280"/>
        </w:trPr>
        <w:tc>
          <w:tcPr>
            <w:tcW w:w="2560"/>
            <w:vAlign w:val="center"/>
          </w:tcPr>
          <w:p/>
          <w:p>
            <w:pPr>
              <w:jc w:val="left"/>
            </w:pPr>
            <w:bookmarkStart w:name="MSmE-1671501170222" w:id="30"/>
            <w:bookmarkEnd w:id="30"/>
            <w:r>
              <w:rPr>
                <w:color w:val="000000"/>
              </w:rPr>
              <w:t>fdw_handler</w:t>
            </w:r>
          </w:p>
        </w:tc>
        <w:tc>
          <w:tcPr>
            <w:tcW w:w="7380"/>
            <w:vAlign w:val="center"/>
          </w:tcPr>
          <w:p/>
          <w:p>
            <w:pPr>
              <w:jc w:val="left"/>
            </w:pPr>
            <w:bookmarkStart w:name="SVRt-1671501170225" w:id="31"/>
            <w:bookmarkEnd w:id="31"/>
            <w:r>
              <w:rPr>
                <w:color w:val="000000"/>
              </w:rPr>
              <w:t>一个被声明为返回fdw_handler的外部数据包装器处理器。</w:t>
            </w:r>
          </w:p>
        </w:tc>
      </w:tr>
      <w:tr>
        <w:trPr>
          <w:trHeight w:val="280"/>
        </w:trPr>
        <w:tc>
          <w:tcPr>
            <w:tcW w:w="2560"/>
            <w:vAlign w:val="center"/>
          </w:tcPr>
          <w:p/>
          <w:p>
            <w:pPr>
              <w:jc w:val="left"/>
            </w:pPr>
            <w:bookmarkStart w:name="oga5-1671501170229" w:id="32"/>
            <w:bookmarkEnd w:id="32"/>
            <w:r>
              <w:rPr>
                <w:color w:val="000000"/>
              </w:rPr>
              <w:t>table_am_handler</w:t>
            </w:r>
          </w:p>
        </w:tc>
        <w:tc>
          <w:tcPr>
            <w:tcW w:w="7380"/>
            <w:vAlign w:val="center"/>
          </w:tcPr>
          <w:p/>
          <w:p>
            <w:pPr>
              <w:jc w:val="left"/>
            </w:pPr>
            <w:bookmarkStart w:name="gmMq-1671501170232" w:id="33"/>
            <w:bookmarkEnd w:id="33"/>
            <w:r>
              <w:rPr>
                <w:color w:val="000000"/>
              </w:rPr>
              <w:t>一种表访问方法处理程序，声明要返回 table_am_handler.</w:t>
            </w:r>
          </w:p>
        </w:tc>
      </w:tr>
      <w:tr>
        <w:trPr>
          <w:trHeight w:val="600"/>
        </w:trPr>
        <w:tc>
          <w:tcPr>
            <w:tcW w:w="2560"/>
            <w:vAlign w:val="center"/>
          </w:tcPr>
          <w:p/>
          <w:p>
            <w:pPr/>
            <w:bookmarkStart w:name="WBkh-1671501205374" w:id="34"/>
            <w:bookmarkEnd w:id="34"/>
            <w:r>
              <w:rPr/>
              <w:t>index_am_handler</w:t>
            </w:r>
          </w:p>
        </w:tc>
        <w:tc>
          <w:tcPr>
            <w:tcW w:w="7380"/>
            <w:vAlign w:val="center"/>
          </w:tcPr>
          <w:p/>
          <w:p>
            <w:pPr/>
            <w:bookmarkStart w:name="FmYL-1671501205377" w:id="35"/>
            <w:bookmarkEnd w:id="35"/>
            <w:r>
              <w:rPr/>
              <w:t>一个被声明为返回index_am_handler索引访问方法处理器。</w:t>
            </w:r>
          </w:p>
        </w:tc>
      </w:tr>
      <w:tr>
        <w:trPr>
          <w:trHeight w:val="600"/>
        </w:trPr>
        <w:tc>
          <w:tcPr>
            <w:tcW w:w="2560"/>
            <w:vAlign w:val="center"/>
          </w:tcPr>
          <w:p/>
          <w:p>
            <w:pPr/>
            <w:bookmarkStart w:name="149U-1671501215784" w:id="36"/>
            <w:bookmarkEnd w:id="36"/>
            <w:r>
              <w:rPr/>
              <w:t>tsm_handler</w:t>
            </w:r>
          </w:p>
        </w:tc>
        <w:tc>
          <w:tcPr>
            <w:tcW w:w="7380"/>
            <w:vAlign w:val="center"/>
          </w:tcPr>
          <w:p/>
          <w:p>
            <w:pPr/>
            <w:bookmarkStart w:name="VDbX-1671501215787" w:id="37"/>
            <w:bookmarkEnd w:id="37"/>
            <w:r>
              <w:rPr/>
              <w:t>一个被声明为返回tsm_handler的表采样方法处理器。</w:t>
            </w:r>
          </w:p>
        </w:tc>
      </w:tr>
      <w:tr>
        <w:trPr>
          <w:trHeight w:val="600"/>
        </w:trPr>
        <w:tc>
          <w:tcPr>
            <w:tcW w:w="2560"/>
            <w:vAlign w:val="center"/>
          </w:tcPr>
          <w:p/>
          <w:p>
            <w:pPr/>
            <w:bookmarkStart w:name="IGcO-1671501233314" w:id="38"/>
            <w:bookmarkEnd w:id="38"/>
            <w:r>
              <w:rPr/>
              <w:t>record</w:t>
            </w:r>
          </w:p>
        </w:tc>
        <w:tc>
          <w:tcPr>
            <w:tcW w:w="7380"/>
            <w:vAlign w:val="center"/>
          </w:tcPr>
          <w:p/>
          <w:p>
            <w:pPr/>
            <w:bookmarkStart w:name="JnML-1671501233317" w:id="39"/>
            <w:bookmarkEnd w:id="39"/>
            <w:r>
              <w:rPr/>
              <w:t>标识一个接收或者返回一个未指定的行类型的函数。</w:t>
            </w:r>
          </w:p>
        </w:tc>
      </w:tr>
      <w:tr>
        <w:trPr>
          <w:trHeight w:val="600"/>
        </w:trPr>
        <w:tc>
          <w:tcPr>
            <w:tcW w:w="2560"/>
            <w:vAlign w:val="center"/>
          </w:tcPr>
          <w:p/>
          <w:p>
            <w:pPr/>
            <w:bookmarkStart w:name="kJmn-1671501240430" w:id="40"/>
            <w:bookmarkEnd w:id="40"/>
            <w:r>
              <w:rPr/>
              <w:t>trigger</w:t>
            </w:r>
          </w:p>
        </w:tc>
        <w:tc>
          <w:tcPr>
            <w:tcW w:w="7380"/>
            <w:vAlign w:val="center"/>
          </w:tcPr>
          <w:p/>
          <w:p>
            <w:pPr/>
            <w:bookmarkStart w:name="nNCu-1671501240433" w:id="41"/>
            <w:bookmarkEnd w:id="41"/>
            <w:r>
              <w:rPr/>
              <w:t>一个被声明为返回trigger的触发器函数。</w:t>
            </w:r>
          </w:p>
        </w:tc>
      </w:tr>
      <w:tr>
        <w:trPr>
          <w:trHeight w:val="600"/>
        </w:trPr>
        <w:tc>
          <w:tcPr>
            <w:tcW w:w="2560"/>
            <w:vAlign w:val="center"/>
          </w:tcPr>
          <w:p/>
          <w:p>
            <w:pPr/>
            <w:bookmarkStart w:name="ESVP-1671501250725" w:id="42"/>
            <w:bookmarkEnd w:id="42"/>
            <w:r>
              <w:rPr/>
              <w:t>event_trigger</w:t>
            </w:r>
          </w:p>
        </w:tc>
        <w:tc>
          <w:tcPr>
            <w:tcW w:w="7380"/>
            <w:vAlign w:val="center"/>
          </w:tcPr>
          <w:p/>
          <w:p>
            <w:pPr/>
            <w:bookmarkStart w:name="oHtE-1671501250728" w:id="43"/>
            <w:bookmarkEnd w:id="43"/>
            <w:r>
              <w:rPr/>
              <w:t>一个被声明为返回event_trigger的事件触发器函数。</w:t>
            </w:r>
          </w:p>
        </w:tc>
      </w:tr>
      <w:tr>
        <w:trPr>
          <w:trHeight w:val="600"/>
        </w:trPr>
        <w:tc>
          <w:tcPr>
            <w:tcW w:w="2560"/>
            <w:vAlign w:val="center"/>
          </w:tcPr>
          <w:p/>
          <w:p>
            <w:pPr/>
            <w:bookmarkStart w:name="OQmD-1671501263559" w:id="44"/>
            <w:bookmarkEnd w:id="44"/>
            <w:r>
              <w:rPr/>
              <w:t>pg_ddl_command</w:t>
            </w:r>
          </w:p>
        </w:tc>
        <w:tc>
          <w:tcPr>
            <w:tcW w:w="7380"/>
            <w:vAlign w:val="center"/>
          </w:tcPr>
          <w:p/>
          <w:p>
            <w:pPr/>
            <w:bookmarkStart w:name="jfoI-1671501263562" w:id="45"/>
            <w:bookmarkEnd w:id="45"/>
            <w:r>
              <w:rPr/>
              <w:t>标识一种对事件触发器可用的 DDL 命令的表达。</w:t>
            </w:r>
          </w:p>
        </w:tc>
      </w:tr>
      <w:tr>
        <w:trPr>
          <w:trHeight w:val="600"/>
        </w:trPr>
        <w:tc>
          <w:tcPr>
            <w:tcW w:w="2560"/>
            <w:vAlign w:val="center"/>
          </w:tcPr>
          <w:p/>
          <w:p>
            <w:pPr/>
            <w:bookmarkStart w:name="YYcT-1671501274706" w:id="46"/>
            <w:bookmarkEnd w:id="46"/>
            <w:r>
              <w:rPr/>
              <w:t>void</w:t>
            </w:r>
          </w:p>
        </w:tc>
        <w:tc>
          <w:tcPr>
            <w:tcW w:w="7380"/>
            <w:vAlign w:val="center"/>
          </w:tcPr>
          <w:p/>
          <w:p>
            <w:pPr/>
            <w:bookmarkStart w:name="FT9N-1671501274709" w:id="47"/>
            <w:bookmarkEnd w:id="47"/>
            <w:r>
              <w:rPr/>
              <w:t>表示一个函数不返回值。</w:t>
            </w:r>
          </w:p>
        </w:tc>
      </w:tr>
      <w:tr>
        <w:trPr>
          <w:trHeight w:val="600"/>
        </w:trPr>
        <w:tc>
          <w:tcPr>
            <w:tcW w:w="2560"/>
            <w:vAlign w:val="center"/>
          </w:tcPr>
          <w:p/>
          <w:p>
            <w:pPr/>
            <w:bookmarkStart w:name="pigY-1671501285741" w:id="48"/>
            <w:bookmarkEnd w:id="48"/>
            <w:r>
              <w:rPr/>
              <w:t>unknown</w:t>
            </w:r>
          </w:p>
        </w:tc>
        <w:tc>
          <w:tcPr>
            <w:tcW w:w="7380"/>
            <w:vAlign w:val="center"/>
          </w:tcPr>
          <w:p/>
          <w:p>
            <w:pPr/>
            <w:bookmarkStart w:name="agkZ-1671501285744" w:id="49"/>
            <w:bookmarkEnd w:id="49"/>
            <w:r>
              <w:rPr/>
              <w:t>标识一种还未被解析的类型，例如一个未修饰的字符文本。</w:t>
            </w:r>
          </w:p>
        </w:tc>
      </w:tr>
    </w:tbl>
    <w:p>
      <w:pPr/>
      <w:bookmarkStart w:name="Prxn-1671501170249" w:id="50"/>
      <w:bookmarkEnd w:id="50"/>
    </w:p>
    <w:p>
      <w:pPr/>
      <w:bookmarkStart w:name="BFPR-1671501198452" w:id="51"/>
      <w:bookmarkEnd w:id="51"/>
      <w:r>
        <w:rPr/>
        <w:t>用C语言编写的函数（不管是内置的还是动态装载的） 都可以声明为接受或返回上面任意一种伪数据类型。 在把伪类型用作函数参数类型时， PostgreSQL数据库本身对类型的检查就少了很多， 保证类型正确的任务就交给了写函数的开发人员。</w:t>
      </w:r>
    </w:p>
    <w:p>
      <w:pPr/>
      <w:bookmarkStart w:name="RmsF-1671501313013" w:id="52"/>
      <w:bookmarkEnd w:id="52"/>
    </w:p>
    <w:p>
      <w:pPr/>
      <w:bookmarkStart w:name="uJQi-1671501309131" w:id="53"/>
      <w:bookmarkEnd w:id="53"/>
      <w:r>
        <w:rPr/>
        <w:t>用过程语言编写的函数不一定都能使用上面列出的全部伪类型， 具体能使用哪些伪类型需要查看相关的过程语言文档， 或者查看过程语言的实现。 通常情况下， 过程语言不支持使用any类型， 但基本都能支持使用void和record作为结果类型， 能支持多态函数的过程语言还支持使用anyarray、 anyelement、 anyenum和anynonarray类型。</w:t>
      </w:r>
    </w:p>
    <w:p>
      <w:pPr/>
      <w:bookmarkStart w:name="BNyf-1671501315464" w:id="54"/>
      <w:bookmarkEnd w:id="54"/>
    </w:p>
    <w:p>
      <w:pPr/>
      <w:bookmarkStart w:name="wM3N-1671501309133" w:id="55"/>
      <w:bookmarkEnd w:id="55"/>
      <w:r>
        <w:rPr/>
        <w:t>伪类型internal用于声明只能在数据库系统内部调用的函数， 不能直接在SQL查询中调用它们。 如果函数至少有一个internal类型的参数， 那么就不能从SQL中调用它。 为了保留这个限制的类型安全， 我们一定要遵循以下编码规则： 对于没有任何internal参数的函数， 不要把返回类型创建为internal类型。</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2023-01-07T01:39:13Z</dcterms:created>
  <dc:creator>Apache POI</dc:creator>
</cp:coreProperties>
</file>