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>Name Convention</w:t>
      </w:r>
    </w:p>
    <w:p>
      <w:pPr>
        <w:pStyle w:val="9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p>
      <w:pPr>
        <w:pStyle w:val="9"/>
        <w:numPr>
          <w:ilvl w:val="0"/>
          <w:numId w:val="2"/>
        </w:numPr>
        <w:ind w:left="-420" w:leftChars="0" w:firstLine="1440" w:firstLineChars="0"/>
      </w:pPr>
      <w:r>
        <w:rPr>
          <w:position w:val="-10"/>
        </w:rPr>
        <w:object>
          <v:shape id="_x0000_i1025" o:spt="75" type="#_x0000_t75" style="height:16pt;width:38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response after apply a kernel level operation</w:t>
      </w:r>
    </w:p>
    <w:p>
      <w:pPr>
        <w:pStyle w:val="9"/>
        <w:numPr>
          <w:ilvl w:val="0"/>
          <w:numId w:val="2"/>
        </w:numPr>
        <w:ind w:left="-420" w:leftChars="0" w:firstLine="1440" w:firstLineChars="0"/>
      </w:pPr>
      <w:r>
        <w:rPr>
          <w:position w:val="-10"/>
        </w:rPr>
        <w:object>
          <v:shape id="_x0000_i1026" o:spt="75" type="#_x0000_t75" style="height:16pt;width:37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/>
          <w:lang w:val="en-US" w:eastAsia="zh-CN"/>
        </w:rPr>
        <w:t>: output image</w:t>
      </w:r>
    </w:p>
    <w:p>
      <w:pPr>
        <w:pStyle w:val="9"/>
        <w:numPr>
          <w:ilvl w:val="0"/>
          <w:numId w:val="1"/>
        </w:numPr>
      </w:pPr>
      <w:r>
        <w:rPr>
          <w:rFonts w:hint="eastAsia"/>
          <w:lang w:val="en-US" w:eastAsia="zh-CN"/>
        </w:rPr>
        <w:t>图像坐标系，x正方向向下，y正方向向右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基础知识</w:t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空间分割的原则和完备性</w:t>
      </w:r>
    </w:p>
    <w:p>
      <w:r>
        <w:drawing>
          <wp:inline distT="0" distB="0" distL="114300" distR="114300">
            <wp:extent cx="3429000" cy="1130300"/>
            <wp:effectExtent l="0" t="0" r="0" b="0"/>
            <wp:docPr id="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lang w:val="en-US"/>
        </w:rPr>
      </w:pPr>
      <w:r>
        <w:rPr>
          <w:rFonts w:hint="eastAsia"/>
          <w:lang w:val="en-US" w:eastAsia="zh-CN"/>
        </w:rPr>
        <w:t xml:space="preserve">点线和边缘提取 </w:t>
      </w:r>
      <w:r>
        <w:rPr>
          <w:rFonts w:hint="default" w:ascii="Cambria" w:hAnsi="Cambria" w:cs="Cambria"/>
          <w:lang w:val="en-US" w:eastAsia="zh-CN"/>
        </w:rPr>
        <w:t>point</w:t>
      </w:r>
      <w:r>
        <w:rPr>
          <w:rFonts w:hint="eastAsia" w:ascii="Cambria" w:hAnsi="Cambria" w:cs="Cambria"/>
          <w:lang w:val="en-US" w:eastAsia="zh-CN"/>
        </w:rPr>
        <w:t xml:space="preserve"> line and edge detection</w:t>
      </w:r>
    </w:p>
    <w:p>
      <w:pPr>
        <w:pStyle w:val="3"/>
      </w:pPr>
      <w:r>
        <w:rPr>
          <w:rFonts w:hint="eastAsia"/>
          <w:lang w:val="en-US" w:eastAsia="zh-CN"/>
        </w:rPr>
        <w:t>基础知识</w:t>
      </w:r>
    </w:p>
    <w:p/>
    <w:p>
      <w:r>
        <w:drawing>
          <wp:inline distT="0" distB="0" distL="114300" distR="114300">
            <wp:extent cx="3079750" cy="374650"/>
            <wp:effectExtent l="0" t="0" r="6350" b="635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79800" cy="406400"/>
            <wp:effectExtent l="0" t="0" r="0" b="0"/>
            <wp:docPr id="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1500" cy="1822450"/>
            <wp:effectExtent l="0" t="0" r="0" b="6350"/>
            <wp:docPr id="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68800" cy="958850"/>
            <wp:effectExtent l="0" t="0" r="0" b="635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Detection of isolated point</w:t>
      </w:r>
    </w:p>
    <w:p>
      <w:r>
        <w:drawing>
          <wp:inline distT="0" distB="0" distL="114300" distR="114300">
            <wp:extent cx="3657600" cy="527050"/>
            <wp:effectExtent l="0" t="0" r="0" b="6350"/>
            <wp:docPr id="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R是原图像经过Laplace kernel处理的响应。</w:t>
      </w:r>
    </w:p>
    <w:p>
      <w:r>
        <w:drawing>
          <wp:inline distT="0" distB="0" distL="114300" distR="114300">
            <wp:extent cx="3105150" cy="400050"/>
            <wp:effectExtent l="0" t="0" r="6350" b="6350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 Detection</w:t>
      </w:r>
    </w:p>
    <w:p>
      <w:r>
        <w:drawing>
          <wp:inline distT="0" distB="0" distL="114300" distR="114300">
            <wp:extent cx="5124450" cy="1708150"/>
            <wp:effectExtent l="0" t="0" r="6350" b="6350"/>
            <wp:docPr id="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注意这里的坐标系：x正方向向下，y正方向向右；以及+-45°这两个方向的sobel算子。如果要用sobel算子来鉴定一个位置属于哪种线，得看四个方向模板的响应哪个更强。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Edge model</w:t>
      </w:r>
    </w:p>
    <w:p>
      <w:r>
        <w:drawing>
          <wp:inline distT="0" distB="0" distL="114300" distR="114300">
            <wp:extent cx="939800" cy="1166495"/>
            <wp:effectExtent l="0" t="0" r="0" b="1905"/>
            <wp:docPr id="1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78935" cy="1073150"/>
            <wp:effectExtent l="0" t="0" r="12065" b="635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在一幅图的边缘中无非是这三种边缘中的一种。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边缘检测的三个步骤：</w:t>
      </w:r>
    </w:p>
    <w:p>
      <w:r>
        <w:drawing>
          <wp:inline distT="0" distB="0" distL="114300" distR="114300">
            <wp:extent cx="4337050" cy="1308100"/>
            <wp:effectExtent l="0" t="0" r="6350" b="0"/>
            <wp:docPr id="1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Gradient vector, Magnitude and direction(angle):</w:t>
      </w:r>
    </w:p>
    <w:p>
      <w:r>
        <w:drawing>
          <wp:inline distT="0" distB="0" distL="114300" distR="114300">
            <wp:extent cx="3079750" cy="755650"/>
            <wp:effectExtent l="0" t="0" r="6350" b="6350"/>
            <wp:docPr id="1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81350" cy="222250"/>
            <wp:effectExtent l="0" t="0" r="6350" b="6350"/>
            <wp:docPr id="1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5900" cy="438150"/>
            <wp:effectExtent l="0" t="0" r="0" b="635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4000" cy="1352550"/>
            <wp:effectExtent l="0" t="0" r="0" b="635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Roberts operator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Robert operator 用3x3kernel来表示如下：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92250" cy="863600"/>
            <wp:effectExtent l="0" t="0" r="6350" b="0"/>
            <wp:docPr id="1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44800" cy="374650"/>
            <wp:effectExtent l="0" t="0" r="0" b="6350"/>
            <wp:docPr id="1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38450" cy="361950"/>
            <wp:effectExtent l="0" t="0" r="6350" b="6350"/>
            <wp:docPr id="1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17600" cy="1085850"/>
            <wp:effectExtent l="0" t="0" r="0" b="635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Prewitt operator</w:t>
      </w:r>
    </w:p>
    <w:p>
      <w:r>
        <w:drawing>
          <wp:inline distT="0" distB="0" distL="114300" distR="114300">
            <wp:extent cx="2139950" cy="1212850"/>
            <wp:effectExtent l="0" t="0" r="6350" b="6350"/>
            <wp:docPr id="2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4550" cy="1181100"/>
            <wp:effectExtent l="0" t="0" r="6350" b="0"/>
            <wp:docPr id="2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Sobel operator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注意后面两个45°的mask，注意和line detection mask的差异。</w:t>
      </w:r>
    </w:p>
    <w:p>
      <w:r>
        <w:drawing>
          <wp:inline distT="0" distB="0" distL="114300" distR="114300">
            <wp:extent cx="2146300" cy="1206500"/>
            <wp:effectExtent l="0" t="0" r="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2650" cy="1212850"/>
            <wp:effectExtent l="0" t="0" r="6350" b="6350"/>
            <wp:docPr id="2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Marr-Hildreth Edge Detection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下面的式子必要时可前乘系数 1/(2pi*sigma^2), 1D的Gaussian系数只有1/sqrt(2pi*sigma^2)，来自于1D高斯函数的积分；2D高斯函数可以分离写成两个1D高斯函数的乘积，所以系数也是[1/sqrt(2pi*sigma^2)]^2 = 1/(2pi*sigma^2)</w:t>
      </w:r>
    </w:p>
    <w:p>
      <w:r>
        <w:drawing>
          <wp:inline distT="0" distB="0" distL="114300" distR="114300">
            <wp:extent cx="2654300" cy="285750"/>
            <wp:effectExtent l="0" t="0" r="0" b="6350"/>
            <wp:docPr id="2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06750" cy="463550"/>
            <wp:effectExtent l="0" t="0" r="6350" b="6350"/>
            <wp:docPr id="2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一种LOG的离散采样结果如下所示（注意真实使用的模板是这个模板乘以一个-1，函数反过来）</w:t>
      </w:r>
    </w:p>
    <w:p>
      <w:r>
        <w:drawing>
          <wp:inline distT="0" distB="0" distL="114300" distR="114300">
            <wp:extent cx="4356100" cy="3517900"/>
            <wp:effectExtent l="0" t="0" r="0" b="0"/>
            <wp:docPr id="2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-LoG(5, sigma=0.65, force_</w:t>
      </w:r>
      <w:r>
        <w:rPr>
          <w:rFonts w:hint="eastAsia"/>
          <w:lang w:val="en-US" w:eastAsia="zh-CN"/>
        </w:rPr>
        <w:t>center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6)</w:t>
      </w:r>
    </w:p>
    <w:p>
      <w:pPr>
        <w:rPr>
          <w:rFonts w:hint="eastAsia"/>
        </w:rPr>
      </w:pPr>
      <w:r>
        <w:drawing>
          <wp:inline distT="0" distB="0" distL="114300" distR="114300">
            <wp:extent cx="1117600" cy="736600"/>
            <wp:effectExtent l="0" t="0" r="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"http://homepages.inf.ed.ac.uk/rbf/HIPR2/log.htm"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http://homepages.inf.ed.ac.uk/rbf/HIPR2/log.htm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LoG(9, sigma=1.35, force_center=40)</w:t>
      </w:r>
    </w:p>
    <w:p>
      <w:pPr>
        <w:rPr>
          <w:rFonts w:hint="eastAsia"/>
        </w:rPr>
      </w:pPr>
      <w:r>
        <w:drawing>
          <wp:inline distT="0" distB="0" distL="114300" distR="114300">
            <wp:extent cx="2590800" cy="1339850"/>
            <wp:effectExtent l="0" t="0" r="0" b="635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2450" cy="1822450"/>
            <wp:effectExtent l="0" t="0" r="6350" b="635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2450" cy="1428750"/>
            <wp:effectExtent l="0" t="0" r="6350" b="6350"/>
            <wp:docPr id="2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Marr-Hildreth Edge Detection DoG</w:t>
      </w:r>
    </w:p>
    <w:p>
      <w:r>
        <w:rPr>
          <w:rFonts w:hint="eastAsia"/>
          <w:lang w:val="en-US" w:eastAsia="zh-CN"/>
        </w:rPr>
        <w:t>Marr-Hildreth 又提出了可以用Difference of Gaussian(DoG)来近似LoG，如下：</w:t>
      </w:r>
    </w:p>
    <w:p>
      <w:r>
        <w:drawing>
          <wp:inline distT="0" distB="0" distL="114300" distR="114300">
            <wp:extent cx="3302000" cy="400050"/>
            <wp:effectExtent l="0" t="0" r="0" b="6350"/>
            <wp:docPr id="2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94200" cy="939800"/>
            <wp:effectExtent l="0" t="0" r="0" b="0"/>
            <wp:docPr id="3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1.6:1的比率下，DoG可以模拟下面sigma的LoG:</w:t>
      </w:r>
    </w:p>
    <w:p>
      <w:r>
        <w:drawing>
          <wp:inline distT="0" distB="0" distL="114300" distR="114300">
            <wp:extent cx="2838450" cy="463550"/>
            <wp:effectExtent l="0" t="0" r="6350" b="6350"/>
            <wp:docPr id="2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Canny Detector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Canny Detector 的改进目标是：</w:t>
      </w:r>
    </w:p>
    <w:p>
      <w:r>
        <w:drawing>
          <wp:inline distT="0" distB="0" distL="114300" distR="114300">
            <wp:extent cx="4343400" cy="1587500"/>
            <wp:effectExtent l="0" t="0" r="0" b="0"/>
            <wp:docPr id="3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4350" cy="1219200"/>
            <wp:effectExtent l="0" t="0" r="6350" b="0"/>
            <wp:docPr id="3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3.非最大抑制：</w:t>
      </w:r>
    </w:p>
    <w:p>
      <w:r>
        <w:drawing>
          <wp:inline distT="0" distB="0" distL="114300" distR="114300">
            <wp:extent cx="4368800" cy="1193800"/>
            <wp:effectExtent l="0" t="0" r="0" b="0"/>
            <wp:docPr id="3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图示如下：</w:t>
      </w:r>
    </w:p>
    <w:p>
      <w:r>
        <w:drawing>
          <wp:inline distT="0" distB="0" distL="114300" distR="114300">
            <wp:extent cx="5269230" cy="3361690"/>
            <wp:effectExtent l="0" t="0" r="1270" b="3810"/>
            <wp:docPr id="3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4.双阈值tracing contour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vertAlign w:val="baseline"/>
          <w:lang w:val="en-US" w:eastAsia="zh-CN"/>
        </w:rPr>
        <w:t>是Nonmax suppression之后的image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先apply 阈值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21000" cy="203200"/>
            <wp:effectExtent l="0" t="0" r="0" b="0"/>
            <wp:docPr id="3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14650" cy="241300"/>
            <wp:effectExtent l="0" t="0" r="6350" b="0"/>
            <wp:docPr id="3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再让二者有互斥性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24200" cy="222250"/>
            <wp:effectExtent l="0" t="0" r="0" b="6350"/>
            <wp:docPr id="3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30700" cy="971550"/>
            <wp:effectExtent l="0" t="0" r="0" b="6350"/>
            <wp:docPr id="3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4E0C28"/>
    <w:multiLevelType w:val="singleLevel"/>
    <w:tmpl w:val="504E0C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6D747C4"/>
    <w:multiLevelType w:val="multilevel"/>
    <w:tmpl w:val="56D747C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038B7"/>
    <w:rsid w:val="01605483"/>
    <w:rsid w:val="0231301C"/>
    <w:rsid w:val="02446B59"/>
    <w:rsid w:val="028A36BC"/>
    <w:rsid w:val="03294F39"/>
    <w:rsid w:val="071F3222"/>
    <w:rsid w:val="07D04198"/>
    <w:rsid w:val="080E3AA9"/>
    <w:rsid w:val="08F41517"/>
    <w:rsid w:val="09AC4588"/>
    <w:rsid w:val="09EE0413"/>
    <w:rsid w:val="0ABE5DD4"/>
    <w:rsid w:val="0B455D5B"/>
    <w:rsid w:val="0BBF5DDE"/>
    <w:rsid w:val="0C7B0D0F"/>
    <w:rsid w:val="0CD1195D"/>
    <w:rsid w:val="0D1D51EE"/>
    <w:rsid w:val="0DA34FB4"/>
    <w:rsid w:val="0ECB6FAF"/>
    <w:rsid w:val="0FCF6BAB"/>
    <w:rsid w:val="102173F5"/>
    <w:rsid w:val="11917EAB"/>
    <w:rsid w:val="14D7208E"/>
    <w:rsid w:val="166968E9"/>
    <w:rsid w:val="16940CEB"/>
    <w:rsid w:val="18E37DAB"/>
    <w:rsid w:val="18EB4CFC"/>
    <w:rsid w:val="190763AA"/>
    <w:rsid w:val="1A4F6652"/>
    <w:rsid w:val="1B38328C"/>
    <w:rsid w:val="1DB5367A"/>
    <w:rsid w:val="1E1F63EE"/>
    <w:rsid w:val="1EA87223"/>
    <w:rsid w:val="219915A2"/>
    <w:rsid w:val="224D4DA6"/>
    <w:rsid w:val="2284343D"/>
    <w:rsid w:val="237E0DCD"/>
    <w:rsid w:val="242624EC"/>
    <w:rsid w:val="2467678D"/>
    <w:rsid w:val="25FE6293"/>
    <w:rsid w:val="26A1377E"/>
    <w:rsid w:val="27123327"/>
    <w:rsid w:val="29D642FC"/>
    <w:rsid w:val="2AB70019"/>
    <w:rsid w:val="2F0E2C1D"/>
    <w:rsid w:val="307F01D7"/>
    <w:rsid w:val="326879D0"/>
    <w:rsid w:val="33061DBA"/>
    <w:rsid w:val="34650B25"/>
    <w:rsid w:val="35A07A26"/>
    <w:rsid w:val="35DC5582"/>
    <w:rsid w:val="35E34CAE"/>
    <w:rsid w:val="380644C6"/>
    <w:rsid w:val="38B20730"/>
    <w:rsid w:val="39690A4E"/>
    <w:rsid w:val="39BB3266"/>
    <w:rsid w:val="3AF741CB"/>
    <w:rsid w:val="3BAF64EE"/>
    <w:rsid w:val="3D3F5598"/>
    <w:rsid w:val="3D471BCB"/>
    <w:rsid w:val="3E6F1A78"/>
    <w:rsid w:val="3F345108"/>
    <w:rsid w:val="3F595D17"/>
    <w:rsid w:val="3FD92AC6"/>
    <w:rsid w:val="405C542F"/>
    <w:rsid w:val="418059AC"/>
    <w:rsid w:val="420304D4"/>
    <w:rsid w:val="42611189"/>
    <w:rsid w:val="44462B7A"/>
    <w:rsid w:val="44FC73DC"/>
    <w:rsid w:val="45B309CA"/>
    <w:rsid w:val="47040F5B"/>
    <w:rsid w:val="47FB7CFE"/>
    <w:rsid w:val="48C75C60"/>
    <w:rsid w:val="493C2B60"/>
    <w:rsid w:val="494A0725"/>
    <w:rsid w:val="4AC21523"/>
    <w:rsid w:val="4B59760B"/>
    <w:rsid w:val="4BA23638"/>
    <w:rsid w:val="4BFF6C14"/>
    <w:rsid w:val="4C5958C3"/>
    <w:rsid w:val="4C715388"/>
    <w:rsid w:val="4E766A7D"/>
    <w:rsid w:val="4EFB561D"/>
    <w:rsid w:val="509022D8"/>
    <w:rsid w:val="51051069"/>
    <w:rsid w:val="52326FBC"/>
    <w:rsid w:val="5272441B"/>
    <w:rsid w:val="5481770A"/>
    <w:rsid w:val="54AF59DC"/>
    <w:rsid w:val="54EC453F"/>
    <w:rsid w:val="55E47292"/>
    <w:rsid w:val="56ED0B54"/>
    <w:rsid w:val="57853F46"/>
    <w:rsid w:val="5A4E46F8"/>
    <w:rsid w:val="5C1B0A61"/>
    <w:rsid w:val="5C295CFD"/>
    <w:rsid w:val="5E880C42"/>
    <w:rsid w:val="61BA6A72"/>
    <w:rsid w:val="62704DF0"/>
    <w:rsid w:val="62E94C54"/>
    <w:rsid w:val="63FD775A"/>
    <w:rsid w:val="641D22B3"/>
    <w:rsid w:val="64A6540B"/>
    <w:rsid w:val="66612E25"/>
    <w:rsid w:val="67A366BF"/>
    <w:rsid w:val="68DE3368"/>
    <w:rsid w:val="6B9072DE"/>
    <w:rsid w:val="6D496BC6"/>
    <w:rsid w:val="6F6174BB"/>
    <w:rsid w:val="70E14A59"/>
    <w:rsid w:val="730275AD"/>
    <w:rsid w:val="7323644F"/>
    <w:rsid w:val="733800D7"/>
    <w:rsid w:val="73910691"/>
    <w:rsid w:val="73A80C8A"/>
    <w:rsid w:val="74BF0123"/>
    <w:rsid w:val="76067479"/>
    <w:rsid w:val="768E57B9"/>
    <w:rsid w:val="76B87632"/>
    <w:rsid w:val="778A020A"/>
    <w:rsid w:val="77BF126C"/>
    <w:rsid w:val="782E298C"/>
    <w:rsid w:val="794D0BDE"/>
    <w:rsid w:val="7A1D02A8"/>
    <w:rsid w:val="7D164D07"/>
    <w:rsid w:val="7DF514BF"/>
    <w:rsid w:val="7E895611"/>
    <w:rsid w:val="7F324255"/>
    <w:rsid w:val="7F7311A3"/>
    <w:rsid w:val="7FBE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微软雅黑" w:cstheme="minorBidi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4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table" w:styleId="8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wmf"/><Relationship Id="rId49" Type="http://schemas.openxmlformats.org/officeDocument/2006/relationships/customXml" Target="../customXml/item1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oleObject" Target="embeddings/oleObject1.bin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ouxiaogu</dc:creator>
  <cp:lastModifiedBy>ouxiaogu</cp:lastModifiedBy>
  <dcterms:modified xsi:type="dcterms:W3CDTF">2018-08-12T13:35:50Z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