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pPr>
    </w:p>
    <w:p>
      <w:pPr>
        <w:spacing w:before="0" w:after="160" w:line="276" w:lineRule="auto"/>
      </w:pPr>
    </w:p>
    <w:p>
      <w:pPr>
        <w:spacing w:before="0" w:after="160" w:line="276" w:lineRule="auto"/>
      </w:pPr>
    </w:p>
    <w:p>
      <w:pPr>
        <w:spacing w:before="0" w:after="240" w:line="240" w:lineRule="auto"/>
        <w:jc w:val="center"/>
      </w:pPr>
      <w:r>
        <w:rPr>
          <w:rFonts w:ascii="Microsoft YaHei" w:hAnsi="Microsoft YaHei" w:eastAsia="Microsoft YaHei"/>
          <w:b/>
          <w:color w:val="17365D"/>
          <w:sz w:val="52"/>
        </w:rPr>
        <w:t>数据开发与建模管理平台</w:t>
      </w:r>
    </w:p>
    <w:p>
      <w:pPr>
        <w:spacing w:before="0" w:after="200" w:line="240" w:lineRule="auto"/>
        <w:jc w:val="center"/>
      </w:pPr>
      <w:r>
        <w:rPr>
          <w:rFonts w:ascii="Microsoft YaHei" w:hAnsi="Microsoft YaHei" w:eastAsia="Microsoft YaHei"/>
          <w:b/>
          <w:color w:val="2F75B5"/>
          <w:sz w:val="42"/>
        </w:rPr>
        <w:t>数据建模中心需求与技术设计说明书</w:t>
      </w:r>
    </w:p>
    <w:p>
      <w:pPr>
        <w:spacing w:before="40" w:after="600" w:line="240" w:lineRule="auto"/>
        <w:jc w:val="center"/>
      </w:pPr>
      <w:r>
        <w:rPr>
          <w:rFonts w:ascii="Microsoft YaHei" w:hAnsi="Microsoft YaHei" w:eastAsia="Microsoft YaHei"/>
          <w:i/>
          <w:color w:val="595959"/>
          <w:sz w:val="20"/>
        </w:rPr>
        <w:t>Requirements &amp; Technical Design Specification</w:t>
      </w:r>
      <w:r>
        <w:rPr>
          <w:rFonts w:ascii="Aptos" w:hAnsi="Aptos"/>
          <w:color w:val="5A6E88"/>
          <w:sz w:val="22"/>
        </w:rPr>
        <w:br/>
        <w:t>V0.6 · Business Traceability &amp; Model Relationship Management</w:t>
      </w:r>
    </w:p>
    <w:tbl>
      <w:tblPr>
        <w:tblW w:type="auto" w:w="0"/>
        <w:tblLook w:firstColumn="1" w:firstRow="1" w:lastColumn="0" w:lastRow="0" w:noHBand="0" w:noVBand="1" w:val="04A0"/>
      </w:tblPr>
      <w:tblGrid>
        <w:gridCol w:w="9994"/>
      </w:tblGrid>
      <w:tr>
        <w:trPr>
          <w:cantSplit/>
        </w:trPr>
        <w:tc>
          <w:tcPr>
            <w:tcW w:type="dxa" w:w="9994"/>
            <w:shd w:fill="2F75B5"/>
          </w:tcPr>
          <w:p>
            <w:r/>
          </w:p>
        </w:tc>
      </w:tr>
    </w:tbl>
    <w:p>
      <w:pPr>
        <w:spacing w:before="0" w:after="140" w:line="276" w:lineRule="auto"/>
      </w:pPr>
    </w:p>
    <w:p>
      <w:pPr>
        <w:spacing w:before="0" w:after="140" w:line="276" w:lineRule="auto"/>
      </w:pPr>
    </w:p>
    <w:p>
      <w:pPr>
        <w:spacing w:before="0" w:after="140" w:line="276" w:lineRule="auto"/>
      </w:pP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8"/>
              </w:rPr>
              <w:t>项目</w:t>
            </w:r>
          </w:p>
        </w:tc>
        <w:tc>
          <w:tcPr>
            <w:tcW w:type="dxa" w:w="705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8"/>
              </w:rPr>
              <w:t>内容</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8"/>
              </w:rPr>
              <w:t>文档版本</w:t>
            </w:r>
          </w:p>
        </w:tc>
        <w:tc>
          <w:tcPr>
            <w:tcW w:type="dxa" w:w="7056"/>
            <w:tcMar>
              <w:top w:w="80" w:type="dxa"/>
              <w:start w:w="100" w:type="dxa"/>
              <w:bottom w:w="80" w:type="dxa"/>
              <w:end w:w="100" w:type="dxa"/>
            </w:tcMar>
            <w:vAlign w:val="center"/>
          </w:tcPr>
          <w:p>
            <w:r>
              <w:t>V0.6（业务追溯与模型关系增强版）</w:t>
            </w:r>
          </w:p>
        </w:tc>
      </w:tr>
      <w:tr>
        <w:trPr>
          <w:cantSplit/>
        </w:trPr>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8"/>
              </w:rPr>
              <w:t>产品定位</w:t>
            </w:r>
          </w:p>
        </w:tc>
        <w:tc>
          <w:tcPr>
            <w:tcW w:type="dxa" w:w="70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8"/>
              </w:rPr>
              <w:t>通用型数据开发管理平台</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8"/>
              </w:rPr>
              <w:t>建设策略</w:t>
            </w:r>
          </w:p>
        </w:tc>
        <w:tc>
          <w:tcPr>
            <w:tcW w:type="dxa" w:w="70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8"/>
              </w:rPr>
              <w:t>轻量可运行 MVP，按模块演进</w:t>
            </w:r>
          </w:p>
        </w:tc>
      </w:tr>
      <w:tr>
        <w:trPr>
          <w:cantSplit/>
        </w:trPr>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8"/>
              </w:rPr>
              <w:t>目标读者</w:t>
            </w:r>
          </w:p>
        </w:tc>
        <w:tc>
          <w:tcPr>
            <w:tcW w:type="dxa" w:w="70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8"/>
              </w:rPr>
              <w:t>产品经理、数仓架构师、前后端研发、测试、数据治理人员</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8"/>
              </w:rPr>
              <w:t>编制日期</w:t>
            </w:r>
          </w:p>
        </w:tc>
        <w:tc>
          <w:tcPr>
            <w:tcW w:type="dxa" w:w="7056"/>
            <w:tcMar>
              <w:top w:w="80" w:type="dxa"/>
              <w:start w:w="100" w:type="dxa"/>
              <w:bottom w:w="80" w:type="dxa"/>
              <w:end w:w="100" w:type="dxa"/>
            </w:tcMar>
            <w:vAlign w:val="center"/>
          </w:tcPr>
          <w:p>
            <w:r>
              <w:rPr>
                <w:sz w:val="20"/>
              </w:rPr>
              <w:t>2026-10-21</w:t>
            </w:r>
          </w:p>
        </w:tc>
      </w:tr>
      <w:tr>
        <w:trPr>
          <w:cantSplit/>
        </w:trPr>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8"/>
              </w:rPr>
              <w:t>文档状态</w:t>
            </w:r>
          </w:p>
        </w:tc>
        <w:tc>
          <w:tcPr>
            <w:tcW w:type="dxa" w:w="7056"/>
            <w:tcMar>
              <w:top w:w="80" w:type="dxa"/>
              <w:start w:w="100" w:type="dxa"/>
              <w:bottom w:w="80" w:type="dxa"/>
              <w:end w:w="100" w:type="dxa"/>
            </w:tcMar>
            <w:vAlign w:val="center"/>
            <w:shd w:fill="F4F7FA"/>
          </w:tcPr>
          <w:p>
            <w:r>
              <w:t>需求、技术设计与 MVP 实现基线；仍需评审和真实目标环境联调</w:t>
            </w:r>
          </w:p>
        </w:tc>
      </w:tr>
    </w:tbl>
    <w:p>
      <w:pPr>
        <w:spacing w:before="0" w:after="20" w:line="276" w:lineRule="auto"/>
      </w:pPr>
    </w:p>
    <w:p>
      <w:pPr>
        <w:spacing w:before="400" w:after="80" w:line="276" w:lineRule="auto"/>
        <w:jc w:val="center"/>
      </w:pPr>
      <w:r>
        <w:t>版本说明：本文以 V0.5 工程化增强版为基础，V0.6 新增业务需求管理、主题域管理、需求与模型多对多追溯、模型间关系及字段映射、已发布模型变更草稿、正式版本差异比较、字段批量粘贴交互和对应的 Alembic 增量迁移。本版本继续是开发/测试参考实现，不代表生产就绪。</w:t>
      </w:r>
    </w:p>
    <w:p>
      <w:r>
        <w:br w:type="page"/>
      </w:r>
    </w:p>
    <w:p>
      <w:pPr>
        <w:pStyle w:val="Heading1"/>
        <w:keepNext/>
        <w:spacing w:before="240" w:after="100" w:line="252" w:lineRule="auto"/>
      </w:pPr>
      <w:r>
        <w:rPr>
          <w:rFonts w:ascii="Microsoft YaHei" w:hAnsi="Microsoft YaHei" w:eastAsia="Microsoft YaHei"/>
          <w:b/>
          <w:color w:val="17365D"/>
          <w:sz w:val="32"/>
        </w:rPr>
        <w:t>文档控制与阅读说明</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7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7"/>
              </w:rPr>
              <w:t>项</w:t>
            </w:r>
          </w:p>
        </w:tc>
        <w:tc>
          <w:tcPr>
            <w:tcW w:type="dxa" w:w="74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7"/>
              </w:rPr>
              <w:t>说明</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7"/>
              </w:rPr>
              <w:t>文档目的</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7"/>
              </w:rPr>
              <w:t>定义数据建模中心的业务目标、功能范围、关键建模规则、核心数据结构、接口约定、技术实现和验收基线。</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7"/>
              </w:rPr>
              <w:t>适用范围</w:t>
            </w:r>
          </w:p>
        </w:tc>
        <w:tc>
          <w:tcPr>
            <w:tcW w:type="dxa" w:w="74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7"/>
              </w:rPr>
              <w:t>用于产品需求评审、研发估算、技术设计、测试用例设计及 MVP 验收。</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7"/>
              </w:rPr>
              <w:t>版本策略</w:t>
            </w:r>
          </w:p>
        </w:tc>
        <w:tc>
          <w:tcPr>
            <w:tcW w:type="dxa" w:w="7488"/>
            <w:tcMar>
              <w:top w:w="80" w:type="dxa"/>
              <w:start w:w="100" w:type="dxa"/>
              <w:bottom w:w="80" w:type="dxa"/>
              <w:end w:w="100" w:type="dxa"/>
            </w:tcMar>
            <w:vAlign w:val="center"/>
          </w:tcPr>
          <w:p>
            <w:r>
              <w:t>V0.1 产品与技术初稿；V0.2 核心元数据与 API 契约；V0.3 交互与可观测性；V0.4 可运行原型；V0.5 工程化与迁移；V0.6 业务需求、主题域、模型关系、版本差异和变更工作流。</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7"/>
              </w:rPr>
              <w:t>术语约定</w:t>
            </w:r>
          </w:p>
        </w:tc>
        <w:tc>
          <w:tcPr>
            <w:tcW w:type="dxa" w:w="74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7"/>
              </w:rPr>
              <w:t>“模型”默认指逻辑/物理数据模型；“发布”指平台内形成正式版本并交付，不表示自动修改生产数据库。</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7"/>
              </w:rPr>
              <w:t>范围声明</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7"/>
              </w:rPr>
              <w:t>当前版本不承诺直接执行目标数据库 DDL，不包含完整 ETL 运行、调度、质量监控或自动血缘采集。</w:t>
            </w:r>
          </w:p>
        </w:tc>
      </w:tr>
    </w:tbl>
    <w:p>
      <w:pPr>
        <w:spacing w:before="0" w:after="20" w:line="276" w:lineRule="auto"/>
      </w:pPr>
    </w:p>
    <w:p>
      <w:pPr/>
      <w:r>
        <w:t>版本增量：V0.4 建立可运行原型；V0.5 引入 Alembic 迁移、配置集中管理、ready 探针与结构化日志；V0.6 增加业务需求与主题域实体、模型关联关系、正式版本比较和变更草稿工作流。本文区分已实现、已测试和待生产化能力。</w:t>
      </w:r>
    </w:p>
    <w:p>
      <w:pPr>
        <w:pStyle w:val="Heading1"/>
        <w:keepNext/>
        <w:spacing w:before="240" w:after="100" w:line="252" w:lineRule="auto"/>
      </w:pPr>
      <w:r>
        <w:rPr>
          <w:rFonts w:ascii="Microsoft YaHei" w:hAnsi="Microsoft YaHei" w:eastAsia="Microsoft YaHei"/>
          <w:b/>
          <w:color w:val="17365D"/>
          <w:sz w:val="32"/>
        </w:rPr>
        <w:t>目录</w:t>
      </w:r>
    </w:p>
    <w:p>
      <w:pPr>
        <w:pStyle w:val="ListBullet"/>
        <w:spacing w:before="0" w:after="40" w:line="259" w:lineRule="auto"/>
      </w:pPr>
      <w:r>
        <w:rPr>
          <w:rFonts w:ascii="Microsoft YaHei" w:hAnsi="Microsoft YaHei" w:eastAsia="Microsoft YaHei"/>
          <w:sz w:val="19"/>
        </w:rPr>
        <w:t>1. 项目背景、目标与范围</w:t>
      </w:r>
    </w:p>
    <w:p>
      <w:pPr>
        <w:pStyle w:val="ListBullet"/>
        <w:spacing w:before="0" w:after="40" w:line="259" w:lineRule="auto"/>
      </w:pPr>
      <w:r>
        <w:rPr>
          <w:rFonts w:ascii="Microsoft YaHei" w:hAnsi="Microsoft YaHei" w:eastAsia="Microsoft YaHei"/>
          <w:sz w:val="19"/>
        </w:rPr>
        <w:t>2. 用户角色与权限模型</w:t>
      </w:r>
    </w:p>
    <w:p>
      <w:pPr>
        <w:pStyle w:val="ListBullet"/>
        <w:spacing w:before="0" w:after="40" w:line="259" w:lineRule="auto"/>
      </w:pPr>
      <w:r>
        <w:rPr>
          <w:rFonts w:ascii="Microsoft YaHei" w:hAnsi="Microsoft YaHei" w:eastAsia="Microsoft YaHei"/>
          <w:sz w:val="19"/>
        </w:rPr>
        <w:t>3. 产品总体架构与技术选型</w:t>
      </w:r>
    </w:p>
    <w:p>
      <w:pPr>
        <w:pStyle w:val="ListBullet"/>
        <w:spacing w:before="0" w:after="40" w:line="259" w:lineRule="auto"/>
      </w:pPr>
      <w:r>
        <w:rPr>
          <w:rFonts w:ascii="Microsoft YaHei" w:hAnsi="Microsoft YaHei" w:eastAsia="Microsoft YaHei"/>
          <w:sz w:val="19"/>
        </w:rPr>
        <w:t>4. 核心业务流程与状态机</w:t>
      </w:r>
    </w:p>
    <w:p>
      <w:pPr>
        <w:pStyle w:val="ListBullet"/>
        <w:spacing w:before="0" w:after="40" w:line="259" w:lineRule="auto"/>
      </w:pPr>
      <w:r>
        <w:rPr>
          <w:rFonts w:ascii="Microsoft YaHei" w:hAnsi="Microsoft YaHei" w:eastAsia="Microsoft YaHei"/>
          <w:sz w:val="19"/>
        </w:rPr>
        <w:t>5. 功能需求规格</w:t>
      </w:r>
    </w:p>
    <w:p>
      <w:pPr>
        <w:pStyle w:val="ListBullet"/>
        <w:spacing w:before="0" w:after="40" w:line="259" w:lineRule="auto"/>
      </w:pPr>
      <w:r>
        <w:rPr>
          <w:rFonts w:ascii="Microsoft YaHei" w:hAnsi="Microsoft YaHei" w:eastAsia="Microsoft YaHei"/>
          <w:sz w:val="19"/>
        </w:rPr>
        <w:t>6. 建模方法与关键业务规则</w:t>
      </w:r>
    </w:p>
    <w:p>
      <w:pPr>
        <w:pStyle w:val="ListBullet"/>
        <w:spacing w:before="0" w:after="40" w:line="259" w:lineRule="auto"/>
      </w:pPr>
      <w:r>
        <w:rPr>
          <w:rFonts w:ascii="Microsoft YaHei" w:hAnsi="Microsoft YaHei" w:eastAsia="Microsoft YaHei"/>
          <w:sz w:val="19"/>
        </w:rPr>
        <w:t>7. 核心领域对象与元数据模型</w:t>
      </w:r>
    </w:p>
    <w:p>
      <w:pPr>
        <w:pStyle w:val="ListBullet"/>
        <w:spacing w:before="0" w:after="40" w:line="259" w:lineRule="auto"/>
      </w:pPr>
      <w:r>
        <w:rPr>
          <w:rFonts w:ascii="Microsoft YaHei" w:hAnsi="Microsoft YaHei" w:eastAsia="Microsoft YaHei"/>
          <w:sz w:val="19"/>
        </w:rPr>
        <w:t>8. 数据库表设计建议</w:t>
      </w:r>
    </w:p>
    <w:p>
      <w:pPr>
        <w:pStyle w:val="ListBullet"/>
        <w:spacing w:before="0" w:after="40" w:line="259" w:lineRule="auto"/>
      </w:pPr>
      <w:r>
        <w:rPr>
          <w:rFonts w:ascii="Microsoft YaHei" w:hAnsi="Microsoft YaHei" w:eastAsia="Microsoft YaHei"/>
          <w:sz w:val="19"/>
        </w:rPr>
        <w:t>9. API 接口设计约定</w:t>
      </w:r>
    </w:p>
    <w:p>
      <w:pPr>
        <w:pStyle w:val="ListBullet"/>
        <w:spacing w:before="0" w:after="40" w:line="259" w:lineRule="auto"/>
      </w:pPr>
      <w:r>
        <w:rPr>
          <w:rFonts w:ascii="Microsoft YaHei" w:hAnsi="Microsoft YaHei" w:eastAsia="Microsoft YaHei"/>
          <w:sz w:val="19"/>
        </w:rPr>
        <w:t>10. 多引擎适配与 DDL 生成</w:t>
      </w:r>
    </w:p>
    <w:p>
      <w:pPr>
        <w:pStyle w:val="ListBullet"/>
        <w:spacing w:before="0" w:after="40" w:line="259" w:lineRule="auto"/>
      </w:pPr>
      <w:r>
        <w:rPr>
          <w:rFonts w:ascii="Microsoft YaHei" w:hAnsi="Microsoft YaHei" w:eastAsia="Microsoft YaHei"/>
          <w:sz w:val="19"/>
        </w:rPr>
        <w:t>11. 安全、审计与非功能需求</w:t>
      </w:r>
    </w:p>
    <w:p>
      <w:pPr>
        <w:pStyle w:val="ListBullet"/>
        <w:spacing w:before="0" w:after="40" w:line="259" w:lineRule="auto"/>
      </w:pPr>
      <w:r>
        <w:rPr>
          <w:rFonts w:ascii="Microsoft YaHei" w:hAnsi="Microsoft YaHei" w:eastAsia="Microsoft YaHei"/>
          <w:sz w:val="19"/>
        </w:rPr>
        <w:t>12. 测试策略与验收标准</w:t>
      </w:r>
    </w:p>
    <w:p>
      <w:pPr>
        <w:pStyle w:val="ListBullet"/>
        <w:spacing w:before="0" w:after="40" w:line="259" w:lineRule="auto"/>
      </w:pPr>
      <w:r>
        <w:rPr>
          <w:rFonts w:ascii="Microsoft YaHei" w:hAnsi="Microsoft YaHei" w:eastAsia="Microsoft YaHei"/>
          <w:sz w:val="19"/>
        </w:rPr>
        <w:t>13. MVP 实施计划与交付物</w:t>
      </w:r>
    </w:p>
    <w:p>
      <w:pPr>
        <w:pStyle w:val="ListBullet"/>
        <w:spacing w:before="0" w:after="40" w:line="259" w:lineRule="auto"/>
      </w:pPr>
      <w:r>
        <w:rPr>
          <w:rFonts w:ascii="Microsoft YaHei" w:hAnsi="Microsoft YaHei" w:eastAsia="Microsoft YaHei"/>
          <w:sz w:val="19"/>
        </w:rPr>
        <w:t>14. 风险、待决事项与后续路线图</w:t>
      </w:r>
    </w:p>
    <w:p>
      <w:pPr>
        <w:pStyle w:val="ListBullet"/>
        <w:spacing w:before="0" w:after="40" w:line="259" w:lineRule="auto"/>
      </w:pPr>
      <w:r>
        <w:rPr>
          <w:rFonts w:ascii="Microsoft YaHei" w:hAnsi="Microsoft YaHei" w:eastAsia="Microsoft YaHei"/>
          <w:sz w:val="19"/>
        </w:rPr>
        <w:t>附录 A. 示例模型与 DDL</w:t>
      </w:r>
    </w:p>
    <w:p>
      <w:pPr>
        <w:pStyle w:val="ListBullet"/>
        <w:spacing w:before="0" w:after="40" w:line="259" w:lineRule="auto"/>
      </w:pPr>
      <w:r>
        <w:rPr>
          <w:rFonts w:ascii="Microsoft YaHei" w:hAnsi="Microsoft YaHei" w:eastAsia="Microsoft YaHei"/>
          <w:sz w:val="19"/>
        </w:rPr>
        <w:t>附录 B. 参考技术资料</w:t>
      </w:r>
    </w:p>
    <w:p>
      <w:pPr>
        <w:pStyle w:val="ListBullet"/>
        <w:spacing w:before="0" w:after="20" w:line="240" w:lineRule="auto"/>
      </w:pPr>
      <w:r>
        <w:rPr>
          <w:rFonts w:ascii="Microsoft YaHei" w:hAnsi="Microsoft YaHei" w:eastAsia="Microsoft YaHei"/>
          <w:sz w:val="18"/>
        </w:rPr>
        <w:t>15. V0.2 增量补充与核心元数据 ERD</w:t>
      </w:r>
    </w:p>
    <w:p>
      <w:pPr>
        <w:pStyle w:val="ListBullet"/>
        <w:spacing w:before="0" w:after="20" w:line="240" w:lineRule="auto"/>
      </w:pPr>
      <w:r>
        <w:rPr>
          <w:rFonts w:ascii="Microsoft YaHei" w:hAnsi="Microsoft YaHei" w:eastAsia="Microsoft YaHei"/>
          <w:sz w:val="18"/>
        </w:rPr>
        <w:t>16. PostgreSQL 物理表结构与约束</w:t>
      </w:r>
    </w:p>
    <w:p>
      <w:pPr>
        <w:pStyle w:val="ListBullet"/>
        <w:spacing w:before="0" w:after="20" w:line="240" w:lineRule="auto"/>
      </w:pPr>
      <w:r>
        <w:rPr>
          <w:rFonts w:ascii="Microsoft YaHei" w:hAnsi="Microsoft YaHei" w:eastAsia="Microsoft YaHei"/>
          <w:sz w:val="18"/>
        </w:rPr>
        <w:t>17. 版本快照、并发与状态迁移事务</w:t>
      </w:r>
    </w:p>
    <w:p>
      <w:pPr>
        <w:pStyle w:val="ListBullet"/>
        <w:spacing w:before="0" w:after="20" w:line="240" w:lineRule="auto"/>
      </w:pPr>
      <w:r>
        <w:rPr>
          <w:rFonts w:ascii="Microsoft YaHei" w:hAnsi="Microsoft YaHei" w:eastAsia="Microsoft YaHei"/>
          <w:sz w:val="18"/>
        </w:rPr>
        <w:t>18. API 详细契约与错误处理</w:t>
      </w:r>
    </w:p>
    <w:p>
      <w:pPr>
        <w:pStyle w:val="ListBullet"/>
        <w:spacing w:before="0" w:after="20" w:line="240" w:lineRule="auto"/>
      </w:pPr>
      <w:r>
        <w:rPr>
          <w:rFonts w:ascii="Microsoft YaHei" w:hAnsi="Microsoft YaHei" w:eastAsia="Microsoft YaHei"/>
          <w:sz w:val="18"/>
        </w:rPr>
        <w:t>19. 多引擎适配器实施规格</w:t>
      </w:r>
    </w:p>
    <w:p>
      <w:pPr>
        <w:pStyle w:val="ListBullet"/>
        <w:spacing w:before="0" w:after="20" w:line="240" w:lineRule="auto"/>
      </w:pPr>
      <w:r>
        <w:rPr>
          <w:rFonts w:ascii="Microsoft YaHei" w:hAnsi="Microsoft YaHei" w:eastAsia="Microsoft YaHei"/>
          <w:sz w:val="18"/>
        </w:rPr>
        <w:t>20. 安全、权限与审计细则</w:t>
      </w:r>
    </w:p>
    <w:p>
      <w:pPr>
        <w:pStyle w:val="ListBullet"/>
        <w:spacing w:before="0" w:after="20" w:line="240" w:lineRule="auto"/>
      </w:pPr>
      <w:r>
        <w:rPr>
          <w:rFonts w:ascii="Microsoft YaHei" w:hAnsi="Microsoft YaHei" w:eastAsia="Microsoft YaHei"/>
          <w:sz w:val="18"/>
        </w:rPr>
        <w:t>21. 研发任务拆分与 Definition of Done</w:t>
      </w:r>
    </w:p>
    <w:p>
      <w:pPr>
        <w:pStyle w:val="ListBullet"/>
        <w:spacing w:before="0" w:after="20" w:line="240" w:lineRule="auto"/>
      </w:pPr>
      <w:r>
        <w:rPr>
          <w:rFonts w:ascii="Microsoft YaHei" w:hAnsi="Microsoft YaHei" w:eastAsia="Microsoft YaHei"/>
          <w:sz w:val="18"/>
        </w:rPr>
        <w:t>22. V0.2 待决事项与下一轮设计入口</w:t>
      </w:r>
    </w:p>
    <w:p>
      <w:pPr>
        <w:pStyle w:val="ListBullet"/>
        <w:spacing w:before="0" w:after="20" w:line="240" w:lineRule="auto"/>
      </w:pPr>
      <w:r>
        <w:rPr>
          <w:rFonts w:ascii="Microsoft YaHei" w:hAnsi="Microsoft YaHei" w:eastAsia="Microsoft YaHei"/>
          <w:sz w:val="18"/>
        </w:rPr>
        <w:t>附录 C. 数据库初始化脚本说明</w:t>
      </w:r>
    </w:p>
    <w:p>
      <w:pPr>
        <w:pStyle w:val="ListBullet"/>
        <w:spacing w:before="0" w:after="20" w:line="240" w:lineRule="auto"/>
      </w:pPr>
      <w:r>
        <w:rPr>
          <w:rFonts w:ascii="Microsoft YaHei" w:hAnsi="Microsoft YaHei" w:eastAsia="Microsoft YaHei"/>
          <w:sz w:val="18"/>
        </w:rPr>
        <w:t>附录 D. 核心业务链路验收脚本</w:t>
      </w:r>
    </w:p>
    <w:p>
      <w:pPr>
        <w:pStyle w:val="ListBullet"/>
      </w:pPr>
      <w:r>
        <w:t>23. 交互体验原则与信息架构</w:t>
      </w:r>
    </w:p>
    <w:p>
      <w:pPr>
        <w:pStyle w:val="ListBullet"/>
      </w:pPr>
      <w:r>
        <w:t>24. 核心页面交互规格</w:t>
      </w:r>
    </w:p>
    <w:p>
      <w:pPr>
        <w:pStyle w:val="ListBullet"/>
      </w:pPr>
      <w:r>
        <w:t>25. 交互状态、错误恢复与快捷操作</w:t>
      </w:r>
    </w:p>
    <w:p>
      <w:pPr>
        <w:pStyle w:val="ListBullet"/>
      </w:pPr>
      <w:r>
        <w:t>26. 可观测性总体设计</w:t>
      </w:r>
    </w:p>
    <w:p>
      <w:pPr>
        <w:pStyle w:val="ListBullet"/>
      </w:pPr>
      <w:r>
        <w:t>27. 指标体系、看板与告警规则</w:t>
      </w:r>
    </w:p>
    <w:p>
      <w:pPr>
        <w:pStyle w:val="ListBullet"/>
      </w:pPr>
      <w:r>
        <w:t>28. 交互效率与可观测性验收标准</w:t>
      </w:r>
    </w:p>
    <w:p>
      <w:pPr>
        <w:pStyle w:val="ListBullet"/>
      </w:pPr>
      <w:r>
        <w:t>附录 E. 交互事件字典与指标口径</w:t>
      </w:r>
    </w:p>
    <w:p>
      <w:pPr>
        <w:pStyle w:val="ListBullet"/>
      </w:pPr>
      <w:r>
        <w:t>附录 F. V0.3 增量数据库脚本说明</w:t>
      </w:r>
    </w:p>
    <w:p>
      <w:pPr>
        <w:pStyle w:val="ListBullet"/>
      </w:pPr>
      <w:r>
        <w:t>附录 J. 发布前检查清单</w:t>
      </w:r>
    </w:p>
    <w:p>
      <w:pPr>
        <w:pStyle w:val="ListBullet"/>
      </w:pPr>
      <w:r>
        <w:t>附录 I. 参考资料与版本策略</w:t>
      </w:r>
    </w:p>
    <w:p>
      <w:pPr>
        <w:pStyle w:val="ListBullet"/>
      </w:pPr>
      <w:r>
        <w:t>附录 H. 核心 API 调用示例</w:t>
      </w:r>
    </w:p>
    <w:p>
      <w:pPr>
        <w:pStyle w:val="ListBullet"/>
      </w:pPr>
      <w:r>
        <w:t>附录 G. V0.4 源代码包目录</w:t>
      </w:r>
    </w:p>
    <w:p>
      <w:pPr>
        <w:pStyle w:val="ListBullet"/>
      </w:pPr>
      <w:r>
        <w:t>39. 生产化路线图与待决事项</w:t>
      </w:r>
      <w:r>
        <w:t>；V0.5 工程化补充见文末第 40–50 章</w:t>
      </w:r>
      <w:r>
        <w:t>；V0.6 业务追溯与模型关系增强见文末第 51–61 章</w:t>
      </w:r>
    </w:p>
    <w:p>
      <w:pPr>
        <w:pStyle w:val="ListBullet"/>
      </w:pPr>
      <w:r>
        <w:t>38. 自动化测试、验收门禁与实测结果</w:t>
      </w:r>
    </w:p>
    <w:p>
      <w:pPr>
        <w:pStyle w:val="ListBullet"/>
      </w:pPr>
      <w:r>
        <w:t>37. 启动部署、环境配置与运维手册</w:t>
      </w:r>
    </w:p>
    <w:p>
      <w:pPr>
        <w:pStyle w:val="ListBullet"/>
      </w:pPr>
      <w:r>
        <w:t>36. 可观测性实现与生产化演进</w:t>
      </w:r>
    </w:p>
    <w:p>
      <w:pPr>
        <w:pStyle w:val="ListBullet"/>
      </w:pPr>
      <w:r>
        <w:t>35. 交互落地细节与防数据丢失策略</w:t>
      </w:r>
    </w:p>
    <w:p>
      <w:pPr>
        <w:pStyle w:val="ListBullet"/>
      </w:pPr>
      <w:r>
        <w:t>34. 多引擎 DDL 预览实现规格</w:t>
      </w:r>
    </w:p>
    <w:p>
      <w:pPr>
        <w:pStyle w:val="ListBullet"/>
      </w:pPr>
      <w:r>
        <w:t>33. 持久化事务、版本快照与迁移策略</w:t>
      </w:r>
    </w:p>
    <w:p>
      <w:pPr>
        <w:pStyle w:val="ListBullet"/>
      </w:pPr>
      <w:r>
        <w:t>32. API 契约、并发与错误语义</w:t>
      </w:r>
    </w:p>
    <w:p>
      <w:pPr>
        <w:pStyle w:val="ListBullet"/>
      </w:pPr>
      <w:r>
        <w:t>31. 端到端业务用例与状态迁移规则</w:t>
      </w:r>
    </w:p>
    <w:p>
      <w:pPr>
        <w:pStyle w:val="ListBullet"/>
      </w:pPr>
      <w:r>
        <w:t>30. 参考实现架构与分层职责</w:t>
      </w:r>
    </w:p>
    <w:p>
      <w:pPr>
        <w:pStyle w:val="ListBullet"/>
      </w:pPr>
      <w:r>
        <w:t>29. V0.4 目标、范围与交付边界</w:t>
      </w:r>
    </w:p>
    <w:p>
      <w:pPr>
        <w:pStyle w:val="Heading1"/>
        <w:keepNext/>
        <w:spacing w:before="240" w:after="100" w:line="252" w:lineRule="auto"/>
      </w:pPr>
      <w:r>
        <w:rPr>
          <w:rFonts w:ascii="Microsoft YaHei" w:hAnsi="Microsoft YaHei" w:eastAsia="Microsoft YaHei"/>
          <w:b/>
          <w:color w:val="17365D"/>
          <w:sz w:val="32"/>
        </w:rPr>
        <w:t>1. 项目背景、目标与范围</w:t>
      </w:r>
    </w:p>
    <w:p>
      <w:pPr>
        <w:pStyle w:val="Heading2"/>
        <w:keepNext/>
        <w:spacing w:before="160" w:after="100" w:line="252" w:lineRule="auto"/>
      </w:pPr>
      <w:r>
        <w:rPr>
          <w:rFonts w:ascii="Microsoft YaHei" w:hAnsi="Microsoft YaHei" w:eastAsia="Microsoft YaHei"/>
          <w:b/>
          <w:color w:val="2F75B5"/>
          <w:sz w:val="26"/>
        </w:rPr>
        <w:t>1.1 背景与问题定义</w:t>
      </w:r>
    </w:p>
    <w:p>
      <w:pPr>
        <w:spacing w:before="0" w:after="80" w:line="276" w:lineRule="auto"/>
      </w:pPr>
      <w:r>
        <w:rPr>
          <w:rFonts w:ascii="Microsoft YaHei" w:hAnsi="Microsoft YaHei" w:eastAsia="Microsoft YaHei"/>
          <w:b w:val="0"/>
          <w:i w:val="0"/>
          <w:sz w:val="20"/>
        </w:rPr>
        <w:t>企业数仓开发通常涉及业务调研、模型设计、规范校验、技术评审、DDL 交付和模型变更等多个环节。若信息分散在 Excel、文档、邮件、SQL 文件或个人经验中，容易出现模型口径不一致、字段重复、命名混乱、评审无法追溯、下游开发拿到的版本不明确，以及不同数据库引擎之间重复维护结构定义等问题。</w:t>
      </w:r>
    </w:p>
    <w:p>
      <w:pPr>
        <w:spacing w:before="0" w:after="80" w:line="276" w:lineRule="auto"/>
      </w:pPr>
      <w:r>
        <w:rPr>
          <w:rFonts w:ascii="Microsoft YaHei" w:hAnsi="Microsoft YaHei" w:eastAsia="Microsoft YaHei"/>
          <w:b w:val="0"/>
          <w:i w:val="0"/>
          <w:sz w:val="20"/>
        </w:rPr>
        <w:t>本平台第一阶段建设“数据建模中心”，优先把模型的设计与治理过程纳入一个统一工作台；后续以稳定的元数据模型和版本机制为基础，再连接 ETL、数据质量、血缘、元数据采集和数据资产目录。</w:t>
      </w:r>
    </w:p>
    <w:p>
      <w:pPr>
        <w:pStyle w:val="Heading2"/>
        <w:keepNext/>
        <w:spacing w:before="160" w:after="100" w:line="252" w:lineRule="auto"/>
      </w:pPr>
      <w:r>
        <w:rPr>
          <w:rFonts w:ascii="Microsoft YaHei" w:hAnsi="Microsoft YaHei" w:eastAsia="Microsoft YaHei"/>
          <w:b/>
          <w:color w:val="2F75B5"/>
          <w:sz w:val="26"/>
        </w:rPr>
        <w:t>1.2 产品定位</w:t>
      </w:r>
    </w:p>
    <w:tbl>
      <w:tblPr>
        <w:tblStyle w:val="TableGrid"/>
        <w:tblW w:type="auto" w:w="0"/>
        <w:tblLook w:firstColumn="1" w:firstRow="1" w:lastColumn="0" w:lastRow="0" w:noHBand="0" w:noVBand="1" w:val="04A0"/>
      </w:tblPr>
      <w:tblGrid>
        <w:gridCol w:w="9994"/>
      </w:tblGrid>
      <w:tr>
        <w:trPr>
          <w:cantSplit/>
        </w:trPr>
        <w:tc>
          <w:tcPr>
            <w:tcW w:type="dxa" w:w="9994"/>
            <w:shd w:fill="EEF4F8"/>
            <w:tcMar>
              <w:top w:w="130" w:type="dxa"/>
              <w:start w:w="160" w:type="dxa"/>
              <w:bottom w:w="130" w:type="dxa"/>
              <w:end w:w="160" w:type="dxa"/>
            </w:tcMar>
          </w:tcPr>
          <w:p>
            <w:pPr>
              <w:spacing w:before="0" w:after="60" w:line="264" w:lineRule="auto"/>
            </w:pPr>
            <w:r/>
            <w:r>
              <w:rPr>
                <w:rFonts w:ascii="Microsoft YaHei" w:hAnsi="Microsoft YaHei" w:eastAsia="Microsoft YaHei"/>
                <w:b/>
                <w:color w:val="17365D"/>
                <w:sz w:val="20"/>
              </w:rPr>
              <w:t>产品定位</w:t>
            </w:r>
          </w:p>
          <w:p>
            <w:pPr>
              <w:spacing w:before="0" w:after="0" w:line="269" w:lineRule="auto"/>
            </w:pPr>
            <w:r>
              <w:rPr>
                <w:rFonts w:ascii="Microsoft YaHei" w:hAnsi="Microsoft YaHei" w:eastAsia="Microsoft YaHei"/>
                <w:sz w:val="18"/>
              </w:rPr>
              <w:t>通用型数据开发管理平台中的数据建模中心。平台采用统一逻辑模型描述业务结构，通过引擎适配配置承接不同数据库/数仓的物理差异；以业务需求为入口，以正式模型版本为交付物。</w:t>
            </w:r>
          </w:p>
        </w:tc>
      </w:tr>
    </w:tbl>
    <w:p>
      <w:pPr>
        <w:spacing w:before="0" w:after="40" w:line="276" w:lineRule="auto"/>
      </w:pPr>
    </w:p>
    <w:p>
      <w:pPr>
        <w:pStyle w:val="Heading2"/>
        <w:keepNext/>
        <w:spacing w:before="160" w:after="100" w:line="252" w:lineRule="auto"/>
      </w:pPr>
      <w:r>
        <w:rPr>
          <w:rFonts w:ascii="Microsoft YaHei" w:hAnsi="Microsoft YaHei" w:eastAsia="Microsoft YaHei"/>
          <w:b/>
          <w:color w:val="2F75B5"/>
          <w:sz w:val="26"/>
        </w:rPr>
        <w:t>1.3 建设目标</w:t>
      </w:r>
    </w:p>
    <w:p>
      <w:pPr>
        <w:pStyle w:val="ListBullet"/>
        <w:spacing w:before="0" w:after="40" w:line="259" w:lineRule="auto"/>
      </w:pPr>
      <w:r>
        <w:rPr>
          <w:rFonts w:ascii="Microsoft YaHei" w:hAnsi="Microsoft YaHei" w:eastAsia="Microsoft YaHei"/>
          <w:sz w:val="19"/>
        </w:rPr>
        <w:t>建立业务需求到模型交付的可追溯链路，需求、模型、评审、版本和发布记录相互关联。</w:t>
      </w:r>
    </w:p>
    <w:p>
      <w:pPr>
        <w:pStyle w:val="ListBullet"/>
        <w:spacing w:before="0" w:after="40" w:line="259" w:lineRule="auto"/>
      </w:pPr>
      <w:r>
        <w:rPr>
          <w:rFonts w:ascii="Microsoft YaHei" w:hAnsi="Microsoft YaHei" w:eastAsia="Microsoft YaHei"/>
          <w:sz w:val="19"/>
        </w:rPr>
        <w:t>提供结构化的概念/逻辑/物理模型管理，支持表、字段、键、关系、来源说明和业务定义。</w:t>
      </w:r>
    </w:p>
    <w:p>
      <w:pPr>
        <w:pStyle w:val="ListBullet"/>
        <w:spacing w:before="0" w:after="40" w:line="259" w:lineRule="auto"/>
      </w:pPr>
      <w:r>
        <w:rPr>
          <w:rFonts w:ascii="Microsoft YaHei" w:hAnsi="Microsoft YaHei" w:eastAsia="Microsoft YaHei"/>
          <w:sz w:val="19"/>
        </w:rPr>
        <w:t>将命名、字段类型、主键、描述完整性等规范转化为可配置、可复用、可执行的校验规则。</w:t>
      </w:r>
    </w:p>
    <w:p>
      <w:pPr>
        <w:pStyle w:val="ListBullet"/>
        <w:spacing w:before="0" w:after="40" w:line="259" w:lineRule="auto"/>
      </w:pPr>
      <w:r>
        <w:rPr>
          <w:rFonts w:ascii="Microsoft YaHei" w:hAnsi="Microsoft YaHei" w:eastAsia="Microsoft YaHei"/>
          <w:sz w:val="19"/>
        </w:rPr>
        <w:t>支持模型评审、意见整改、版本快照、差异比较和正式发布记录。</w:t>
      </w:r>
    </w:p>
    <w:p>
      <w:pPr>
        <w:pStyle w:val="ListBullet"/>
        <w:spacing w:before="0" w:after="40" w:line="259" w:lineRule="auto"/>
      </w:pPr>
      <w:r>
        <w:rPr>
          <w:rFonts w:ascii="Microsoft YaHei" w:hAnsi="Microsoft YaHei" w:eastAsia="Microsoft YaHei"/>
          <w:sz w:val="19"/>
        </w:rPr>
        <w:t>通过引擎方言适配与逻辑类型映射，降低多引擎环境的重复设计成本。</w:t>
      </w:r>
    </w:p>
    <w:p>
      <w:pPr>
        <w:pStyle w:val="ListBullet"/>
        <w:spacing w:before="0" w:after="40" w:line="259" w:lineRule="auto"/>
      </w:pPr>
      <w:r>
        <w:rPr>
          <w:rFonts w:ascii="Microsoft YaHei" w:hAnsi="Microsoft YaHei" w:eastAsia="Microsoft YaHei"/>
          <w:sz w:val="19"/>
        </w:rPr>
        <w:t>提供可部署的轻量级 MVP，支持未来按模块扩展，不在第一阶段建设完整数据研发运行平台。</w:t>
      </w:r>
    </w:p>
    <w:p>
      <w:pPr>
        <w:pStyle w:val="Heading2"/>
        <w:keepNext/>
        <w:spacing w:before="160" w:after="100" w:line="252" w:lineRule="auto"/>
      </w:pPr>
      <w:r>
        <w:rPr>
          <w:rFonts w:ascii="Microsoft YaHei" w:hAnsi="Microsoft YaHei" w:eastAsia="Microsoft YaHei"/>
          <w:b/>
          <w:color w:val="2F75B5"/>
          <w:sz w:val="26"/>
        </w:rPr>
        <w:t>1.4 本期范围与非目标</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范围</w:t>
            </w:r>
          </w:p>
        </w:tc>
        <w:tc>
          <w:tcPr>
            <w:tcW w:type="dxa" w:w="38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本期（MVP）</w:t>
            </w:r>
          </w:p>
        </w:tc>
        <w:tc>
          <w:tcPr>
            <w:tcW w:type="dxa" w:w="38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明确不做 / 延后</w:t>
            </w:r>
          </w:p>
        </w:tc>
      </w:tr>
      <w:tr>
        <w:trPr>
          <w:cantSplit/>
        </w:trPr>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业务调研</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需求登记、业务过程/实体/指标/源系统、附件链接、状态与负责人</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复杂 BPMN 流程引擎、AI 自动建模为必选功能</w:t>
            </w:r>
          </w:p>
        </w:tc>
      </w:tr>
      <w:tr>
        <w:trPr>
          <w:cantSplit/>
        </w:trPr>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模型设计</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主题域、分层、逻辑模型、物理表、字段、键、关系、可视化模型图</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完整企业级数据架构建模套件</w:t>
            </w:r>
          </w:p>
        </w:tc>
      </w:tr>
      <w:tr>
        <w:trPr>
          <w:cantSplit/>
        </w:trPr>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规范校验</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命名、描述、类型映射、主键、字段完整性、重复名称基础检查</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全自动语义重复识别和智能治理</w:t>
            </w:r>
          </w:p>
        </w:tc>
      </w:tr>
      <w:tr>
        <w:trPr>
          <w:cantSplit/>
        </w:trPr>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评审发布</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提交评审、意见、退回、通过、发布、快照及差异对比</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与企业 OA/复杂 BPM 深度集成</w:t>
            </w:r>
          </w:p>
        </w:tc>
      </w:tr>
      <w:tr>
        <w:trPr>
          <w:cantSplit/>
        </w:trPr>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模型交付</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DDL 预览/下载、数据字典导出、设计说明导出</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第一版直接连接生产库执行 DDL</w:t>
            </w:r>
          </w:p>
        </w:tc>
      </w:tr>
      <w:tr>
        <w:trPr>
          <w:cantSplit/>
        </w:trPr>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多引擎</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统一适配接口、引擎配置、类型映射、引擎能力声明</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承诺所有 SQL 方言完全兼容</w:t>
            </w:r>
          </w:p>
        </w:tc>
      </w:tr>
      <w:tr>
        <w:trPr>
          <w:cantSplit/>
        </w:trPr>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扩展接口</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为 ETL、质量、血缘保存外部标识与关联点</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ETL 运行、调度、质量规则执行引擎</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1.5 成功指标（建议）</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指标</w:t>
            </w:r>
          </w:p>
        </w:tc>
        <w:tc>
          <w:tcPr>
            <w:tcW w:type="dxa" w:w="38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MVP 目标建议</w:t>
            </w:r>
          </w:p>
        </w:tc>
        <w:tc>
          <w:tcPr>
            <w:tcW w:type="dxa" w:w="345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衡量方式</w:t>
            </w:r>
          </w:p>
        </w:tc>
      </w:tr>
      <w:tr>
        <w:trPr>
          <w:cantSplit/>
        </w:trPr>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模型完整率</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正式发布模型必填项完整率 100%</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发布前强制校验统计</w:t>
            </w:r>
          </w:p>
        </w:tc>
      </w:tr>
      <w:tr>
        <w:trPr>
          <w:cantSplit/>
        </w:trPr>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规范自动校验覆盖</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核心规则覆盖本期验收清单 100%</w:t>
            </w:r>
          </w:p>
        </w:tc>
        <w:tc>
          <w:tcPr>
            <w:tcW w:type="dxa" w:w="34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规则目录与自动化测试对应</w:t>
            </w:r>
          </w:p>
        </w:tc>
      </w:tr>
      <w:tr>
        <w:trPr>
          <w:cantSplit/>
        </w:trPr>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版本可追溯率</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正式发布版本均可追溯到需求、评审及发布人</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抽查发布记录</w:t>
            </w:r>
          </w:p>
        </w:tc>
      </w:tr>
      <w:tr>
        <w:trPr>
          <w:cantSplit/>
        </w:trPr>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交付效率</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字段规模 100 列的模型，常规编辑和导出无需手工维护多份文档</w:t>
            </w:r>
          </w:p>
        </w:tc>
        <w:tc>
          <w:tcPr>
            <w:tcW w:type="dxa" w:w="34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试点用户任务测试</w:t>
            </w:r>
          </w:p>
        </w:tc>
      </w:tr>
      <w:tr>
        <w:trPr>
          <w:cantSplit/>
        </w:trPr>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接口响应</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常规列表/详情接口 P95 &lt; 1.5 秒（测试环境基准建议）</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基准数据和压测报告</w:t>
            </w:r>
          </w:p>
        </w:tc>
      </w:tr>
    </w:tbl>
    <w:p>
      <w:pPr>
        <w:spacing w:before="0" w:after="20" w:line="276" w:lineRule="auto"/>
      </w:pPr>
    </w:p>
    <w:p>
      <w:pPr>
        <w:pStyle w:val="Heading1"/>
        <w:keepNext/>
        <w:spacing w:before="240" w:after="100" w:line="252" w:lineRule="auto"/>
      </w:pPr>
      <w:r>
        <w:rPr>
          <w:rFonts w:ascii="Microsoft YaHei" w:hAnsi="Microsoft YaHei" w:eastAsia="Microsoft YaHei"/>
          <w:b/>
          <w:color w:val="17365D"/>
          <w:sz w:val="32"/>
        </w:rPr>
        <w:t>2. 用户角色与权限模型</w:t>
      </w:r>
    </w:p>
    <w:p>
      <w:pPr>
        <w:spacing w:before="0" w:after="80" w:line="276" w:lineRule="auto"/>
      </w:pPr>
      <w:r>
        <w:rPr>
          <w:rFonts w:ascii="Microsoft YaHei" w:hAnsi="Microsoft YaHei" w:eastAsia="Microsoft YaHei"/>
          <w:b w:val="0"/>
          <w:i w:val="0"/>
          <w:sz w:val="20"/>
        </w:rPr>
        <w:t>MVP 建议采用 RBAC（基于角色的访问控制）并支持项目级授权。权限判断至少包含“功能权限 + 项目范围 + 资源状态”。不建议仅用前端隐藏按钮控制权限，后端必须再次校验。</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角色</w:t>
            </w:r>
          </w:p>
        </w:tc>
        <w:tc>
          <w:tcPr>
            <w:tcW w:type="dxa" w:w="324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主要职责</w:t>
            </w:r>
          </w:p>
        </w:tc>
        <w:tc>
          <w:tcPr>
            <w:tcW w:type="dxa" w:w="40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关键权限</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平台管理员</w:t>
            </w:r>
          </w:p>
        </w:tc>
        <w:tc>
          <w:tcPr>
            <w:tcW w:type="dxa" w:w="32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维护用户/角色、引擎配置、全局规范、系统参数</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全局配置；授权；查看审计；不默认拥有生产库执行权限</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项目管理员/数据架构师</w:t>
            </w:r>
          </w:p>
        </w:tc>
        <w:tc>
          <w:tcPr>
            <w:tcW w:type="dxa" w:w="32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维护项目、主题域、分层和项目规范；组织评审</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项目配置；管理规范；指定评审人；发布审批（可分离）</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业务分析/需求提出人</w:t>
            </w:r>
          </w:p>
        </w:tc>
        <w:tc>
          <w:tcPr>
            <w:tcW w:type="dxa" w:w="32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登记需求、维护业务定义、确认口径</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创建/编辑本人可管理的需求；查看关联模型；确认业务内容</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建模设计人员</w:t>
            </w:r>
          </w:p>
        </w:tc>
        <w:tc>
          <w:tcPr>
            <w:tcW w:type="dxa" w:w="32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建立模型、维护表字段和关系、执行校验</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编辑草稿；提交评审；根据意见整改；查看版本差异</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模型评审人</w:t>
            </w:r>
          </w:p>
        </w:tc>
        <w:tc>
          <w:tcPr>
            <w:tcW w:type="dxa" w:w="32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审查业务合理性、架构一致性和规范符合性</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查看评审快照；通过/退回；填写意见；不得静默修改提交内容</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开发/消费方</w:t>
            </w:r>
          </w:p>
        </w:tc>
        <w:tc>
          <w:tcPr>
            <w:tcW w:type="dxa" w:w="32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获取已发布模型、DDL 和数据字典</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只读正式版本；下载交付件；查看变更摘要</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审计/治理人员</w:t>
            </w:r>
          </w:p>
        </w:tc>
        <w:tc>
          <w:tcPr>
            <w:tcW w:type="dxa" w:w="32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检查变更、敏感标识、规范符合性</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只读全链路记录；导出审计结果</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2.1 权限规则</w:t>
      </w:r>
    </w:p>
    <w:p>
      <w:pPr>
        <w:pStyle w:val="ListBullet"/>
        <w:spacing w:before="0" w:after="40" w:line="259" w:lineRule="auto"/>
      </w:pPr>
      <w:r>
        <w:rPr>
          <w:rFonts w:ascii="Microsoft YaHei" w:hAnsi="Microsoft YaHei" w:eastAsia="Microsoft YaHei"/>
          <w:sz w:val="19"/>
        </w:rPr>
        <w:t>模型资源权限按项目、工作区或资源授权，接口每次请求都校验用户身份及资源可访问性。</w:t>
      </w:r>
    </w:p>
    <w:p>
      <w:pPr>
        <w:pStyle w:val="ListBullet"/>
        <w:spacing w:before="0" w:after="40" w:line="259" w:lineRule="auto"/>
      </w:pPr>
      <w:r>
        <w:rPr>
          <w:rFonts w:ascii="Microsoft YaHei" w:hAnsi="Microsoft YaHei" w:eastAsia="Microsoft YaHei"/>
          <w:sz w:val="19"/>
        </w:rPr>
        <w:t>评审人原则上不能修改本次提交快照；需修改时，应退回设计人产生新草稿。</w:t>
      </w:r>
    </w:p>
    <w:p>
      <w:pPr>
        <w:pStyle w:val="ListBullet"/>
        <w:spacing w:before="0" w:after="40" w:line="259" w:lineRule="auto"/>
      </w:pPr>
      <w:r>
        <w:rPr>
          <w:rFonts w:ascii="Microsoft YaHei" w:hAnsi="Microsoft YaHei" w:eastAsia="Microsoft YaHei"/>
          <w:sz w:val="19"/>
        </w:rPr>
        <w:t>已发布版本只读。任何改变必须创建新版本，不允许原地覆盖发布快照。</w:t>
      </w:r>
    </w:p>
    <w:p>
      <w:pPr>
        <w:pStyle w:val="ListBullet"/>
        <w:spacing w:before="0" w:after="40" w:line="259" w:lineRule="auto"/>
      </w:pPr>
      <w:r>
        <w:rPr>
          <w:rFonts w:ascii="Microsoft YaHei" w:hAnsi="Microsoft YaHei" w:eastAsia="Microsoft YaHei"/>
          <w:sz w:val="19"/>
        </w:rPr>
        <w:t>引擎连接凭证与普通模型元数据分离保存；仅授权角色可维护或测试连接，日志不得输出密码、令牌或完整连接串。</w:t>
      </w:r>
    </w:p>
    <w:p>
      <w:pPr>
        <w:pStyle w:val="ListBullet"/>
        <w:spacing w:before="0" w:after="40" w:line="259" w:lineRule="auto"/>
      </w:pPr>
      <w:r>
        <w:rPr>
          <w:rFonts w:ascii="Microsoft YaHei" w:hAnsi="Microsoft YaHei" w:eastAsia="Microsoft YaHei"/>
          <w:sz w:val="19"/>
        </w:rPr>
        <w:t>本期支持逻辑删除和审计追踪；对已发布模型、已被其他对象引用的主题域等资源，禁止直接物理删除。</w:t>
      </w:r>
    </w:p>
    <w:p>
      <w:pPr>
        <w:pStyle w:val="Heading1"/>
        <w:keepNext/>
        <w:spacing w:before="240" w:after="100" w:line="252" w:lineRule="auto"/>
      </w:pPr>
      <w:r>
        <w:rPr>
          <w:rFonts w:ascii="Microsoft YaHei" w:hAnsi="Microsoft YaHei" w:eastAsia="Microsoft YaHei"/>
          <w:b/>
          <w:color w:val="17365D"/>
          <w:sz w:val="32"/>
        </w:rPr>
        <w:t>3. 产品总体架构与技术选型</w:t>
      </w:r>
    </w:p>
    <w:p>
      <w:pPr>
        <w:pStyle w:val="Heading2"/>
        <w:keepNext/>
        <w:spacing w:before="160" w:after="100" w:line="252" w:lineRule="auto"/>
      </w:pPr>
      <w:r>
        <w:rPr>
          <w:rFonts w:ascii="Microsoft YaHei" w:hAnsi="Microsoft YaHei" w:eastAsia="Microsoft YaHei"/>
          <w:b/>
          <w:color w:val="2F75B5"/>
          <w:sz w:val="26"/>
        </w:rPr>
        <w:t>3.1 架构原则</w:t>
      </w:r>
    </w:p>
    <w:p>
      <w:pPr>
        <w:pStyle w:val="ListBullet"/>
        <w:spacing w:before="0" w:after="40" w:line="259" w:lineRule="auto"/>
      </w:pPr>
      <w:r>
        <w:rPr>
          <w:rFonts w:ascii="Microsoft YaHei" w:hAnsi="Microsoft YaHei" w:eastAsia="Microsoft YaHei"/>
          <w:sz w:val="19"/>
        </w:rPr>
        <w:t>模块化单体优先：首期按业务域划分代码模块，不急于拆分微服务，减少部署和联调成本。</w:t>
      </w:r>
    </w:p>
    <w:p>
      <w:pPr>
        <w:pStyle w:val="ListBullet"/>
        <w:spacing w:before="0" w:after="40" w:line="259" w:lineRule="auto"/>
      </w:pPr>
      <w:r>
        <w:rPr>
          <w:rFonts w:ascii="Microsoft YaHei" w:hAnsi="Microsoft YaHei" w:eastAsia="Microsoft YaHei"/>
          <w:sz w:val="19"/>
        </w:rPr>
        <w:t>元数据优先：平台内的模型定义是模型设计与交付的权威来源；生成的 DDL 和文档是版本化交付物。</w:t>
      </w:r>
    </w:p>
    <w:p>
      <w:pPr>
        <w:pStyle w:val="ListBullet"/>
        <w:spacing w:before="0" w:after="40" w:line="259" w:lineRule="auto"/>
      </w:pPr>
      <w:r>
        <w:rPr>
          <w:rFonts w:ascii="Microsoft YaHei" w:hAnsi="Microsoft YaHei" w:eastAsia="Microsoft YaHei"/>
          <w:sz w:val="19"/>
        </w:rPr>
        <w:t>引擎解耦：业务服务不直接写具体数据库方言，通过 Dialect Adapter / Type Mapping 接口实现差异隔离。</w:t>
      </w:r>
    </w:p>
    <w:p>
      <w:pPr>
        <w:pStyle w:val="ListBullet"/>
        <w:spacing w:before="0" w:after="40" w:line="259" w:lineRule="auto"/>
      </w:pPr>
      <w:r>
        <w:rPr>
          <w:rFonts w:ascii="Microsoft YaHei" w:hAnsi="Microsoft YaHei" w:eastAsia="Microsoft YaHei"/>
          <w:sz w:val="19"/>
        </w:rPr>
        <w:t>发布不可变：提交评审和正式发布使用快照；后续改动在新草稿中进行。</w:t>
      </w:r>
    </w:p>
    <w:p>
      <w:pPr>
        <w:pStyle w:val="ListBullet"/>
        <w:spacing w:before="0" w:after="40" w:line="259" w:lineRule="auto"/>
      </w:pPr>
      <w:r>
        <w:rPr>
          <w:rFonts w:ascii="Microsoft YaHei" w:hAnsi="Microsoft YaHei" w:eastAsia="Microsoft YaHei"/>
          <w:sz w:val="19"/>
        </w:rPr>
        <w:t>安全默认关闭：不自动向目标数据库执行 DDL；连接探测、元数据读取和未来的写操作分别授权。</w:t>
      </w:r>
    </w:p>
    <w:p>
      <w:pPr>
        <w:pStyle w:val="ListBullet"/>
        <w:spacing w:before="0" w:after="40" w:line="259" w:lineRule="auto"/>
      </w:pPr>
      <w:r>
        <w:rPr>
          <w:rFonts w:ascii="Microsoft YaHei" w:hAnsi="Microsoft YaHei" w:eastAsia="Microsoft YaHei"/>
          <w:sz w:val="19"/>
        </w:rPr>
        <w:t>扩展先留契约：ETL、血缘和质量模块可用 model_id、model_version_id、table_id、column_id 等稳定标识关联。</w:t>
      </w:r>
    </w:p>
    <w:p>
      <w:pPr>
        <w:pStyle w:val="Heading2"/>
        <w:keepNext/>
        <w:spacing w:before="160" w:after="100" w:line="252" w:lineRule="auto"/>
      </w:pPr>
      <w:r>
        <w:rPr>
          <w:rFonts w:ascii="Microsoft YaHei" w:hAnsi="Microsoft YaHei" w:eastAsia="Microsoft YaHei"/>
          <w:b/>
          <w:color w:val="2F75B5"/>
          <w:sz w:val="26"/>
        </w:rPr>
        <w:t>3.2 推荐技术栈</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层次</w:t>
            </w:r>
          </w:p>
        </w:tc>
        <w:tc>
          <w:tcPr>
            <w:tcW w:type="dxa" w:w="331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推荐方案</w:t>
            </w:r>
          </w:p>
        </w:tc>
        <w:tc>
          <w:tcPr>
            <w:tcW w:type="dxa" w:w="439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选择理由 / 约束</w:t>
            </w:r>
          </w:p>
        </w:tc>
      </w:tr>
      <w:tr>
        <w:trPr>
          <w:cantSplit/>
        </w:trPr>
        <w:tc>
          <w:tcPr>
            <w:tcW w:type="dxa" w:w="16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前端</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Vue 3 + TypeScript + Vite</w:t>
            </w:r>
          </w:p>
        </w:tc>
        <w:tc>
          <w:tcPr>
            <w:tcW w:type="dxa" w:w="43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组件生态成熟，适合快速迭代；统一类型定义和 API 契约。</w:t>
            </w:r>
          </w:p>
        </w:tc>
      </w:tr>
      <w:tr>
        <w:trPr>
          <w:cantSplit/>
        </w:trPr>
        <w:tc>
          <w:tcPr>
            <w:tcW w:type="dxa" w:w="16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UI 组件</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Element Plus</w:t>
            </w:r>
          </w:p>
        </w:tc>
        <w:tc>
          <w:tcPr>
            <w:tcW w:type="dxa" w:w="43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表单、表格、弹窗、树形结构齐全，降低管理后台实现成本。</w:t>
            </w:r>
          </w:p>
        </w:tc>
      </w:tr>
      <w:tr>
        <w:trPr>
          <w:cantSplit/>
        </w:trPr>
        <w:tc>
          <w:tcPr>
            <w:tcW w:type="dxa" w:w="16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模型图</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Vue Flow（或同类节点图组件）</w:t>
            </w:r>
          </w:p>
        </w:tc>
        <w:tc>
          <w:tcPr>
            <w:tcW w:type="dxa" w:w="43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支持节点、连线、拖拽和缩放；表字段级关系可按复杂度逐步增强。</w:t>
            </w:r>
          </w:p>
        </w:tc>
      </w:tr>
      <w:tr>
        <w:trPr>
          <w:cantSplit/>
        </w:trPr>
        <w:tc>
          <w:tcPr>
            <w:tcW w:type="dxa" w:w="16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后端 API</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Python + FastAPI + Pydantic</w:t>
            </w:r>
          </w:p>
        </w:tc>
        <w:tc>
          <w:tcPr>
            <w:tcW w:type="dxa" w:w="43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快速定义 REST API 和数据校验；可自动生成 OpenAPI 文档。</w:t>
            </w:r>
          </w:p>
        </w:tc>
      </w:tr>
      <w:tr>
        <w:trPr>
          <w:cantSplit/>
        </w:trPr>
        <w:tc>
          <w:tcPr>
            <w:tcW w:type="dxa" w:w="16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ORM / 迁移</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SQLAlchemy 2.x + Alembic</w:t>
            </w:r>
          </w:p>
        </w:tc>
        <w:tc>
          <w:tcPr>
            <w:tcW w:type="dxa" w:w="43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统一元数据持久化和数据库 schema 迁移。</w:t>
            </w:r>
          </w:p>
        </w:tc>
      </w:tr>
      <w:tr>
        <w:trPr>
          <w:cantSplit/>
        </w:trPr>
        <w:tc>
          <w:tcPr>
            <w:tcW w:type="dxa" w:w="16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平台元数据库</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PostgreSQL</w:t>
            </w:r>
          </w:p>
        </w:tc>
        <w:tc>
          <w:tcPr>
            <w:tcW w:type="dxa" w:w="43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用于保存平台自身元数据、权限、版本、审计和流程记录。</w:t>
            </w:r>
          </w:p>
        </w:tc>
      </w:tr>
      <w:tr>
        <w:trPr>
          <w:cantSplit/>
        </w:trPr>
        <w:tc>
          <w:tcPr>
            <w:tcW w:type="dxa" w:w="16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方言辅助</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SQLGlot + 自定义 DDL 模板/适配器</w:t>
            </w:r>
          </w:p>
        </w:tc>
        <w:tc>
          <w:tcPr>
            <w:tcW w:type="dxa" w:w="43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辅助 SQL 解析和部分方言处理；关键 DDL 需按目标引擎测试验证。</w:t>
            </w:r>
          </w:p>
        </w:tc>
      </w:tr>
      <w:tr>
        <w:trPr>
          <w:cantSplit/>
        </w:trPr>
        <w:tc>
          <w:tcPr>
            <w:tcW w:type="dxa" w:w="16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部署</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Docker Compose（开发/试点）</w:t>
            </w:r>
          </w:p>
        </w:tc>
        <w:tc>
          <w:tcPr>
            <w:tcW w:type="dxa" w:w="43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一套命令启动前端、API、PostgreSQL；生产部署再根据企业标准调整。</w:t>
            </w:r>
          </w:p>
        </w:tc>
      </w:tr>
      <w:tr>
        <w:trPr>
          <w:cantSplit/>
        </w:trPr>
        <w:tc>
          <w:tcPr>
            <w:tcW w:type="dxa" w:w="16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自动化测试</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pytest + 前端单元测试 + Playwright（可选）</w:t>
            </w:r>
          </w:p>
        </w:tc>
        <w:tc>
          <w:tcPr>
            <w:tcW w:type="dxa" w:w="43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分别验证规则、API、页面流程及关键端到端路径。</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3.3 逻辑架构</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浏览器（Vue 3 / TypeScript）</w:t>
            </w:r>
            <w:r>
              <w:br/>
            </w:r>
            <w:r>
              <w:rPr>
                <w:rFonts w:ascii="Consolas" w:hAnsi="Consolas" w:eastAsia="Microsoft YaHei"/>
                <w:color w:val="333333"/>
                <w:sz w:val="16"/>
              </w:rPr>
              <w:t xml:space="preserve">          │ HTTPS / REST + OpenAPI</w:t>
            </w:r>
            <w:r>
              <w:br/>
            </w:r>
            <w:r>
              <w:rPr>
                <w:rFonts w:ascii="Consolas" w:hAnsi="Consolas" w:eastAsia="Microsoft YaHei"/>
                <w:color w:val="333333"/>
                <w:sz w:val="16"/>
              </w:rPr>
              <w:t xml:space="preserve">          ▼</w:t>
            </w:r>
            <w:r>
              <w:br/>
            </w:r>
            <w:r>
              <w:rPr>
                <w:rFonts w:ascii="Consolas" w:hAnsi="Consolas" w:eastAsia="Microsoft YaHei"/>
                <w:color w:val="333333"/>
                <w:sz w:val="16"/>
              </w:rPr>
              <w:t>API 层（FastAPI：认证、授权、参数校验、错误码）</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 业务需求服务</w:t>
            </w:r>
            <w:r>
              <w:br/>
            </w:r>
            <w:r>
              <w:rPr>
                <w:rFonts w:ascii="Consolas" w:hAnsi="Consolas" w:eastAsia="Microsoft YaHei"/>
                <w:color w:val="333333"/>
                <w:sz w:val="16"/>
              </w:rPr>
              <w:t xml:space="preserve">          ├── 模型设计服务 ── 规则校验引擎</w:t>
            </w:r>
            <w:r>
              <w:br/>
            </w:r>
            <w:r>
              <w:rPr>
                <w:rFonts w:ascii="Consolas" w:hAnsi="Consolas" w:eastAsia="Microsoft YaHei"/>
                <w:color w:val="333333"/>
                <w:sz w:val="16"/>
              </w:rPr>
              <w:t xml:space="preserve">          ├── 评审/版本/发布服务</w:t>
            </w:r>
            <w:r>
              <w:br/>
            </w:r>
            <w:r>
              <w:rPr>
                <w:rFonts w:ascii="Consolas" w:hAnsi="Consolas" w:eastAsia="Microsoft YaHei"/>
                <w:color w:val="333333"/>
                <w:sz w:val="16"/>
              </w:rPr>
              <w:t xml:space="preserve">          ├── 文档/DDL 导出服务</w:t>
            </w:r>
            <w:r>
              <w:br/>
            </w:r>
            <w:r>
              <w:rPr>
                <w:rFonts w:ascii="Consolas" w:hAnsi="Consolas" w:eastAsia="Microsoft YaHei"/>
                <w:color w:val="333333"/>
                <w:sz w:val="16"/>
              </w:rPr>
              <w:t xml:space="preserve">          ├── 引擎适配层（Dialect Adapter / Type Mapping）</w:t>
            </w:r>
            <w:r>
              <w:br/>
            </w:r>
            <w:r>
              <w:rPr>
                <w:rFonts w:ascii="Consolas" w:hAnsi="Consolas" w:eastAsia="Microsoft YaHei"/>
                <w:color w:val="333333"/>
                <w:sz w:val="16"/>
              </w:rPr>
              <w:t xml:space="preserve">          └── 审计日志服务</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 PostgreSQL：平台元数据与业务数据</w:t>
            </w:r>
            <w:r>
              <w:br/>
            </w:r>
            <w:r>
              <w:rPr>
                <w:rFonts w:ascii="Consolas" w:hAnsi="Consolas" w:eastAsia="Microsoft YaHei"/>
                <w:color w:val="333333"/>
                <w:sz w:val="16"/>
              </w:rPr>
              <w:t xml:space="preserve">          ├── 文件存储：附件/导出文件（本地或对象存储适配）</w:t>
            </w:r>
            <w:r>
              <w:br/>
            </w:r>
            <w:r>
              <w:rPr>
                <w:rFonts w:ascii="Consolas" w:hAnsi="Consolas" w:eastAsia="Microsoft YaHei"/>
                <w:color w:val="333333"/>
                <w:sz w:val="16"/>
              </w:rPr>
              <w:t xml:space="preserve">          └── 目标引擎：首期仅连接测试/读取元数据；不自动执行发布 DDL</w:t>
            </w:r>
          </w:p>
        </w:tc>
      </w:tr>
    </w:tbl>
    <w:p>
      <w:pPr>
        <w:spacing w:before="0" w:after="40" w:line="276" w:lineRule="auto"/>
      </w:pPr>
    </w:p>
    <w:p>
      <w:pPr>
        <w:pStyle w:val="Heading2"/>
        <w:keepNext/>
        <w:spacing w:before="160" w:after="100" w:line="252" w:lineRule="auto"/>
      </w:pPr>
      <w:r>
        <w:rPr>
          <w:rFonts w:ascii="Microsoft YaHei" w:hAnsi="Microsoft YaHei" w:eastAsia="Microsoft YaHei"/>
          <w:b/>
          <w:color w:val="2F75B5"/>
          <w:sz w:val="26"/>
        </w:rPr>
        <w:t>3.4 部署与环境</w:t>
      </w:r>
    </w:p>
    <w:p>
      <w:pPr>
        <w:spacing w:before="0" w:after="80" w:line="276" w:lineRule="auto"/>
      </w:pPr>
      <w:r>
        <w:rPr>
          <w:rFonts w:ascii="Microsoft YaHei" w:hAnsi="Microsoft YaHei" w:eastAsia="Microsoft YaHei"/>
          <w:b w:val="0"/>
          <w:i w:val="0"/>
          <w:sz w:val="20"/>
        </w:rPr>
        <w:t>开发环境建议通过 Docker Compose 启动 API、前端和 PostgreSQL。配置通过环境变量或外部配置文件注入，不将密钥写入代码仓库。至少区分 dev、test、prod 配置；生产环境需使用 TLS、备份策略、集中日志和秘密管理。</w:t>
      </w:r>
    </w:p>
    <w:p>
      <w:pPr>
        <w:spacing w:before="0" w:after="80" w:line="276" w:lineRule="auto"/>
      </w:pPr>
      <w:r>
        <w:rPr>
          <w:rFonts w:ascii="Microsoft YaHei" w:hAnsi="Microsoft YaHei" w:eastAsia="Microsoft YaHei"/>
          <w:b w:val="0"/>
          <w:i w:val="0"/>
          <w:sz w:val="20"/>
        </w:rPr>
        <w:t>MVP 可使用单体 API + 一个元数据库实例。预计模型量和并发较小时不引入 Kafka、Redis、独立工作流引擎或图数据库，待指标证明必要后再增加。</w:t>
      </w:r>
    </w:p>
    <w:p>
      <w:pPr>
        <w:pStyle w:val="Heading1"/>
        <w:keepNext/>
        <w:spacing w:before="240" w:after="100" w:line="252" w:lineRule="auto"/>
      </w:pPr>
      <w:r>
        <w:rPr>
          <w:rFonts w:ascii="Microsoft YaHei" w:hAnsi="Microsoft YaHei" w:eastAsia="Microsoft YaHei"/>
          <w:b/>
          <w:color w:val="17365D"/>
          <w:sz w:val="32"/>
        </w:rPr>
        <w:t>4. 核心业务流程与状态机</w:t>
      </w:r>
    </w:p>
    <w:p>
      <w:pPr>
        <w:pStyle w:val="Heading2"/>
        <w:keepNext/>
        <w:spacing w:before="160" w:after="100" w:line="252" w:lineRule="auto"/>
      </w:pPr>
      <w:r>
        <w:rPr>
          <w:rFonts w:ascii="Microsoft YaHei" w:hAnsi="Microsoft YaHei" w:eastAsia="Microsoft YaHei"/>
          <w:b/>
          <w:color w:val="2F75B5"/>
          <w:sz w:val="26"/>
        </w:rPr>
        <w:t>4.1 主流程</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创建/接收业务需求 → 调研补充 → 建立模型草稿 → 设计表/字段/关系</w:t>
            </w:r>
            <w:r>
              <w:br/>
            </w:r>
            <w:r>
              <w:rPr>
                <w:rFonts w:ascii="Consolas" w:hAnsi="Consolas" w:eastAsia="Microsoft YaHei"/>
                <w:color w:val="333333"/>
                <w:sz w:val="16"/>
              </w:rPr>
              <w:t xml:space="preserve">        ↓                                   ↓</w:t>
            </w:r>
            <w:r>
              <w:br/>
            </w:r>
            <w:r>
              <w:rPr>
                <w:rFonts w:ascii="Consolas" w:hAnsi="Consolas" w:eastAsia="Microsoft YaHei"/>
                <w:color w:val="333333"/>
                <w:sz w:val="16"/>
              </w:rPr>
              <w:t xml:space="preserve">   需求确认/拆分                         运行规则校验</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提交评审</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                   ↓</w:t>
            </w:r>
            <w:r>
              <w:br/>
            </w:r>
            <w:r>
              <w:rPr>
                <w:rFonts w:ascii="Consolas" w:hAnsi="Consolas" w:eastAsia="Microsoft YaHei"/>
                <w:color w:val="333333"/>
                <w:sz w:val="16"/>
              </w:rPr>
              <w:t xml:space="preserve">             退回修改              评审通过</w:t>
            </w:r>
            <w:r>
              <w:br/>
            </w:r>
            <w:r>
              <w:rPr>
                <w:rFonts w:ascii="Consolas" w:hAnsi="Consolas" w:eastAsia="Microsoft YaHei"/>
                <w:color w:val="333333"/>
                <w:sz w:val="16"/>
              </w:rPr>
              <w:t xml:space="preserve">                ↓                   ↓</w:t>
            </w:r>
            <w:r>
              <w:br/>
            </w:r>
            <w:r>
              <w:rPr>
                <w:rFonts w:ascii="Consolas" w:hAnsi="Consolas" w:eastAsia="Microsoft YaHei"/>
                <w:color w:val="333333"/>
                <w:sz w:val="16"/>
              </w:rPr>
              <w:t xml:space="preserve">         修改后重新提交           发布审批（如启用）</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正式发布</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DDL/数据字典/版本快照交付</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变更时创建新草稿</w:t>
            </w:r>
          </w:p>
        </w:tc>
      </w:tr>
    </w:tbl>
    <w:p>
      <w:pPr>
        <w:spacing w:before="0" w:after="40" w:line="276" w:lineRule="auto"/>
      </w:pPr>
    </w:p>
    <w:p>
      <w:pPr>
        <w:pStyle w:val="Heading2"/>
        <w:keepNext/>
        <w:spacing w:before="160" w:after="100" w:line="252" w:lineRule="auto"/>
      </w:pPr>
      <w:r>
        <w:rPr>
          <w:rFonts w:ascii="Microsoft YaHei" w:hAnsi="Microsoft YaHei" w:eastAsia="Microsoft YaHei"/>
          <w:b/>
          <w:color w:val="2F75B5"/>
          <w:sz w:val="26"/>
        </w:rPr>
        <w:t>4.2 状态定义</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状态</w:t>
            </w:r>
          </w:p>
        </w:tc>
        <w:tc>
          <w:tcPr>
            <w:tcW w:type="dxa" w:w="259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含义</w:t>
            </w:r>
          </w:p>
        </w:tc>
        <w:tc>
          <w:tcPr>
            <w:tcW w:type="dxa" w:w="295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允许操作</w:t>
            </w:r>
          </w:p>
        </w:tc>
        <w:tc>
          <w:tcPr>
            <w:tcW w:type="dxa" w:w="22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不可执行操作</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草稿 DRAFT</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设计中、未进入正式评审</w:t>
            </w:r>
          </w:p>
        </w:tc>
        <w:tc>
          <w:tcPr>
            <w:tcW w:type="dxa" w:w="29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编辑、删除（未被引用时）、校验、提交评审</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正式发布</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待评审 IN_REVIEW</w:t>
            </w:r>
          </w:p>
        </w:tc>
        <w:tc>
          <w:tcPr>
            <w:tcW w:type="dxa" w:w="25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评审人针对已提交快照进行审核</w:t>
            </w:r>
          </w:p>
        </w:tc>
        <w:tc>
          <w:tcPr>
            <w:tcW w:type="dxa" w:w="29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查看快照、评论、通过、退回</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直接编辑本次快照</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已退回 CHANGES_REQUESTED</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评审未通过，等待设计人整改</w:t>
            </w:r>
          </w:p>
        </w:tc>
        <w:tc>
          <w:tcPr>
            <w:tcW w:type="dxa" w:w="29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查看意见、编辑新修订、重新提交</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直接发布</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已通过 APPROVED</w:t>
            </w:r>
          </w:p>
        </w:tc>
        <w:tc>
          <w:tcPr>
            <w:tcW w:type="dxa" w:w="25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评审通过，等待发布或发布审批</w:t>
            </w:r>
          </w:p>
        </w:tc>
        <w:tc>
          <w:tcPr>
            <w:tcW w:type="dxa" w:w="29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发布、查看、导出评审版本</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修改通过快照</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已发布 PUBLISHED</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正式版本已形成</w:t>
            </w:r>
          </w:p>
        </w:tc>
        <w:tc>
          <w:tcPr>
            <w:tcW w:type="dxa" w:w="29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查看、下载、创建新变更草稿</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原地修改或删除正式版本</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已归档 ARCHIVED</w:t>
            </w:r>
          </w:p>
        </w:tc>
        <w:tc>
          <w:tcPr>
            <w:tcW w:type="dxa" w:w="25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不再推荐新使用，但保留历史</w:t>
            </w:r>
          </w:p>
        </w:tc>
        <w:tc>
          <w:tcPr>
            <w:tcW w:type="dxa" w:w="29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只读、查看审计和版本</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编辑、重新发布同一版本</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4.3 版本语义</w:t>
      </w:r>
    </w:p>
    <w:p>
      <w:pPr>
        <w:pStyle w:val="ListBullet"/>
        <w:spacing w:before="0" w:after="40" w:line="259" w:lineRule="auto"/>
      </w:pPr>
      <w:r>
        <w:rPr>
          <w:rFonts w:ascii="Microsoft YaHei" w:hAnsi="Microsoft YaHei" w:eastAsia="Microsoft YaHei"/>
          <w:sz w:val="19"/>
        </w:rPr>
        <w:t>模型主记录（model）代表稳定身份；模型版本（model_version）代表某个不可变的设计快照。</w:t>
      </w:r>
    </w:p>
    <w:p>
      <w:pPr>
        <w:pStyle w:val="ListBullet"/>
        <w:spacing w:before="0" w:after="40" w:line="259" w:lineRule="auto"/>
      </w:pPr>
      <w:r>
        <w:rPr>
          <w:rFonts w:ascii="Microsoft YaHei" w:hAnsi="Microsoft YaHei" w:eastAsia="Microsoft YaHei"/>
          <w:sz w:val="19"/>
        </w:rPr>
        <w:t>草稿可以有递增 revision_no；提交评审时冻结为 review snapshot，评审通过后发布的快照拥有正式 version_no。</w:t>
      </w:r>
    </w:p>
    <w:p>
      <w:pPr>
        <w:pStyle w:val="ListBullet"/>
        <w:spacing w:before="0" w:after="40" w:line="259" w:lineRule="auto"/>
      </w:pPr>
      <w:r>
        <w:rPr>
          <w:rFonts w:ascii="Microsoft YaHei" w:hAnsi="Microsoft YaHei" w:eastAsia="Microsoft YaHei"/>
          <w:sz w:val="19"/>
        </w:rPr>
        <w:t>模型编辑锁采用乐观并发控制：更新必须携带 expected_updated_at 或 row_version；若版本不一致返回 409 CONCURRENT_MODIFICATION。</w:t>
      </w:r>
    </w:p>
    <w:p>
      <w:pPr>
        <w:pStyle w:val="ListBullet"/>
        <w:spacing w:before="0" w:after="40" w:line="259" w:lineRule="auto"/>
      </w:pPr>
      <w:r>
        <w:rPr>
          <w:rFonts w:ascii="Microsoft YaHei" w:hAnsi="Microsoft YaHei" w:eastAsia="Microsoft YaHei"/>
          <w:sz w:val="19"/>
        </w:rPr>
        <w:t>模型状态和模型版本状态分开：一个模型当前可以处于已发布，同时存在新的草稿变更。</w:t>
      </w:r>
    </w:p>
    <w:p>
      <w:pPr>
        <w:pStyle w:val="ListBullet"/>
        <w:spacing w:before="0" w:after="40" w:line="259" w:lineRule="auto"/>
      </w:pPr>
      <w:r>
        <w:rPr>
          <w:rFonts w:ascii="Microsoft YaHei" w:hAnsi="Microsoft YaHei" w:eastAsia="Microsoft YaHei"/>
          <w:sz w:val="19"/>
        </w:rPr>
        <w:t>发布成功后保存本次 DDL、字段字典、模型关系定义、规则结果摘要及内容哈希，确保可复现交付。</w:t>
      </w:r>
    </w:p>
    <w:p>
      <w:pPr>
        <w:pStyle w:val="Heading1"/>
        <w:keepNext/>
        <w:spacing w:before="240" w:after="100" w:line="252" w:lineRule="auto"/>
      </w:pPr>
      <w:r>
        <w:rPr>
          <w:rFonts w:ascii="Microsoft YaHei" w:hAnsi="Microsoft YaHei" w:eastAsia="Microsoft YaHei"/>
          <w:b/>
          <w:color w:val="17365D"/>
          <w:sz w:val="32"/>
        </w:rPr>
        <w:t>5. 功能需求规格</w:t>
      </w:r>
    </w:p>
    <w:p>
      <w:pPr>
        <w:pStyle w:val="Heading2"/>
        <w:keepNext/>
        <w:spacing w:before="160" w:after="100" w:line="252" w:lineRule="auto"/>
      </w:pPr>
      <w:r>
        <w:rPr>
          <w:rFonts w:ascii="Microsoft YaHei" w:hAnsi="Microsoft YaHei" w:eastAsia="Microsoft YaHei"/>
          <w:b/>
          <w:color w:val="2F75B5"/>
          <w:sz w:val="26"/>
        </w:rPr>
        <w:t>5.1 功能模块清单</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00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编号</w:t>
            </w:r>
          </w:p>
        </w:tc>
        <w:tc>
          <w:tcPr>
            <w:tcW w:type="dxa" w:w="194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模块/功能</w:t>
            </w:r>
          </w:p>
        </w:tc>
        <w:tc>
          <w:tcPr>
            <w:tcW w:type="dxa" w:w="56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需求内容</w:t>
            </w:r>
          </w:p>
        </w:tc>
        <w:tc>
          <w:tcPr>
            <w:tcW w:type="dxa" w:w="79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优先级</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FR-001</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项目与工作区</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创建项目、设置编码/负责人、描述、工作区及项目成员</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FR-002</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主题域与分层</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可配置主题域、ODS/DWD/DWS/ADS 等分层及排序</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FR-003</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需求登记</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需求编号、名称、业务目标、优先级、提出人、负责人、状态、附件链接</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FR-004</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业务调研信息</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记录业务过程、实体、指标、规则、源系统/表字段、调研结论</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P1</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FR-005</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逻辑模型</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管理实体、属性、主键、业务唯一键、关系和逻辑描述</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P1</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FR-006</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物理模型</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表/字段设计、分层、表类型、分区建议、引擎与类型映射</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FR-007</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模型可视化</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展示表节点和关系连线，支持拖动、缩放、选中查看详情</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P1</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FR-008</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规范校验</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执行错误/警告/提示三级规则，定位到模型/表/字段</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FR-009</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评审流程</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提交、指派评审人、评论、通过、退回和整改状态跟踪</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FR-010</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版本管理</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保存快照、版本列表、字段差异、变更原因和历史可查</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FR-011</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发布交付</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正式发布、生成 DDL、数据字典、模型设计说明书并下载</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FR-012</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引擎配置</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引擎类型、方言、逻辑类型映射、能力声明、默认参数模板</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FR-013</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权限与审计</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RBAC、项目授权、关键动作审计、操作人和时间记录</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P0</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FR-014</w:t>
            </w:r>
          </w:p>
        </w:tc>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导入导出</w:t>
            </w:r>
          </w:p>
        </w:tc>
        <w:tc>
          <w:tcPr>
            <w:tcW w:type="dxa" w:w="56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CSV/XLSX 字段模板导入、错误报告、DDL/字典导出</w:t>
            </w:r>
          </w:p>
        </w:tc>
        <w:tc>
          <w:tcPr>
            <w:tcW w:type="dxa" w:w="7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P1</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FR-015</w:t>
            </w:r>
          </w:p>
        </w:tc>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扩展关联标识</w:t>
            </w:r>
          </w:p>
        </w:tc>
        <w:tc>
          <w:tcPr>
            <w:tcW w:type="dxa" w:w="56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为模型/表/字段关联外部任务、血缘节点或质量规则预留稳定 ID</w:t>
            </w:r>
          </w:p>
        </w:tc>
        <w:tc>
          <w:tcPr>
            <w:tcW w:type="dxa" w:w="7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P1</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5.2 页面设计规格</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页面</w:t>
            </w:r>
          </w:p>
        </w:tc>
        <w:tc>
          <w:tcPr>
            <w:tcW w:type="dxa" w:w="345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核心区域</w:t>
            </w:r>
          </w:p>
        </w:tc>
        <w:tc>
          <w:tcPr>
            <w:tcW w:type="dxa" w:w="417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关键交互与校验</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建模工作台</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统计卡片、我的待办、最近模型、校验异常、变更动态</w:t>
            </w:r>
          </w:p>
        </w:tc>
        <w:tc>
          <w:tcPr>
            <w:tcW w:type="dxa" w:w="41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点击卡片进入筛选列表；统计口径基于用户可见项目。</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需求列表/详情</w:t>
            </w:r>
          </w:p>
        </w:tc>
        <w:tc>
          <w:tcPr>
            <w:tcW w:type="dxa" w:w="34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筛选区、需求表格、需求详情、调研记录、附件</w:t>
            </w:r>
          </w:p>
        </w:tc>
        <w:tc>
          <w:tcPr>
            <w:tcW w:type="dxa" w:w="41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状态流转留痕；需求可关联多个模型；避免删除已有模型关联的需求。</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模型列表</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项目/主题域/分层/状态/负责人筛选；模型表格</w:t>
            </w:r>
          </w:p>
        </w:tc>
        <w:tc>
          <w:tcPr>
            <w:tcW w:type="dxa" w:w="41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模型编码在项目或平台约定范围内唯一；显示最新已发布版本和草稿状态。</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模型设计工作区</w:t>
            </w:r>
          </w:p>
        </w:tc>
        <w:tc>
          <w:tcPr>
            <w:tcW w:type="dxa" w:w="34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基本信息、字段表格、关系画布、校验面板、版本/操作栏</w:t>
            </w:r>
          </w:p>
        </w:tc>
        <w:tc>
          <w:tcPr>
            <w:tcW w:type="dxa" w:w="41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字段行内编辑、批量粘贴、自动保存可选；保存失败提示并保留本地编辑内容。</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规则中心</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规则分类、参数、适用范围、等级、启停、规则版本</w:t>
            </w:r>
          </w:p>
        </w:tc>
        <w:tc>
          <w:tcPr>
            <w:tcW w:type="dxa" w:w="41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修改规则需记录版本；历史校验结果保留当时规则版本。</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评审中心</w:t>
            </w:r>
          </w:p>
        </w:tc>
        <w:tc>
          <w:tcPr>
            <w:tcW w:type="dxa" w:w="34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待办列表、版本快照、差异、评论、通过/退回</w:t>
            </w:r>
          </w:p>
        </w:tc>
        <w:tc>
          <w:tcPr>
            <w:tcW w:type="dxa" w:w="41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通过/退回必须填写结论；退回必须至少有一条意见或整改说明。</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版本与发布</w:t>
            </w:r>
          </w:p>
        </w:tc>
        <w:tc>
          <w:tcPr>
            <w:tcW w:type="dxa" w:w="345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版本列表、版本差异、DDL 预览、交付物下载</w:t>
            </w:r>
          </w:p>
        </w:tc>
        <w:tc>
          <w:tcPr>
            <w:tcW w:type="dxa" w:w="41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发布前运行阻断级校验；发布内容不可变；下载结果对应明确版本号。</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引擎配置</w:t>
            </w:r>
          </w:p>
        </w:tc>
        <w:tc>
          <w:tcPr>
            <w:tcW w:type="dxa" w:w="345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引擎类型、目标版本、方言、类型映射、默认属性</w:t>
            </w:r>
          </w:p>
        </w:tc>
        <w:tc>
          <w:tcPr>
            <w:tcW w:type="dxa" w:w="41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仅允许平台支持清单中的引擎；配置变更需审计并可版本化。</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5.3 模型字段编辑的最小能力</w:t>
      </w:r>
    </w:p>
    <w:p>
      <w:pPr>
        <w:pStyle w:val="ListBullet"/>
        <w:spacing w:before="0" w:after="40" w:line="259" w:lineRule="auto"/>
      </w:pPr>
      <w:r>
        <w:rPr>
          <w:rFonts w:ascii="Microsoft YaHei" w:hAnsi="Microsoft YaHei" w:eastAsia="Microsoft YaHei"/>
          <w:sz w:val="19"/>
        </w:rPr>
        <w:t>支持新增、修改、删除字段和拖拽排序；字段删除在发布前作为变更记录，不直接抹除已发布快照。</w:t>
      </w:r>
    </w:p>
    <w:p>
      <w:pPr>
        <w:pStyle w:val="ListBullet"/>
        <w:spacing w:before="0" w:after="40" w:line="259" w:lineRule="auto"/>
      </w:pPr>
      <w:r>
        <w:rPr>
          <w:rFonts w:ascii="Microsoft YaHei" w:hAnsi="Microsoft YaHei" w:eastAsia="Microsoft YaHei"/>
          <w:sz w:val="19"/>
        </w:rPr>
        <w:t>支持多行复制粘贴，按列映射字段编码、中文名、类型、长度、是否可空、描述等属性。</w:t>
      </w:r>
    </w:p>
    <w:p>
      <w:pPr>
        <w:pStyle w:val="ListBullet"/>
        <w:spacing w:before="0" w:after="40" w:line="259" w:lineRule="auto"/>
      </w:pPr>
      <w:r>
        <w:rPr>
          <w:rFonts w:ascii="Microsoft YaHei" w:hAnsi="Microsoft YaHei" w:eastAsia="Microsoft YaHei"/>
          <w:sz w:val="19"/>
        </w:rPr>
        <w:t>支持字段搜索、过滤（主键/必填/未填写描述/校验失败）、批量补充默认值或描述。</w:t>
      </w:r>
    </w:p>
    <w:p>
      <w:pPr>
        <w:pStyle w:val="ListBullet"/>
        <w:spacing w:before="0" w:after="40" w:line="259" w:lineRule="auto"/>
      </w:pPr>
      <w:r>
        <w:rPr>
          <w:rFonts w:ascii="Microsoft YaHei" w:hAnsi="Microsoft YaHei" w:eastAsia="Microsoft YaHei"/>
          <w:sz w:val="19"/>
        </w:rPr>
        <w:t>字段编码、逻辑类型、物理类型、主键、可空性、默认值之间进行联动校验。</w:t>
      </w:r>
    </w:p>
    <w:p>
      <w:pPr>
        <w:pStyle w:val="ListBullet"/>
        <w:spacing w:before="0" w:after="40" w:line="259" w:lineRule="auto"/>
      </w:pPr>
      <w:r>
        <w:rPr>
          <w:rFonts w:ascii="Microsoft YaHei" w:hAnsi="Microsoft YaHei" w:eastAsia="Microsoft YaHei"/>
          <w:sz w:val="19"/>
        </w:rPr>
        <w:t>所有校验错误可从校验面板跳转到对应模型、表和字段并突出显示。</w:t>
      </w:r>
    </w:p>
    <w:p>
      <w:pPr>
        <w:pStyle w:val="ListBullet"/>
        <w:spacing w:before="0" w:after="40" w:line="259" w:lineRule="auto"/>
      </w:pPr>
      <w:r>
        <w:rPr>
          <w:rFonts w:ascii="Microsoft YaHei" w:hAnsi="Microsoft YaHei" w:eastAsia="Microsoft YaHei"/>
          <w:sz w:val="19"/>
        </w:rPr>
        <w:t>自动保存不是 MVP 必需；若采用自动保存，必须有保存状态、失败重试和并发冲突提示。</w:t>
      </w:r>
    </w:p>
    <w:p>
      <w:pPr>
        <w:pStyle w:val="Heading1"/>
        <w:keepNext/>
        <w:spacing w:before="240" w:after="100" w:line="252" w:lineRule="auto"/>
      </w:pPr>
      <w:r>
        <w:rPr>
          <w:rFonts w:ascii="Microsoft YaHei" w:hAnsi="Microsoft YaHei" w:eastAsia="Microsoft YaHei"/>
          <w:b/>
          <w:color w:val="17365D"/>
          <w:sz w:val="32"/>
        </w:rPr>
        <w:t>6. 建模方法与关键业务规则</w:t>
      </w:r>
    </w:p>
    <w:p>
      <w:pPr>
        <w:pStyle w:val="Heading2"/>
        <w:keepNext/>
        <w:spacing w:before="160" w:after="100" w:line="252" w:lineRule="auto"/>
      </w:pPr>
      <w:r>
        <w:rPr>
          <w:rFonts w:ascii="Microsoft YaHei" w:hAnsi="Microsoft YaHei" w:eastAsia="Microsoft YaHei"/>
          <w:b/>
          <w:color w:val="2F75B5"/>
          <w:sz w:val="26"/>
        </w:rPr>
        <w:t>6.1 建模层次与产物</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层次</w:t>
            </w:r>
          </w:p>
        </w:tc>
        <w:tc>
          <w:tcPr>
            <w:tcW w:type="dxa" w:w="22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建模对象</w:t>
            </w:r>
          </w:p>
        </w:tc>
        <w:tc>
          <w:tcPr>
            <w:tcW w:type="dxa" w:w="324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必备信息</w:t>
            </w:r>
          </w:p>
        </w:tc>
        <w:tc>
          <w:tcPr>
            <w:tcW w:type="dxa" w:w="230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与其他层次的关系</w:t>
            </w:r>
          </w:p>
        </w:tc>
      </w:tr>
      <w:tr>
        <w:trPr>
          <w:cantSplit/>
        </w:trPr>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概念模型</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业务实体、业务关系</w:t>
            </w:r>
          </w:p>
        </w:tc>
        <w:tc>
          <w:tcPr>
            <w:tcW w:type="dxa" w:w="32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业务名称、定义、主要业务规则</w:t>
            </w:r>
          </w:p>
        </w:tc>
        <w:tc>
          <w:tcPr>
            <w:tcW w:type="dxa" w:w="230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可映射到一个或多个逻辑实体；允许暂不映射物理表</w:t>
            </w:r>
          </w:p>
        </w:tc>
      </w:tr>
      <w:tr>
        <w:trPr>
          <w:cantSplit/>
        </w:trPr>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逻辑模型</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逻辑实体、逻辑属性、业务键、关系</w:t>
            </w:r>
          </w:p>
        </w:tc>
        <w:tc>
          <w:tcPr>
            <w:tcW w:type="dxa" w:w="32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逻辑名称、业务定义、粒度/唯一性、关系基数</w:t>
            </w:r>
          </w:p>
        </w:tc>
        <w:tc>
          <w:tcPr>
            <w:tcW w:type="dxa" w:w="230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相对独立于特定数据库；可映射到一个或多个物理表</w:t>
            </w:r>
          </w:p>
        </w:tc>
      </w:tr>
      <w:tr>
        <w:trPr>
          <w:cantSplit/>
        </w:trPr>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物理模型</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数据库/数仓中的表、字段、键和物理属性</w:t>
            </w:r>
          </w:p>
        </w:tc>
        <w:tc>
          <w:tcPr>
            <w:tcW w:type="dxa" w:w="32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物理名称、物理类型、可空性、默认值、分区/分桶等配置</w:t>
            </w:r>
          </w:p>
        </w:tc>
        <w:tc>
          <w:tcPr>
            <w:tcW w:type="dxa" w:w="230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绑定目标引擎配置；是 DDL 和开发交付的直接来源</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6.2 数仓分层配置</w:t>
      </w:r>
    </w:p>
    <w:p>
      <w:pPr>
        <w:spacing w:before="0" w:after="80" w:line="276" w:lineRule="auto"/>
      </w:pPr>
      <w:r>
        <w:rPr>
          <w:rFonts w:ascii="Microsoft YaHei" w:hAnsi="Microsoft YaHei" w:eastAsia="Microsoft YaHei"/>
          <w:b w:val="0"/>
          <w:i w:val="0"/>
          <w:sz w:val="20"/>
        </w:rPr>
        <w:t>平台默认提供 ODS、DWD、DWS、ADS 作为初始化模板，但分层名称、编码、定义、排序、允许的模型类型和规范均应可按项目覆盖。分层规则是配置而不是硬编码。每层可设置推荐属性，例如 ODS 的源系统/抽取批次字段，DWD 的业务粒度和标准化要求，DWS 的汇总粒度，ADS 的应用/报表使用场景。</w:t>
      </w:r>
    </w:p>
    <w:p>
      <w:pPr>
        <w:pStyle w:val="Heading2"/>
        <w:keepNext/>
        <w:spacing w:before="160" w:after="100" w:line="252" w:lineRule="auto"/>
      </w:pPr>
      <w:r>
        <w:rPr>
          <w:rFonts w:ascii="Microsoft YaHei" w:hAnsi="Microsoft YaHei" w:eastAsia="Microsoft YaHei"/>
          <w:b/>
          <w:color w:val="2F75B5"/>
          <w:sz w:val="26"/>
        </w:rPr>
        <w:t>6.3 模型类型</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模型类型</w:t>
            </w:r>
          </w:p>
        </w:tc>
        <w:tc>
          <w:tcPr>
            <w:tcW w:type="dxa" w:w="360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典型用途</w:t>
            </w:r>
          </w:p>
        </w:tc>
        <w:tc>
          <w:tcPr>
            <w:tcW w:type="dxa" w:w="38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特有检查点</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普通表/明细表</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承载标准化明细或业务实体数据</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主键/业务唯一性、字段定义、来源可追踪</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事实表</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记录业务过程、交易、事件或周期快照</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事实粒度必须描述；度量与维度键清晰；避免同表混合多种粒度</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维度表</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描述业务主体及其属性</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自然键/代理键、有效期字段、缓慢变化策略可选</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汇总表</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按指定粒度预聚合数据</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汇总维度、指标口径、聚合粒度和刷新频率说明</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宽表/服务表</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满足下游应用或分析消费</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标注消费场景、数据来源和冗余字段合理性</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6.4 逻辑类型与物理类型</w:t>
      </w:r>
    </w:p>
    <w:p>
      <w:pPr>
        <w:spacing w:before="0" w:after="80" w:line="276" w:lineRule="auto"/>
      </w:pPr>
      <w:r>
        <w:rPr>
          <w:rFonts w:ascii="Microsoft YaHei" w:hAnsi="Microsoft YaHei" w:eastAsia="Microsoft YaHei"/>
          <w:b w:val="0"/>
          <w:i w:val="0"/>
          <w:sz w:val="20"/>
        </w:rPr>
        <w:t>平台应建立与引擎无关的逻辑类型字典，例如 STRING、INTEGER、DECIMAL、BOOLEAN、DATE、TIMESTAMP、BINARY、JSON、ARRAY、MAP。每个引擎适配器维护逻辑类型到目标物理类型的映射，并声明精度、长度、时区、复杂类型、默认值和自增能力等限制。平台不得假设所有引擎的类型完全等价。</w:t>
      </w:r>
    </w:p>
    <w:p>
      <w:pPr>
        <w:pStyle w:val="Heading2"/>
        <w:keepNext/>
        <w:spacing w:before="160" w:after="100" w:line="252" w:lineRule="auto"/>
      </w:pPr>
      <w:r>
        <w:rPr>
          <w:rFonts w:ascii="Microsoft YaHei" w:hAnsi="Microsoft YaHei" w:eastAsia="Microsoft YaHei"/>
          <w:b/>
          <w:color w:val="2F75B5"/>
          <w:sz w:val="26"/>
        </w:rPr>
        <w:t>6.5 关键字段属性</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属性</w:t>
            </w:r>
          </w:p>
        </w:tc>
        <w:tc>
          <w:tcPr>
            <w:tcW w:type="dxa" w:w="74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要求</w:t>
            </w:r>
          </w:p>
        </w:tc>
      </w:tr>
      <w:tr>
        <w:trPr>
          <w:cantSplit/>
        </w:trPr>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物理字段名</w:t>
            </w:r>
          </w:p>
        </w:tc>
        <w:tc>
          <w:tcPr>
            <w:tcW w:type="dxa" w:w="74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必填；按引擎规则检查标识符长度、保留字、大小写和合法字符。</w:t>
            </w:r>
          </w:p>
        </w:tc>
      </w:tr>
      <w:tr>
        <w:trPr>
          <w:cantSplit/>
        </w:trPr>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字段中文名/描述</w:t>
            </w:r>
          </w:p>
        </w:tc>
        <w:tc>
          <w:tcPr>
            <w:tcW w:type="dxa" w:w="74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建议作为可发布模型的强制项；描述缺失至少产生警告，项目可升级为错误。</w:t>
            </w:r>
          </w:p>
        </w:tc>
      </w:tr>
      <w:tr>
        <w:trPr>
          <w:cantSplit/>
        </w:trPr>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主键</w:t>
            </w:r>
          </w:p>
        </w:tc>
        <w:tc>
          <w:tcPr>
            <w:tcW w:type="dxa" w:w="74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支持单字段和复合主键；要校验字段存在、主键列不可空、重复配置。物理约束是否真实下推由引擎能力决定。</w:t>
            </w:r>
          </w:p>
        </w:tc>
      </w:tr>
      <w:tr>
        <w:trPr>
          <w:cantSplit/>
        </w:trPr>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业务唯一键</w:t>
            </w:r>
          </w:p>
        </w:tc>
        <w:tc>
          <w:tcPr>
            <w:tcW w:type="dxa" w:w="74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与技术主键分开记录；可由一列或多列组成，不必一定生成数据库约束。</w:t>
            </w:r>
          </w:p>
        </w:tc>
      </w:tr>
      <w:tr>
        <w:trPr>
          <w:cantSplit/>
        </w:trPr>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默认值</w:t>
            </w:r>
          </w:p>
        </w:tc>
        <w:tc>
          <w:tcPr>
            <w:tcW w:type="dxa" w:w="74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区分字符串常量、数值常量、NULL、表达式；表达式按引擎能力校验，不可直接拼接不可信输入。</w:t>
            </w:r>
          </w:p>
        </w:tc>
      </w:tr>
      <w:tr>
        <w:trPr>
          <w:cantSplit/>
        </w:trPr>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敏感级别</w:t>
            </w:r>
          </w:p>
        </w:tc>
        <w:tc>
          <w:tcPr>
            <w:tcW w:type="dxa" w:w="74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支持公开/内部/敏感/高度敏感（可配置）；MVP 只管理标记，不直接实现完整脱敏服务。</w:t>
            </w:r>
          </w:p>
        </w:tc>
      </w:tr>
      <w:tr>
        <w:trPr>
          <w:cantSplit/>
        </w:trPr>
        <w:tc>
          <w:tcPr>
            <w:tcW w:type="dxa" w:w="194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来源信息</w:t>
            </w:r>
          </w:p>
        </w:tc>
        <w:tc>
          <w:tcPr>
            <w:tcW w:type="dxa" w:w="74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允许表级来源及字段级来源说明，后续转成正式血缘边时复用稳定 ID。</w:t>
            </w:r>
          </w:p>
        </w:tc>
      </w:tr>
      <w:tr>
        <w:trPr>
          <w:cantSplit/>
        </w:trPr>
        <w:tc>
          <w:tcPr>
            <w:tcW w:type="dxa" w:w="194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技术字段模板</w:t>
            </w:r>
          </w:p>
        </w:tc>
        <w:tc>
          <w:tcPr>
            <w:tcW w:type="dxa" w:w="74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按项目/分层配置推荐字段；用户确认后生成，禁止无提示强行注入字段。</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6.6 命名规范与检查规则</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08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规则 ID</w:t>
            </w:r>
          </w:p>
        </w:tc>
        <w:tc>
          <w:tcPr>
            <w:tcW w:type="dxa" w:w="511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规则内容</w:t>
            </w:r>
          </w:p>
        </w:tc>
        <w:tc>
          <w:tcPr>
            <w:tcW w:type="dxa" w:w="158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默认等级</w:t>
            </w:r>
          </w:p>
        </w:tc>
        <w:tc>
          <w:tcPr>
            <w:tcW w:type="dxa" w:w="158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是否阻断发布</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NAM-001</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物理表名符合所选引擎标识符规则</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NAM-002</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字段名符合配置的命名格式（如 snake_case）</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NAM-003</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同一表内字段名不重复（按引擎大小写规则归一化）</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MOD-001</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模型编码/物理表名在约定作用域内唯一</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MOD-002</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模型必须指定项目、主题域、数据分层和目标引擎配置</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COL-001</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字段逻辑类型、物理类型有效且具备映射</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COL-002</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DECIMAL 等类型必须在适用时提供精度/小数位且范围合法</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COL-003</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字段描述为空</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警告</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默认否，可配置</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KEY-001</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主键字段存在、不可空，复合键成员有效</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REL-001</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关系两端表/字段存在且类型兼容</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REL-002</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关系图不允许引用已删除字段</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SRC-001</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字段来源信息缺失</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提示/警告</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否</w:t>
            </w:r>
          </w:p>
        </w:tc>
      </w:tr>
      <w:tr>
        <w:trPr>
          <w:cantSplit/>
        </w:trPr>
        <w:tc>
          <w:tcPr>
            <w:tcW w:type="dxa" w:w="10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SEC-001</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敏感字段未标记或标记与项目策略冲突</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警告</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按项目配置</w:t>
            </w:r>
          </w:p>
        </w:tc>
      </w:tr>
      <w:tr>
        <w:trPr>
          <w:cantSplit/>
        </w:trPr>
        <w:tc>
          <w:tcPr>
            <w:tcW w:type="dxa" w:w="10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DDL-001</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目标引擎不支持配置的表属性/数据类型</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错误</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是</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6.7 规则引擎设计</w:t>
      </w:r>
    </w:p>
    <w:p>
      <w:pPr>
        <w:pStyle w:val="ListBullet"/>
        <w:spacing w:before="0" w:after="40" w:line="259" w:lineRule="auto"/>
      </w:pPr>
      <w:r>
        <w:rPr>
          <w:rFonts w:ascii="Microsoft YaHei" w:hAnsi="Microsoft YaHei" w:eastAsia="Microsoft YaHei"/>
          <w:sz w:val="19"/>
        </w:rPr>
        <w:t>规则定义需包含 rule_id、名称、适用对象、参数 Schema、严重级别、阻断标识、规则版本、启停状态和说明。</w:t>
      </w:r>
    </w:p>
    <w:p>
      <w:pPr>
        <w:pStyle w:val="ListBullet"/>
        <w:spacing w:before="0" w:after="40" w:line="259" w:lineRule="auto"/>
      </w:pPr>
      <w:r>
        <w:rPr>
          <w:rFonts w:ascii="Microsoft YaHei" w:hAnsi="Microsoft YaHei" w:eastAsia="Microsoft YaHei"/>
          <w:sz w:val="19"/>
        </w:rPr>
        <w:t>校验执行返回统一结构：rule_id、severity、object_type、object_id、message、suggestion、location、rule_version。</w:t>
      </w:r>
    </w:p>
    <w:p>
      <w:pPr>
        <w:pStyle w:val="ListBullet"/>
        <w:spacing w:before="0" w:after="40" w:line="259" w:lineRule="auto"/>
      </w:pPr>
      <w:r>
        <w:rPr>
          <w:rFonts w:ascii="Microsoft YaHei" w:hAnsi="Microsoft YaHei" w:eastAsia="Microsoft YaHei"/>
          <w:sz w:val="19"/>
        </w:rPr>
        <w:t>分为同步校验（页面保存/提交时的快速检查）与完整校验（提交评审/发布前检查）。</w:t>
      </w:r>
    </w:p>
    <w:p>
      <w:pPr>
        <w:pStyle w:val="ListBullet"/>
        <w:spacing w:before="0" w:after="40" w:line="259" w:lineRule="auto"/>
      </w:pPr>
      <w:r>
        <w:rPr>
          <w:rFonts w:ascii="Microsoft YaHei" w:hAnsi="Microsoft YaHei" w:eastAsia="Microsoft YaHei"/>
          <w:sz w:val="19"/>
        </w:rPr>
        <w:t>发布阻断规则不可通过普通用户的“忽略”动作绕过；如需例外，必须采用有权限的豁免流程并记录原因、批准人和有效范围。</w:t>
      </w:r>
    </w:p>
    <w:p>
      <w:pPr>
        <w:pStyle w:val="ListBullet"/>
        <w:spacing w:before="0" w:after="40" w:line="259" w:lineRule="auto"/>
      </w:pPr>
      <w:r>
        <w:rPr>
          <w:rFonts w:ascii="Microsoft YaHei" w:hAnsi="Microsoft YaHei" w:eastAsia="Microsoft YaHei"/>
          <w:sz w:val="19"/>
        </w:rPr>
        <w:t>校验结果是快照证据，需要保留执行时间、模型 revision、规则版本和执行器版本。</w:t>
      </w:r>
    </w:p>
    <w:p>
      <w:pPr>
        <w:pStyle w:val="Heading1"/>
        <w:keepNext/>
        <w:spacing w:before="240" w:after="100" w:line="252" w:lineRule="auto"/>
      </w:pPr>
      <w:r>
        <w:rPr>
          <w:rFonts w:ascii="Microsoft YaHei" w:hAnsi="Microsoft YaHei" w:eastAsia="Microsoft YaHei"/>
          <w:b/>
          <w:color w:val="17365D"/>
          <w:sz w:val="32"/>
        </w:rPr>
        <w:t>7. 核心领域对象与元数据模型</w:t>
      </w:r>
    </w:p>
    <w:p>
      <w:pPr>
        <w:pStyle w:val="Heading2"/>
        <w:keepNext/>
        <w:spacing w:before="160" w:after="100" w:line="252" w:lineRule="auto"/>
      </w:pPr>
      <w:r>
        <w:rPr>
          <w:rFonts w:ascii="Microsoft YaHei" w:hAnsi="Microsoft YaHei" w:eastAsia="Microsoft YaHei"/>
          <w:b/>
          <w:color w:val="2F75B5"/>
          <w:sz w:val="26"/>
        </w:rPr>
        <w:t>7.1 核心对象关系</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Project 1 ── N SubjectArea</w:t>
            </w:r>
            <w:r>
              <w:br/>
            </w:r>
            <w:r>
              <w:rPr>
                <w:rFonts w:ascii="Consolas" w:hAnsi="Consolas" w:eastAsia="Microsoft YaHei"/>
                <w:color w:val="333333"/>
                <w:sz w:val="16"/>
              </w:rPr>
              <w:t>Project 1 ── N BusinessRequirement</w:t>
            </w:r>
            <w:r>
              <w:br/>
            </w:r>
            <w:r>
              <w:rPr>
                <w:rFonts w:ascii="Consolas" w:hAnsi="Consolas" w:eastAsia="Microsoft YaHei"/>
                <w:color w:val="333333"/>
                <w:sz w:val="16"/>
              </w:rPr>
              <w:t>Project 1 ── N Model</w:t>
            </w:r>
            <w:r>
              <w:br/>
            </w:r>
            <w:r>
              <w:rPr>
                <w:rFonts w:ascii="Consolas" w:hAnsi="Consolas" w:eastAsia="Microsoft YaHei"/>
                <w:color w:val="333333"/>
                <w:sz w:val="16"/>
              </w:rPr>
              <w:t>Model 1 ── N ModelVersion</w:t>
            </w:r>
            <w:r>
              <w:br/>
            </w:r>
            <w:r>
              <w:rPr>
                <w:rFonts w:ascii="Consolas" w:hAnsi="Consolas" w:eastAsia="Microsoft YaHei"/>
                <w:color w:val="333333"/>
                <w:sz w:val="16"/>
              </w:rPr>
              <w:t>ModelVersion 1 ── N ModelTable（也可将 Model 视为单表模型，按实现简化）</w:t>
            </w:r>
            <w:r>
              <w:br/>
            </w:r>
            <w:r>
              <w:rPr>
                <w:rFonts w:ascii="Consolas" w:hAnsi="Consolas" w:eastAsia="Microsoft YaHei"/>
                <w:color w:val="333333"/>
                <w:sz w:val="16"/>
              </w:rPr>
              <w:t>ModelTable 1 ── N ModelColumn</w:t>
            </w:r>
            <w:r>
              <w:br/>
            </w:r>
            <w:r>
              <w:rPr>
                <w:rFonts w:ascii="Consolas" w:hAnsi="Consolas" w:eastAsia="Microsoft YaHei"/>
                <w:color w:val="333333"/>
                <w:sz w:val="16"/>
              </w:rPr>
              <w:t>ModelVersion 1 ── N ModelRelation</w:t>
            </w:r>
            <w:r>
              <w:br/>
            </w:r>
            <w:r>
              <w:rPr>
                <w:rFonts w:ascii="Consolas" w:hAnsi="Consolas" w:eastAsia="Microsoft YaHei"/>
                <w:color w:val="333333"/>
                <w:sz w:val="16"/>
              </w:rPr>
              <w:t>BusinessRequirement N ── N Model（通过 requirement_model_rel 关联）</w:t>
            </w:r>
            <w:r>
              <w:br/>
            </w:r>
            <w:r>
              <w:rPr>
                <w:rFonts w:ascii="Consolas" w:hAnsi="Consolas" w:eastAsia="Microsoft YaHei"/>
                <w:color w:val="333333"/>
                <w:sz w:val="16"/>
              </w:rPr>
              <w:t>ModelVersion 1 ── N ValidationRun / ReviewTask / PublicationRecord</w:t>
            </w:r>
            <w:r>
              <w:br/>
            </w:r>
            <w:r>
              <w:rPr>
                <w:rFonts w:ascii="Consolas" w:hAnsi="Consolas" w:eastAsia="Microsoft YaHei"/>
                <w:color w:val="333333"/>
                <w:sz w:val="16"/>
              </w:rPr>
              <w:t>EngineProfile 1 ── N ModelVersion（物理模型绑定目标引擎配置快照）</w:t>
            </w:r>
          </w:p>
        </w:tc>
      </w:tr>
    </w:tbl>
    <w:p>
      <w:pPr>
        <w:spacing w:before="0" w:after="40" w:line="276" w:lineRule="auto"/>
      </w:pPr>
    </w:p>
    <w:p>
      <w:pPr>
        <w:spacing w:before="0" w:after="80" w:line="276" w:lineRule="auto"/>
      </w:pPr>
      <w:r>
        <w:rPr>
          <w:rFonts w:ascii="Microsoft YaHei" w:hAnsi="Microsoft YaHei" w:eastAsia="Microsoft YaHei"/>
          <w:b w:val="0"/>
          <w:i w:val="0"/>
          <w:sz w:val="20"/>
        </w:rPr>
        <w:t>实现上建议将“模型”定义为可含一张或多张物理表的模型包，以支持同一设计范围下的实体关系图。若团队当前只打算管理单表，可以在前端简化为单表表单，但后端对象模型不宜过早限制为每个模型只能有一张表。</w:t>
      </w:r>
    </w:p>
    <w:p>
      <w:pPr>
        <w:pStyle w:val="Heading2"/>
        <w:keepNext/>
        <w:spacing w:before="160" w:after="100" w:line="252" w:lineRule="auto"/>
      </w:pPr>
      <w:r>
        <w:rPr>
          <w:rFonts w:ascii="Microsoft YaHei" w:hAnsi="Microsoft YaHei" w:eastAsia="Microsoft YaHei"/>
          <w:b/>
          <w:color w:val="2F75B5"/>
          <w:sz w:val="26"/>
        </w:rPr>
        <w:t>7.2 标识与命名</w:t>
      </w:r>
    </w:p>
    <w:p>
      <w:pPr>
        <w:pStyle w:val="ListBullet"/>
        <w:spacing w:before="0" w:after="40" w:line="259" w:lineRule="auto"/>
      </w:pPr>
      <w:r>
        <w:rPr>
          <w:rFonts w:ascii="Microsoft YaHei" w:hAnsi="Microsoft YaHei" w:eastAsia="Microsoft YaHei"/>
          <w:sz w:val="19"/>
        </w:rPr>
        <w:t>所有核心实体使用 UUID 或同等全局唯一主键；展示用编码（如 MDL-000123）与数据库主键分离。</w:t>
      </w:r>
    </w:p>
    <w:p>
      <w:pPr>
        <w:pStyle w:val="ListBullet"/>
        <w:spacing w:before="0" w:after="40" w:line="259" w:lineRule="auto"/>
      </w:pPr>
      <w:r>
        <w:rPr>
          <w:rFonts w:ascii="Microsoft YaHei" w:hAnsi="Microsoft YaHei" w:eastAsia="Microsoft YaHei"/>
          <w:sz w:val="19"/>
        </w:rPr>
        <w:t>物理表名、物理字段名不是主键，允许在新版本中变更；关系关联使用 table_id/column_id。</w:t>
      </w:r>
    </w:p>
    <w:p>
      <w:pPr>
        <w:pStyle w:val="ListBullet"/>
        <w:spacing w:before="0" w:after="40" w:line="259" w:lineRule="auto"/>
      </w:pPr>
      <w:r>
        <w:rPr>
          <w:rFonts w:ascii="Microsoft YaHei" w:hAnsi="Microsoft YaHei" w:eastAsia="Microsoft YaHei"/>
          <w:sz w:val="19"/>
        </w:rPr>
        <w:t>模型版本引用不可变的引擎配置快照或 profile_version，避免全局配置变化后旧版本 DDL 结果改变。</w:t>
      </w:r>
    </w:p>
    <w:p>
      <w:pPr>
        <w:pStyle w:val="ListBullet"/>
        <w:spacing w:before="0" w:after="40" w:line="259" w:lineRule="auto"/>
      </w:pPr>
      <w:r>
        <w:rPr>
          <w:rFonts w:ascii="Microsoft YaHei" w:hAnsi="Microsoft YaHei" w:eastAsia="Microsoft YaHei"/>
          <w:sz w:val="19"/>
        </w:rPr>
        <w:t>统一记录 created_at、created_by、updated_at、updated_by；软删除记录 deleted_at、deleted_by（适用对象）。</w:t>
      </w:r>
    </w:p>
    <w:p>
      <w:pPr>
        <w:pStyle w:val="Heading1"/>
        <w:keepNext/>
        <w:spacing w:before="240" w:after="100" w:line="252" w:lineRule="auto"/>
      </w:pPr>
      <w:r>
        <w:rPr>
          <w:rFonts w:ascii="Microsoft YaHei" w:hAnsi="Microsoft YaHei" w:eastAsia="Microsoft YaHei"/>
          <w:b/>
          <w:color w:val="17365D"/>
          <w:sz w:val="32"/>
        </w:rPr>
        <w:t>8. 数据库表设计建议</w:t>
      </w:r>
    </w:p>
    <w:p>
      <w:pPr>
        <w:spacing w:before="0" w:after="80" w:line="276" w:lineRule="auto"/>
      </w:pPr>
      <w:r>
        <w:rPr>
          <w:rFonts w:ascii="Microsoft YaHei" w:hAnsi="Microsoft YaHei" w:eastAsia="Microsoft YaHei"/>
          <w:b w:val="0"/>
          <w:i w:val="0"/>
          <w:sz w:val="20"/>
        </w:rPr>
        <w:t>平台自身元数据库建议使用 PostgreSQL。下表为逻辑级表设计，供研发进行详细字段类型、约束和索引评审；不等同于已经执行的建库脚本。审计、版本快照与高频查询字段应按实际规模补充索引。</w:t>
      </w:r>
    </w:p>
    <w:p>
      <w:pPr>
        <w:pStyle w:val="Heading2"/>
        <w:keepNext/>
        <w:spacing w:before="160" w:after="100" w:line="252" w:lineRule="auto"/>
      </w:pPr>
      <w:r>
        <w:rPr>
          <w:rFonts w:ascii="Microsoft YaHei" w:hAnsi="Microsoft YaHei" w:eastAsia="Microsoft YaHei"/>
          <w:b/>
          <w:color w:val="2F75B5"/>
          <w:sz w:val="26"/>
        </w:rPr>
        <w:t>8.1 核心表清单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4"/>
              </w:rPr>
              <w:t>表名</w:t>
            </w:r>
          </w:p>
        </w:tc>
        <w:tc>
          <w:tcPr>
            <w:tcW w:type="dxa" w:w="22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4"/>
              </w:rPr>
              <w:t>职责</w:t>
            </w:r>
          </w:p>
        </w:tc>
        <w:tc>
          <w:tcPr>
            <w:tcW w:type="dxa" w:w="432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4"/>
              </w:rPr>
              <w:t>关键字段/约束</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users / roles / user_roles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用户与角色</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user_id、username、status；username 唯一；密码采用标准密码哈希</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projects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项目/工作区</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project_id、code、name、owner_id、status；code 唯一</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project_members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项目授权</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project_id、user_id、role_id；组合唯一</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subject_areas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主题域</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subject_area_id、project_id、code、name、description；项目内 code 唯一</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data_layers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分层定义</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layer_id、project_id（可空表示全局模板）、code、name、sort_order、rules_json</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business_requirements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业务需求</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requirement_id、project_id、code、title、business_goal、priority、status、owner_id</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requirement_model_rel</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需求与模型关联</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requirement_id、model_id、relation_type；组合唯一</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models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模型稳定身份</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model_id、project_id、code、name、model_type、subject_area_id、layer_id、owner_id、lifecycle_status</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model_versions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模型版本快照</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version_id、model_id、revision_no、version_no、status、snapshot_json、content_hash、engine_profile_snapshot、created_by</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model_tables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模型中的表</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table_id、version_id、physical_name、logical_name、table_type、description、properties_json</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model_columns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字段定义</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column_id、table_id、ordinal、physical_name、logical_name、logical_type、physical_type、nullable、default_value、is_primary_key、description、source_ref、sensitivity</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model_keys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键定义</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key_id、table_id、key_type、name；键成员通过 model_key_columns 维护顺序</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model_key_columns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键成员</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key_id、column_id、ordinal；复合键按 ordinal 排序</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model_relations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模型关系</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relation_id、version_id、from_table_id、to_table_id、cardinality、relation_type、join_conditions_json</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engine_profiles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引擎配置</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profile_id、engine_code、dialect_code、display_name、capabilities_json、status</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engine_profile_versions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引擎配置版本</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profile_version_id、profile_id、type_mapping_json、ddl_options_json、version_no、content_hash</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naming_rules / validation_rules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规范与校验规则</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rule_id、scope、parameters_json、severity、blocking、rule_version、enabled</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validation_runs / validation_issues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校验执行与问题</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run_id、version_id、rule_set_version、status；issue 包含对象定位、规则与建议</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review_tasks / review_comments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评审任务与意见</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task_id、version_id、reviewer_id、decision、submitted_at；评论保存对象定位</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publication_records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正式发布记录</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publication_id、version_id、published_by、published_at、artifacts_manifest_json</w:t>
            </w:r>
          </w:p>
        </w:tc>
      </w:tr>
      <w:tr>
        <w:trPr>
          <w:cantSplit/>
        </w:trPr>
        <w:tc>
          <w:tcPr>
            <w:tcW w:type="dxa" w:w="237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audit_logs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审计日志</w:t>
            </w:r>
          </w:p>
        </w:tc>
        <w:tc>
          <w:tcPr>
            <w:tcW w:type="dxa" w:w="432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4"/>
              </w:rPr>
              <w:t>actor_id、action、resource_type、resource_id、result、request_id、occurred_at、details_json</w:t>
            </w:r>
          </w:p>
        </w:tc>
      </w:tr>
      <w:tr>
        <w:trPr>
          <w:cantSplit/>
        </w:trPr>
        <w:tc>
          <w:tcPr>
            <w:tcW w:type="dxa" w:w="237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attachments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附件元数据</w:t>
            </w:r>
          </w:p>
        </w:tc>
        <w:tc>
          <w:tcPr>
            <w:tcW w:type="dxa" w:w="432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4"/>
              </w:rPr>
              <w:t>attachment_id、owner_type、owner_id、storage_key、filename、mime_type、size、checksum</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8.2 重点表字段建议</w:t>
      </w:r>
    </w:p>
    <w:p>
      <w:pPr>
        <w:pStyle w:val="Heading3"/>
        <w:keepNext/>
        <w:spacing w:before="160" w:after="100" w:line="252" w:lineRule="auto"/>
      </w:pPr>
      <w:r>
        <w:rPr>
          <w:rFonts w:ascii="Microsoft YaHei" w:hAnsi="Microsoft YaHei" w:eastAsia="Microsoft YaHei"/>
          <w:b/>
          <w:color w:val="222222"/>
          <w:sz w:val="22"/>
        </w:rPr>
        <w:t>models（模型稳定身份）</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字段</w:t>
            </w:r>
          </w:p>
        </w:tc>
        <w:tc>
          <w:tcPr>
            <w:tcW w:type="dxa" w:w="20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类型建议</w:t>
            </w:r>
          </w:p>
        </w:tc>
        <w:tc>
          <w:tcPr>
            <w:tcW w:type="dxa" w:w="40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说明</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model_id</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主键，不对外暴露为人工编码</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project_id</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所属项目，外键</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code</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VARCHAR(100)</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模型编码，建议项目范围内唯一</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name</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VARCHAR(200)</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模型显示名称</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model_type</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VARCHAR(40)</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如 DIMENSION/FACT/DETAIL/SUMMARY/SERVICE</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subject_area_id / layer_id</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主题域与分层</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owner_id</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模型负责人</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lifecycle_status</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VARCHAR(30)</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ACTIVE/ARCHIVED 等；与版本状态分离</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latest_published_version_id</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UUID NULL</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最新发布版本引用；需处理循环外键或应用层更新</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created_at / updated_at</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TIMESTAMPTZ</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审计字段</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row_version</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BIGINT</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乐观锁版本号</w:t>
            </w:r>
          </w:p>
        </w:tc>
      </w:tr>
    </w:tbl>
    <w:p>
      <w:pPr>
        <w:spacing w:before="0" w:after="20" w:line="276" w:lineRule="auto"/>
      </w:pPr>
    </w:p>
    <w:p>
      <w:pPr>
        <w:pStyle w:val="Heading3"/>
        <w:keepNext/>
        <w:spacing w:before="160" w:after="100" w:line="252" w:lineRule="auto"/>
      </w:pPr>
      <w:r>
        <w:rPr>
          <w:rFonts w:ascii="Microsoft YaHei" w:hAnsi="Microsoft YaHei" w:eastAsia="Microsoft YaHei"/>
          <w:b/>
          <w:color w:val="222222"/>
          <w:sz w:val="22"/>
        </w:rPr>
        <w:t>model_versions（模型版本）</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字段</w:t>
            </w:r>
          </w:p>
        </w:tc>
        <w:tc>
          <w:tcPr>
            <w:tcW w:type="dxa" w:w="20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类型建议</w:t>
            </w:r>
          </w:p>
        </w:tc>
        <w:tc>
          <w:tcPr>
            <w:tcW w:type="dxa" w:w="40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说明</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version_id</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版本快照主键</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model_id</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所属模型</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revision_no</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INTEGER</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模型内部修订序号</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version_no</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VARCHAR(50) NULL</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对外正式版本号，如 1.0.0</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status</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VARCHAR(30)</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DRAFT/IN_REVIEW/APPROVED/PUBLISHED/ARCHIVED 等</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snapshot_json</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JSONB</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完整模型快照；用于评审/发布可复现</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content_hash</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VARCHAR(128)</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对规范化快照计算的哈希</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engine_profile_version_id</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UUID</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绑定引擎配置版本</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validation_summary_json</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JSONB</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提交/发布时校验摘要</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change_summary</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TEXT</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变更摘要/变更原因</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created_by / created_at</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UUID / TIMESTAMPTZ</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创建信息</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published_at</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TIMESTAMPTZ NULL</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正式发布时填充</w:t>
            </w:r>
          </w:p>
        </w:tc>
      </w:tr>
    </w:tbl>
    <w:p>
      <w:pPr>
        <w:spacing w:before="0" w:after="20" w:line="276" w:lineRule="auto"/>
      </w:pPr>
    </w:p>
    <w:p>
      <w:pPr>
        <w:pStyle w:val="Heading3"/>
        <w:keepNext/>
        <w:spacing w:before="160" w:after="100" w:line="252" w:lineRule="auto"/>
      </w:pPr>
      <w:r>
        <w:rPr>
          <w:rFonts w:ascii="Microsoft YaHei" w:hAnsi="Microsoft YaHei" w:eastAsia="Microsoft YaHei"/>
          <w:b/>
          <w:color w:val="222222"/>
          <w:sz w:val="22"/>
        </w:rPr>
        <w:t>model_columns（字段）</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字段</w:t>
            </w:r>
          </w:p>
        </w:tc>
        <w:tc>
          <w:tcPr>
            <w:tcW w:type="dxa" w:w="20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类型建议</w:t>
            </w:r>
          </w:p>
        </w:tc>
        <w:tc>
          <w:tcPr>
            <w:tcW w:type="dxa" w:w="40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说明</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column_id</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UUID</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版本内稳定标识；跨版本字段匹配优先使用 column lineage key 或相邻版本映射</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table_id</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UUID</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所属模型表</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ordinal</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INTEGER</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字段顺序，从 1 开始</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physical_name</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VARCHAR(128)</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物理字段名</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logical_name</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VARCHAR(200)</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业务显示名</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logical_type</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VARCHAR(40)</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统一逻辑类型</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physical_type</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VARCHAR(128)</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目标引擎物理类型表达</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length / precision / scale</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INTEGER NULL</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类型参数按类型适用</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nullable</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BOOLEAN</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是否允许为空</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default_kind / default_value</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VARCHAR/TEXT</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区分 NULL、字面量、表达式</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is_primary_key</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BOOLEAN</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便于查询的冗余标记；以键定义表为准</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description</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TEXT</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业务定义</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source_ref_json</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JSONB</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来源系统/表/字段等结构化引用</w:t>
            </w:r>
          </w:p>
        </w:tc>
      </w:tr>
      <w:tr>
        <w:trPr>
          <w:cantSplit/>
        </w:trPr>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sensitivity</w:t>
            </w:r>
          </w:p>
        </w:tc>
        <w:tc>
          <w:tcPr>
            <w:tcW w:type="dxa" w:w="20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VARCHAR(30)</w:t>
            </w:r>
          </w:p>
        </w:tc>
        <w:tc>
          <w:tcPr>
            <w:tcW w:type="dxa" w:w="40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敏感等级</w:t>
            </w:r>
          </w:p>
        </w:tc>
      </w:tr>
      <w:tr>
        <w:trPr>
          <w:cantSplit/>
        </w:trPr>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properties_json</w:t>
            </w:r>
          </w:p>
        </w:tc>
        <w:tc>
          <w:tcPr>
            <w:tcW w:type="dxa" w:w="20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JSONB</w:t>
            </w:r>
          </w:p>
        </w:tc>
        <w:tc>
          <w:tcPr>
            <w:tcW w:type="dxa" w:w="40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引擎特有扩展属性</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8.3 约束、索引与一致性</w:t>
      </w:r>
    </w:p>
    <w:p>
      <w:pPr>
        <w:pStyle w:val="ListBullet"/>
        <w:spacing w:before="0" w:after="40" w:line="259" w:lineRule="auto"/>
      </w:pPr>
      <w:r>
        <w:rPr>
          <w:rFonts w:ascii="Microsoft YaHei" w:hAnsi="Microsoft YaHei" w:eastAsia="Microsoft YaHei"/>
          <w:sz w:val="19"/>
        </w:rPr>
        <w:t>为列表高频条件建立组合索引：models(project_id, lifecycle_status)、model_versions(model_id, created_at)、business_requirements(project_id, status)、review_tasks(reviewer_id, status)。</w:t>
      </w:r>
    </w:p>
    <w:p>
      <w:pPr>
        <w:pStyle w:val="ListBullet"/>
        <w:spacing w:before="0" w:after="40" w:line="259" w:lineRule="auto"/>
      </w:pPr>
      <w:r>
        <w:rPr>
          <w:rFonts w:ascii="Microsoft YaHei" w:hAnsi="Microsoft YaHei" w:eastAsia="Microsoft YaHei"/>
          <w:sz w:val="19"/>
        </w:rPr>
        <w:t>为 project/code、project/subject-area code、model_id/revision_no、model_id/version_no（非空时）设置唯一约束。</w:t>
      </w:r>
    </w:p>
    <w:p>
      <w:pPr>
        <w:pStyle w:val="ListBullet"/>
        <w:spacing w:before="0" w:after="40" w:line="259" w:lineRule="auto"/>
      </w:pPr>
      <w:r>
        <w:rPr>
          <w:rFonts w:ascii="Microsoft YaHei" w:hAnsi="Microsoft YaHei" w:eastAsia="Microsoft YaHei"/>
          <w:sz w:val="19"/>
        </w:rPr>
        <w:t>表/字段/关系须归属于同一版本；提交评审后，快照关联对象禁止修改。可采用版本级 JSONB 快照 + 规范化子表双存储：子表服务编辑和查询，JSONB 快照保证不可变复现。</w:t>
      </w:r>
    </w:p>
    <w:p>
      <w:pPr>
        <w:pStyle w:val="ListBullet"/>
        <w:spacing w:before="0" w:after="40" w:line="259" w:lineRule="auto"/>
      </w:pPr>
      <w:r>
        <w:rPr>
          <w:rFonts w:ascii="Microsoft YaHei" w:hAnsi="Microsoft YaHei" w:eastAsia="Microsoft YaHei"/>
          <w:sz w:val="19"/>
        </w:rPr>
        <w:t>JSONB 适合保存可变的引擎属性、快照和规则参数，不应把所有核心字段都塞进一个无结构 JSON。</w:t>
      </w:r>
    </w:p>
    <w:p>
      <w:pPr>
        <w:pStyle w:val="ListBullet"/>
        <w:spacing w:before="0" w:after="40" w:line="259" w:lineRule="auto"/>
      </w:pPr>
      <w:r>
        <w:rPr>
          <w:rFonts w:ascii="Microsoft YaHei" w:hAnsi="Microsoft YaHei" w:eastAsia="Microsoft YaHei"/>
          <w:sz w:val="19"/>
        </w:rPr>
        <w:t>删除操作优先软删除；通过外键限制误删；正式版本和审计记录长期保留，保留期限由企业制度确定。</w:t>
      </w:r>
    </w:p>
    <w:p>
      <w:pPr>
        <w:pStyle w:val="Heading1"/>
        <w:keepNext/>
        <w:spacing w:before="240" w:after="100" w:line="252" w:lineRule="auto"/>
      </w:pPr>
      <w:r>
        <w:rPr>
          <w:rFonts w:ascii="Microsoft YaHei" w:hAnsi="Microsoft YaHei" w:eastAsia="Microsoft YaHei"/>
          <w:b/>
          <w:color w:val="17365D"/>
          <w:sz w:val="32"/>
        </w:rPr>
        <w:t>9. API 接口设计约定</w:t>
      </w:r>
    </w:p>
    <w:p>
      <w:pPr>
        <w:pStyle w:val="Heading2"/>
        <w:keepNext/>
        <w:spacing w:before="160" w:after="100" w:line="252" w:lineRule="auto"/>
      </w:pPr>
      <w:r>
        <w:rPr>
          <w:rFonts w:ascii="Microsoft YaHei" w:hAnsi="Microsoft YaHei" w:eastAsia="Microsoft YaHei"/>
          <w:b/>
          <w:color w:val="2F75B5"/>
          <w:sz w:val="26"/>
        </w:rPr>
        <w:t>9.1 通用约定</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项</w:t>
            </w:r>
          </w:p>
        </w:tc>
        <w:tc>
          <w:tcPr>
            <w:tcW w:type="dxa" w:w="74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约定</w:t>
            </w:r>
          </w:p>
        </w:tc>
      </w:tr>
      <w:tr>
        <w:trPr>
          <w:cantSplit/>
        </w:trPr>
        <w:tc>
          <w:tcPr>
            <w:tcW w:type="dxa" w:w="18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前缀</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/api/v1</w:t>
            </w:r>
          </w:p>
        </w:tc>
      </w:tr>
      <w:tr>
        <w:trPr>
          <w:cantSplit/>
        </w:trPr>
        <w:tc>
          <w:tcPr>
            <w:tcW w:type="dxa" w:w="18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格式</w:t>
            </w:r>
          </w:p>
        </w:tc>
        <w:tc>
          <w:tcPr>
            <w:tcW w:type="dxa" w:w="74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请求与响应以 JSON 为主；文件导入导出使用 multipart/form-data 或下载流</w:t>
            </w:r>
          </w:p>
        </w:tc>
      </w:tr>
      <w:tr>
        <w:trPr>
          <w:cantSplit/>
        </w:trPr>
        <w:tc>
          <w:tcPr>
            <w:tcW w:type="dxa" w:w="18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认证</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Bearer Token；生产环境接入企业 SSO/OIDC 可作为后续迭代</w:t>
            </w:r>
          </w:p>
        </w:tc>
      </w:tr>
      <w:tr>
        <w:trPr>
          <w:cantSplit/>
        </w:trPr>
        <w:tc>
          <w:tcPr>
            <w:tcW w:type="dxa" w:w="18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分页</w:t>
            </w:r>
          </w:p>
        </w:tc>
        <w:tc>
          <w:tcPr>
            <w:tcW w:type="dxa" w:w="74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page、page_size；默认 20，最大 200；返回 total、items</w:t>
            </w:r>
          </w:p>
        </w:tc>
      </w:tr>
      <w:tr>
        <w:trPr>
          <w:cantSplit/>
        </w:trPr>
        <w:tc>
          <w:tcPr>
            <w:tcW w:type="dxa" w:w="18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时间</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RFC 3339 / ISO 8601，统一存 UTC，前端按用户时区展示</w:t>
            </w:r>
          </w:p>
        </w:tc>
      </w:tr>
      <w:tr>
        <w:trPr>
          <w:cantSplit/>
        </w:trPr>
        <w:tc>
          <w:tcPr>
            <w:tcW w:type="dxa" w:w="18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错误结构</w:t>
            </w:r>
          </w:p>
        </w:tc>
        <w:tc>
          <w:tcPr>
            <w:tcW w:type="dxa" w:w="74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code、message、details、request_id；不返回堆栈和敏感配置</w:t>
            </w:r>
          </w:p>
        </w:tc>
      </w:tr>
      <w:tr>
        <w:trPr>
          <w:cantSplit/>
        </w:trPr>
        <w:tc>
          <w:tcPr>
            <w:tcW w:type="dxa" w:w="18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并发</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模型修改接口要求 row_version 或 If-Match；冲突返回 409</w:t>
            </w:r>
          </w:p>
        </w:tc>
      </w:tr>
      <w:tr>
        <w:trPr>
          <w:cantSplit/>
        </w:trPr>
        <w:tc>
          <w:tcPr>
            <w:tcW w:type="dxa" w:w="18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幂等</w:t>
            </w:r>
          </w:p>
        </w:tc>
        <w:tc>
          <w:tcPr>
            <w:tcW w:type="dxa" w:w="74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创建/提交/发布等关键请求可支持 Idempotency-Key，避免重复操作</w:t>
            </w:r>
          </w:p>
        </w:tc>
      </w:tr>
      <w:tr>
        <w:trPr>
          <w:cantSplit/>
        </w:trPr>
        <w:tc>
          <w:tcPr>
            <w:tcW w:type="dxa" w:w="18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审计</w:t>
            </w:r>
          </w:p>
        </w:tc>
        <w:tc>
          <w:tcPr>
            <w:tcW w:type="dxa" w:w="74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创建、修改、提交、审批、发布、下载敏感交付物、权限变更记录审计</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9.2 MVP 接口目录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8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方法与路径</w:t>
            </w:r>
          </w:p>
        </w:tc>
        <w:tc>
          <w:tcPr>
            <w:tcW w:type="dxa" w:w="22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用途</w:t>
            </w:r>
          </w:p>
        </w:tc>
        <w:tc>
          <w:tcPr>
            <w:tcW w:type="dxa" w:w="316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关键约束</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GET /projects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项目列表</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按用户项目权限过滤</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POST /projects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创建项目</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项目编码唯一</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GET /projects/{id}/subject-areas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主题域列表</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检查项目访问权限</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POST /requirements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创建需求</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自动生成需求编码或校验编码唯一</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PATCH /requirements/{id}</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修改需求</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已关闭需求修改需有权限并留痕</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GET /models</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模型分页查询</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支持项目/主题域/分层/状态/负责人筛选</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POST /models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创建模型草稿</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创建模型身份及首个草稿版本</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GET /models/{id}/versions/{version_id}</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获取模型版本</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按版本权限返回定义和快照</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PUT /model-versions/{id}/definition</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保存模型设计</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携带 row_version；校验结构完整性</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POST /model-versions/{id}/validate</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执行校验</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返回校验问题清单与摘要</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POST /model-versions/{id}/submit-review</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提交评审</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仅草稿/已退回状态；校验阻断规则</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POST /review-tasks/{id}/decision</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评审通过/退回</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decision、comment 必填；操作人必须为指派评审人</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POST /model-versions/{id}/publish</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发布版本</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必须 APPROVED；重新执行发布级校验</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GET /model-versions/{id}/diff?base={version_id}</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版本差异</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输出表/字段新增、修改、删除及属性变更</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GET /model-versions/{id}/ddl?profile_version_id=...</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生成 DDL 预览</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仅返回 SQL；不执行目标数据库写操作</w:t>
            </w:r>
          </w:p>
        </w:tc>
      </w:tr>
      <w:tr>
        <w:trPr>
          <w:cantSplit/>
        </w:trPr>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GET /model-versions/{id}/dictionary</w:t>
            </w:r>
          </w:p>
        </w:tc>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导出数据字典</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交付件必须绑定确定的版本快照</w:t>
            </w:r>
          </w:p>
        </w:tc>
      </w:tr>
      <w:tr>
        <w:trPr>
          <w:cantSplit/>
        </w:trPr>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GET /audit-logs</w:t>
            </w:r>
          </w:p>
        </w:tc>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审计日志查询</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仅审计角色或授权管理员可访问</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9.3 示例：保存模型定义</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PUT /api/v1/model-versions/{version_id}/definition</w:t>
            </w:r>
            <w:r>
              <w:br/>
            </w:r>
            <w:r>
              <w:rPr>
                <w:rFonts w:ascii="Consolas" w:hAnsi="Consolas" w:eastAsia="Microsoft YaHei"/>
                <w:color w:val="333333"/>
                <w:sz w:val="16"/>
              </w:rPr>
              <w:t>If-Match: "row_version-7"</w:t>
            </w:r>
            <w:r>
              <w:br/>
            </w:r>
            <w:r>
              <w:rPr>
                <w:rFonts w:ascii="Consolas" w:hAnsi="Consolas" w:eastAsia="Microsoft YaHei"/>
                <w:color w:val="333333"/>
                <w:sz w:val="16"/>
              </w:rPr>
              <w:t>Content-Type: application/json</w:t>
            </w:r>
            <w:r>
              <w:br/>
            </w:r>
            <w:r>
              <w:rPr>
                <w:rFonts w:ascii="Consolas" w:hAnsi="Consolas" w:eastAsia="Microsoft YaHei"/>
                <w:color w:val="333333"/>
                <w:sz w:val="16"/>
              </w:rPr>
            </w:r>
            <w:r>
              <w:br/>
            </w:r>
            <w:r>
              <w:rPr>
                <w:rFonts w:ascii="Consolas" w:hAnsi="Consolas" w:eastAsia="Microsoft YaHei"/>
                <w:color w:val="333333"/>
                <w:sz w:val="16"/>
              </w:rPr>
              <w:t>{</w:t>
            </w:r>
            <w:r>
              <w:br/>
            </w:r>
            <w:r>
              <w:rPr>
                <w:rFonts w:ascii="Consolas" w:hAnsi="Consolas" w:eastAsia="Microsoft YaHei"/>
                <w:color w:val="333333"/>
                <w:sz w:val="16"/>
              </w:rPr>
              <w:t xml:space="preserve">  "row_version": 7,</w:t>
            </w:r>
            <w:r>
              <w:br/>
            </w:r>
            <w:r>
              <w:rPr>
                <w:rFonts w:ascii="Consolas" w:hAnsi="Consolas" w:eastAsia="Microsoft YaHei"/>
                <w:color w:val="333333"/>
                <w:sz w:val="16"/>
              </w:rPr>
              <w:t xml:space="preserve">  "tables": [{</w:t>
            </w:r>
            <w:r>
              <w:br/>
            </w:r>
            <w:r>
              <w:rPr>
                <w:rFonts w:ascii="Consolas" w:hAnsi="Consolas" w:eastAsia="Microsoft YaHei"/>
                <w:color w:val="333333"/>
                <w:sz w:val="16"/>
              </w:rPr>
              <w:t xml:space="preserve">    "table_id": "&lt;uuid&gt;",</w:t>
            </w:r>
            <w:r>
              <w:br/>
            </w:r>
            <w:r>
              <w:rPr>
                <w:rFonts w:ascii="Consolas" w:hAnsi="Consolas" w:eastAsia="Microsoft YaHei"/>
                <w:color w:val="333333"/>
                <w:sz w:val="16"/>
              </w:rPr>
              <w:t xml:space="preserve">    "physical_name": "dwd_contract_detail",</w:t>
            </w:r>
            <w:r>
              <w:br/>
            </w:r>
            <w:r>
              <w:rPr>
                <w:rFonts w:ascii="Consolas" w:hAnsi="Consolas" w:eastAsia="Microsoft YaHei"/>
                <w:color w:val="333333"/>
                <w:sz w:val="16"/>
              </w:rPr>
              <w:t xml:space="preserve">    "logical_name": "合同明细",</w:t>
            </w:r>
            <w:r>
              <w:br/>
            </w:r>
            <w:r>
              <w:rPr>
                <w:rFonts w:ascii="Consolas" w:hAnsi="Consolas" w:eastAsia="Microsoft YaHei"/>
                <w:color w:val="333333"/>
                <w:sz w:val="16"/>
              </w:rPr>
              <w:t xml:space="preserve">    "columns": [{</w:t>
            </w:r>
            <w:r>
              <w:br/>
            </w:r>
            <w:r>
              <w:rPr>
                <w:rFonts w:ascii="Consolas" w:hAnsi="Consolas" w:eastAsia="Microsoft YaHei"/>
                <w:color w:val="333333"/>
                <w:sz w:val="16"/>
              </w:rPr>
              <w:t xml:space="preserve">      "physical_name": "contract_id",</w:t>
            </w:r>
            <w:r>
              <w:br/>
            </w:r>
            <w:r>
              <w:rPr>
                <w:rFonts w:ascii="Consolas" w:hAnsi="Consolas" w:eastAsia="Microsoft YaHei"/>
                <w:color w:val="333333"/>
                <w:sz w:val="16"/>
              </w:rPr>
              <w:t xml:space="preserve">      "logical_name": "合同编号",</w:t>
            </w:r>
            <w:r>
              <w:br/>
            </w:r>
            <w:r>
              <w:rPr>
                <w:rFonts w:ascii="Consolas" w:hAnsi="Consolas" w:eastAsia="Microsoft YaHei"/>
                <w:color w:val="333333"/>
                <w:sz w:val="16"/>
              </w:rPr>
              <w:t xml:space="preserve">      "logical_type": "STRING",</w:t>
            </w:r>
            <w:r>
              <w:br/>
            </w:r>
            <w:r>
              <w:rPr>
                <w:rFonts w:ascii="Consolas" w:hAnsi="Consolas" w:eastAsia="Microsoft YaHei"/>
                <w:color w:val="333333"/>
                <w:sz w:val="16"/>
              </w:rPr>
              <w:t xml:space="preserve">      "physical_type": "VARCHAR(64)",</w:t>
            </w:r>
            <w:r>
              <w:br/>
            </w:r>
            <w:r>
              <w:rPr>
                <w:rFonts w:ascii="Consolas" w:hAnsi="Consolas" w:eastAsia="Microsoft YaHei"/>
                <w:color w:val="333333"/>
                <w:sz w:val="16"/>
              </w:rPr>
              <w:t xml:space="preserve">      "nullable": false,</w:t>
            </w:r>
            <w:r>
              <w:br/>
            </w:r>
            <w:r>
              <w:rPr>
                <w:rFonts w:ascii="Consolas" w:hAnsi="Consolas" w:eastAsia="Microsoft YaHei"/>
                <w:color w:val="333333"/>
                <w:sz w:val="16"/>
              </w:rPr>
              <w:t xml:space="preserve">      "description": "合同的业务标识"</w:t>
            </w:r>
            <w:r>
              <w:br/>
            </w:r>
            <w:r>
              <w:rPr>
                <w:rFonts w:ascii="Consolas" w:hAnsi="Consolas" w:eastAsia="Microsoft YaHei"/>
                <w:color w:val="333333"/>
                <w:sz w:val="16"/>
              </w:rPr>
              <w:t xml:space="preserve">    }]</w:t>
            </w:r>
            <w:r>
              <w:br/>
            </w:r>
            <w:r>
              <w:rPr>
                <w:rFonts w:ascii="Consolas" w:hAnsi="Consolas" w:eastAsia="Microsoft YaHei"/>
                <w:color w:val="333333"/>
                <w:sz w:val="16"/>
              </w:rPr>
              <w:t xml:space="preserve">  }]</w:t>
            </w:r>
            <w:r>
              <w:br/>
            </w:r>
            <w:r>
              <w:rPr>
                <w:rFonts w:ascii="Consolas" w:hAnsi="Consolas" w:eastAsia="Microsoft YaHei"/>
                <w:color w:val="333333"/>
                <w:sz w:val="16"/>
              </w:rPr>
              <w:t>}</w:t>
            </w:r>
          </w:p>
        </w:tc>
      </w:tr>
    </w:tbl>
    <w:p>
      <w:pPr>
        <w:spacing w:before="0" w:after="40" w:line="276" w:lineRule="auto"/>
      </w:pPr>
    </w:p>
    <w:p>
      <w:pPr>
        <w:pStyle w:val="Heading3"/>
        <w:keepNext/>
        <w:spacing w:before="160" w:after="100" w:line="252" w:lineRule="auto"/>
      </w:pPr>
      <w:r>
        <w:rPr>
          <w:rFonts w:ascii="Microsoft YaHei" w:hAnsi="Microsoft YaHei" w:eastAsia="Microsoft YaHei"/>
          <w:b/>
          <w:color w:val="222222"/>
          <w:sz w:val="22"/>
        </w:rPr>
        <w:t>9.4 示例：校验响应</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w:t>
            </w:r>
            <w:r>
              <w:br/>
            </w:r>
            <w:r>
              <w:rPr>
                <w:rFonts w:ascii="Consolas" w:hAnsi="Consolas" w:eastAsia="Microsoft YaHei"/>
                <w:color w:val="333333"/>
                <w:sz w:val="16"/>
              </w:rPr>
              <w:t xml:space="preserve">  "run_id": "&lt;uuid&gt;",</w:t>
            </w:r>
            <w:r>
              <w:br/>
            </w:r>
            <w:r>
              <w:rPr>
                <w:rFonts w:ascii="Consolas" w:hAnsi="Consolas" w:eastAsia="Microsoft YaHei"/>
                <w:color w:val="333333"/>
                <w:sz w:val="16"/>
              </w:rPr>
              <w:t xml:space="preserve">  "status": "FAILED",</w:t>
            </w:r>
            <w:r>
              <w:br/>
            </w:r>
            <w:r>
              <w:rPr>
                <w:rFonts w:ascii="Consolas" w:hAnsi="Consolas" w:eastAsia="Microsoft YaHei"/>
                <w:color w:val="333333"/>
                <w:sz w:val="16"/>
              </w:rPr>
              <w:t xml:space="preserve">  "summary": {"errors": 1, "warnings": 2, "infos": 0},</w:t>
            </w:r>
            <w:r>
              <w:br/>
            </w:r>
            <w:r>
              <w:rPr>
                <w:rFonts w:ascii="Consolas" w:hAnsi="Consolas" w:eastAsia="Microsoft YaHei"/>
                <w:color w:val="333333"/>
                <w:sz w:val="16"/>
              </w:rPr>
              <w:t xml:space="preserve">  "issues": [{</w:t>
            </w:r>
            <w:r>
              <w:br/>
            </w:r>
            <w:r>
              <w:rPr>
                <w:rFonts w:ascii="Consolas" w:hAnsi="Consolas" w:eastAsia="Microsoft YaHei"/>
                <w:color w:val="333333"/>
                <w:sz w:val="16"/>
              </w:rPr>
              <w:t xml:space="preserve">    "rule_id": "COL-001",</w:t>
            </w:r>
            <w:r>
              <w:br/>
            </w:r>
            <w:r>
              <w:rPr>
                <w:rFonts w:ascii="Consolas" w:hAnsi="Consolas" w:eastAsia="Microsoft YaHei"/>
                <w:color w:val="333333"/>
                <w:sz w:val="16"/>
              </w:rPr>
              <w:t xml:space="preserve">    "severity": "ERROR",</w:t>
            </w:r>
            <w:r>
              <w:br/>
            </w:r>
            <w:r>
              <w:rPr>
                <w:rFonts w:ascii="Consolas" w:hAnsi="Consolas" w:eastAsia="Microsoft YaHei"/>
                <w:color w:val="333333"/>
                <w:sz w:val="16"/>
              </w:rPr>
              <w:t xml:space="preserve">    "object_type": "COLUMN",</w:t>
            </w:r>
            <w:r>
              <w:br/>
            </w:r>
            <w:r>
              <w:rPr>
                <w:rFonts w:ascii="Consolas" w:hAnsi="Consolas" w:eastAsia="Microsoft YaHei"/>
                <w:color w:val="333333"/>
                <w:sz w:val="16"/>
              </w:rPr>
              <w:t xml:space="preserve">    "object_id": "&lt;uuid&gt;",</w:t>
            </w:r>
            <w:r>
              <w:br/>
            </w:r>
            <w:r>
              <w:rPr>
                <w:rFonts w:ascii="Consolas" w:hAnsi="Consolas" w:eastAsia="Microsoft YaHei"/>
                <w:color w:val="333333"/>
                <w:sz w:val="16"/>
              </w:rPr>
              <w:t xml:space="preserve">    "message": "目标引擎没有为该逻辑类型配置物理类型映射",</w:t>
            </w:r>
            <w:r>
              <w:br/>
            </w:r>
            <w:r>
              <w:rPr>
                <w:rFonts w:ascii="Consolas" w:hAnsi="Consolas" w:eastAsia="Microsoft YaHei"/>
                <w:color w:val="333333"/>
                <w:sz w:val="16"/>
              </w:rPr>
              <w:t xml:space="preserve">    "suggestion": "选择有效物理类型或维护该引擎的类型映射"</w:t>
            </w:r>
            <w:r>
              <w:br/>
            </w:r>
            <w:r>
              <w:rPr>
                <w:rFonts w:ascii="Consolas" w:hAnsi="Consolas" w:eastAsia="Microsoft YaHei"/>
                <w:color w:val="333333"/>
                <w:sz w:val="16"/>
              </w:rPr>
              <w:t xml:space="preserve">  }]</w:t>
            </w:r>
            <w:r>
              <w:br/>
            </w:r>
            <w:r>
              <w:rPr>
                <w:rFonts w:ascii="Consolas" w:hAnsi="Consolas" w:eastAsia="Microsoft YaHei"/>
                <w:color w:val="333333"/>
                <w:sz w:val="16"/>
              </w:rPr>
              <w:t>}</w:t>
            </w:r>
          </w:p>
        </w:tc>
      </w:tr>
    </w:tbl>
    <w:p>
      <w:pPr>
        <w:spacing w:before="0" w:after="40" w:line="276" w:lineRule="auto"/>
      </w:pPr>
    </w:p>
    <w:p>
      <w:pPr>
        <w:pStyle w:val="Heading3"/>
        <w:keepNext/>
        <w:spacing w:before="160" w:after="100" w:line="252" w:lineRule="auto"/>
      </w:pPr>
      <w:r>
        <w:rPr>
          <w:rFonts w:ascii="Microsoft YaHei" w:hAnsi="Microsoft YaHei" w:eastAsia="Microsoft YaHei"/>
          <w:b/>
          <w:color w:val="222222"/>
          <w:sz w:val="22"/>
        </w:rPr>
        <w:t>9.5 典型错误码</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HTTP</w:t>
            </w:r>
          </w:p>
        </w:tc>
        <w:tc>
          <w:tcPr>
            <w:tcW w:type="dxa" w:w="331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错误码</w:t>
            </w:r>
          </w:p>
        </w:tc>
        <w:tc>
          <w:tcPr>
            <w:tcW w:type="dxa" w:w="547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场景</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400</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VALIDATION_ERROR</w:t>
            </w:r>
          </w:p>
        </w:tc>
        <w:tc>
          <w:tcPr>
            <w:tcW w:type="dxa" w:w="54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参数格式/业务校验错误</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401</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UNAUTHENTICATED</w:t>
            </w:r>
          </w:p>
        </w:tc>
        <w:tc>
          <w:tcPr>
            <w:tcW w:type="dxa" w:w="54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未登录或令牌失效</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403</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FORBIDDEN</w:t>
            </w:r>
          </w:p>
        </w:tc>
        <w:tc>
          <w:tcPr>
            <w:tcW w:type="dxa" w:w="54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无资源或动作权限</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404</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RESOURCE_NOT_FOUND</w:t>
            </w:r>
          </w:p>
        </w:tc>
        <w:tc>
          <w:tcPr>
            <w:tcW w:type="dxa" w:w="54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资源不存在或不可见</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409</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CONCURRENT_MODIFICATION</w:t>
            </w:r>
          </w:p>
        </w:tc>
        <w:tc>
          <w:tcPr>
            <w:tcW w:type="dxa" w:w="54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乐观锁冲突</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409</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INVALID_STATE_TRANSITION</w:t>
            </w:r>
          </w:p>
        </w:tc>
        <w:tc>
          <w:tcPr>
            <w:tcW w:type="dxa" w:w="54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当前状态不允许执行操作</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422</w:t>
            </w:r>
          </w:p>
        </w:tc>
        <w:tc>
          <w:tcPr>
            <w:tcW w:type="dxa" w:w="33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DIALECT_UNSUPPORTED</w:t>
            </w:r>
          </w:p>
        </w:tc>
        <w:tc>
          <w:tcPr>
            <w:tcW w:type="dxa" w:w="54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目标引擎/特性未支持</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500</w:t>
            </w:r>
          </w:p>
        </w:tc>
        <w:tc>
          <w:tcPr>
            <w:tcW w:type="dxa" w:w="33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INTERNAL_ERROR</w:t>
            </w:r>
          </w:p>
        </w:tc>
        <w:tc>
          <w:tcPr>
            <w:tcW w:type="dxa" w:w="54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未预期异常；需带 request_id 供排查</w:t>
            </w:r>
          </w:p>
        </w:tc>
      </w:tr>
    </w:tbl>
    <w:p>
      <w:pPr>
        <w:spacing w:before="0" w:after="20" w:line="276" w:lineRule="auto"/>
      </w:pPr>
    </w:p>
    <w:p>
      <w:pPr>
        <w:pStyle w:val="Heading1"/>
        <w:keepNext/>
        <w:spacing w:before="240" w:after="100" w:line="252" w:lineRule="auto"/>
      </w:pPr>
      <w:r>
        <w:rPr>
          <w:rFonts w:ascii="Microsoft YaHei" w:hAnsi="Microsoft YaHei" w:eastAsia="Microsoft YaHei"/>
          <w:b/>
          <w:color w:val="17365D"/>
          <w:sz w:val="32"/>
        </w:rPr>
        <w:t>10. 多引擎适配与 DDL 生成</w:t>
      </w:r>
    </w:p>
    <w:p>
      <w:pPr>
        <w:pStyle w:val="Heading2"/>
        <w:keepNext/>
        <w:spacing w:before="160" w:after="100" w:line="252" w:lineRule="auto"/>
      </w:pPr>
      <w:r>
        <w:rPr>
          <w:rFonts w:ascii="Microsoft YaHei" w:hAnsi="Microsoft YaHei" w:eastAsia="Microsoft YaHei"/>
          <w:b/>
          <w:color w:val="2F75B5"/>
          <w:sz w:val="26"/>
        </w:rPr>
        <w:t>10.1 适配器接口</w:t>
      </w:r>
    </w:p>
    <w:p>
      <w:pPr>
        <w:spacing w:before="0" w:after="80" w:line="276" w:lineRule="auto"/>
      </w:pPr>
      <w:r>
        <w:rPr>
          <w:rFonts w:ascii="Microsoft YaHei" w:hAnsi="Microsoft YaHei" w:eastAsia="Microsoft YaHei"/>
          <w:b w:val="0"/>
          <w:i w:val="0"/>
          <w:sz w:val="20"/>
        </w:rPr>
        <w:t>每个引擎实现统一接口，不允许业务服务散落 if engine == ... 的方言判断。建议接口至少包括：get_capabilities()、map_logical_type()、validate_table_definition()、generate_create_table()、generate_alter_plan()（后续）、introspect_schema()（后续读取能力）。</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class DialectAdapter(Protocol):</w:t>
            </w:r>
            <w:r>
              <w:br/>
            </w:r>
            <w:r>
              <w:rPr>
                <w:rFonts w:ascii="Consolas" w:hAnsi="Consolas" w:eastAsia="Microsoft YaHei"/>
                <w:color w:val="333333"/>
                <w:sz w:val="16"/>
              </w:rPr>
              <w:t xml:space="preserve">    def get_capabilities(self) -&gt; EngineCapabilities: ...</w:t>
            </w:r>
            <w:r>
              <w:br/>
            </w:r>
            <w:r>
              <w:rPr>
                <w:rFonts w:ascii="Consolas" w:hAnsi="Consolas" w:eastAsia="Microsoft YaHei"/>
                <w:color w:val="333333"/>
                <w:sz w:val="16"/>
              </w:rPr>
              <w:t xml:space="preserve">    def map_logical_type(self, logical_type, params) -&gt; PhysicalTypeResult: ...</w:t>
            </w:r>
            <w:r>
              <w:br/>
            </w:r>
            <w:r>
              <w:rPr>
                <w:rFonts w:ascii="Consolas" w:hAnsi="Consolas" w:eastAsia="Microsoft YaHei"/>
                <w:color w:val="333333"/>
                <w:sz w:val="16"/>
              </w:rPr>
              <w:t xml:space="preserve">    def validate_table_definition(self, table, profile) -&gt; list[ValidationIssue]: ...</w:t>
            </w:r>
            <w:r>
              <w:br/>
            </w:r>
            <w:r>
              <w:rPr>
                <w:rFonts w:ascii="Consolas" w:hAnsi="Consolas" w:eastAsia="Microsoft YaHei"/>
                <w:color w:val="333333"/>
                <w:sz w:val="16"/>
              </w:rPr>
              <w:t xml:space="preserve">    def generate_create_table(self, table, profile) -&gt; DDLResult: ...</w:t>
            </w:r>
            <w:r>
              <w:br/>
            </w:r>
            <w:r>
              <w:rPr>
                <w:rFonts w:ascii="Consolas" w:hAnsi="Consolas" w:eastAsia="Microsoft YaHei"/>
                <w:color w:val="333333"/>
                <w:sz w:val="16"/>
              </w:rPr>
            </w:r>
            <w:r>
              <w:br/>
            </w:r>
            <w:r>
              <w:rPr>
                <w:rFonts w:ascii="Consolas" w:hAnsi="Consolas" w:eastAsia="Microsoft YaHei"/>
                <w:color w:val="333333"/>
                <w:sz w:val="16"/>
              </w:rPr>
              <w:t># 注意：DDLResult 应包含 SQL、警告、未支持属性和生成器版本；</w:t>
            </w:r>
            <w:r>
              <w:br/>
            </w:r>
            <w:r>
              <w:rPr>
                <w:rFonts w:ascii="Consolas" w:hAnsi="Consolas" w:eastAsia="Microsoft YaHei"/>
                <w:color w:val="333333"/>
                <w:sz w:val="16"/>
              </w:rPr>
              <w:t># 生成 DDL 不等于目标引擎执行成功。</w:t>
            </w:r>
          </w:p>
        </w:tc>
      </w:tr>
    </w:tbl>
    <w:p>
      <w:pPr>
        <w:spacing w:before="0" w:after="40" w:line="276" w:lineRule="auto"/>
      </w:pPr>
    </w:p>
    <w:p>
      <w:pPr>
        <w:pStyle w:val="Heading2"/>
        <w:keepNext/>
        <w:spacing w:before="160" w:after="100" w:line="252" w:lineRule="auto"/>
      </w:pPr>
      <w:r>
        <w:rPr>
          <w:rFonts w:ascii="Microsoft YaHei" w:hAnsi="Microsoft YaHei" w:eastAsia="Microsoft YaHei"/>
          <w:b/>
          <w:color w:val="2F75B5"/>
          <w:sz w:val="26"/>
        </w:rPr>
        <w:t>10.2 引擎能力矩阵</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244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能力</w:t>
            </w:r>
          </w:p>
        </w:tc>
        <w:tc>
          <w:tcPr>
            <w:tcW w:type="dxa" w:w="158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MySQL</w:t>
            </w:r>
          </w:p>
        </w:tc>
        <w:tc>
          <w:tcPr>
            <w:tcW w:type="dxa" w:w="172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PostgreSQL</w:t>
            </w:r>
          </w:p>
        </w:tc>
        <w:tc>
          <w:tcPr>
            <w:tcW w:type="dxa" w:w="20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Hive/Spark SQL</w:t>
            </w:r>
          </w:p>
        </w:tc>
        <w:tc>
          <w:tcPr>
            <w:tcW w:type="dxa" w:w="20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Doris/StarRocks</w:t>
            </w:r>
          </w:p>
        </w:tc>
      </w:tr>
      <w:tr>
        <w:trPr>
          <w:cantSplit/>
        </w:trPr>
        <w:tc>
          <w:tcPr>
            <w:tcW w:type="dxa" w:w="244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逻辑类型映射</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MVP 必测</w:t>
            </w:r>
          </w:p>
        </w:tc>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MVP 必测</w:t>
            </w:r>
          </w:p>
        </w:tc>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适配器/模板验证</w:t>
            </w:r>
          </w:p>
        </w:tc>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下一适配批次验证</w:t>
            </w:r>
          </w:p>
        </w:tc>
      </w:tr>
      <w:tr>
        <w:trPr>
          <w:cantSplit/>
        </w:trPr>
        <w:tc>
          <w:tcPr>
            <w:tcW w:type="dxa" w:w="244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CREATE TABLE DDL 生成</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MVP 必测</w:t>
            </w:r>
          </w:p>
        </w:tc>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MVP 必测</w:t>
            </w:r>
          </w:p>
        </w:tc>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基于目标版本测试</w:t>
            </w:r>
          </w:p>
        </w:tc>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下一适配批次验证</w:t>
            </w:r>
          </w:p>
        </w:tc>
      </w:tr>
      <w:tr>
        <w:trPr>
          <w:cantSplit/>
        </w:trPr>
        <w:tc>
          <w:tcPr>
            <w:tcW w:type="dxa" w:w="244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分区配置</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按引擎配置</w:t>
            </w:r>
          </w:p>
        </w:tc>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按引擎配置</w:t>
            </w:r>
          </w:p>
        </w:tc>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重点支持 partition columns</w:t>
            </w:r>
          </w:p>
        </w:tc>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按引擎语法确认</w:t>
            </w:r>
          </w:p>
        </w:tc>
      </w:tr>
      <w:tr>
        <w:trPr>
          <w:cantSplit/>
        </w:trPr>
        <w:tc>
          <w:tcPr>
            <w:tcW w:type="dxa" w:w="244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索引/主键物理约束</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按能力声明</w:t>
            </w:r>
          </w:p>
        </w:tc>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按能力声明</w:t>
            </w:r>
          </w:p>
        </w:tc>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可能只做逻辑约束/不下推</w:t>
            </w:r>
          </w:p>
        </w:tc>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按能力声明</w:t>
            </w:r>
          </w:p>
        </w:tc>
      </w:tr>
      <w:tr>
        <w:trPr>
          <w:cantSplit/>
        </w:trPr>
        <w:tc>
          <w:tcPr>
            <w:tcW w:type="dxa" w:w="244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元数据反向读取</w:t>
            </w:r>
          </w:p>
        </w:tc>
        <w:tc>
          <w:tcPr>
            <w:tcW w:type="dxa" w:w="15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可选后续</w:t>
            </w:r>
          </w:p>
        </w:tc>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可选后续</w:t>
            </w:r>
          </w:p>
        </w:tc>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后续</w:t>
            </w:r>
          </w:p>
        </w:tc>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后续</w:t>
            </w:r>
          </w:p>
        </w:tc>
      </w:tr>
      <w:tr>
        <w:trPr>
          <w:cantSplit/>
        </w:trPr>
        <w:tc>
          <w:tcPr>
            <w:tcW w:type="dxa" w:w="244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自动执行 DDL</w:t>
            </w:r>
          </w:p>
        </w:tc>
        <w:tc>
          <w:tcPr>
            <w:tcW w:type="dxa" w:w="15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本期关闭</w:t>
            </w:r>
          </w:p>
        </w:tc>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本期关闭</w:t>
            </w:r>
          </w:p>
        </w:tc>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本期关闭</w:t>
            </w:r>
          </w:p>
        </w:tc>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本期关闭</w:t>
            </w:r>
          </w:p>
        </w:tc>
      </w:tr>
    </w:tbl>
    <w:p>
      <w:pPr>
        <w:spacing w:before="0" w:after="20" w:line="276" w:lineRule="auto"/>
      </w:pPr>
    </w:p>
    <w:tbl>
      <w:tblPr>
        <w:tblStyle w:val="TableGrid"/>
        <w:tblW w:type="auto" w:w="0"/>
        <w:tblLook w:firstColumn="1" w:firstRow="1" w:lastColumn="0" w:lastRow="0" w:noHBand="0" w:noVBand="1" w:val="04A0"/>
      </w:tblPr>
      <w:tblGrid>
        <w:gridCol w:w="9994"/>
      </w:tblGrid>
      <w:tr>
        <w:trPr>
          <w:cantSplit/>
        </w:trPr>
        <w:tc>
          <w:tcPr>
            <w:tcW w:type="dxa" w:w="9994"/>
            <w:shd w:fill="FFF2CC"/>
            <w:tcMar>
              <w:top w:w="130" w:type="dxa"/>
              <w:start w:w="160" w:type="dxa"/>
              <w:bottom w:w="130" w:type="dxa"/>
              <w:end w:w="160" w:type="dxa"/>
            </w:tcMar>
          </w:tcPr>
          <w:p>
            <w:pPr>
              <w:spacing w:before="0" w:after="60" w:line="264" w:lineRule="auto"/>
            </w:pPr>
            <w:r/>
            <w:r>
              <w:rPr>
                <w:rFonts w:ascii="Microsoft YaHei" w:hAnsi="Microsoft YaHei" w:eastAsia="Microsoft YaHei"/>
                <w:b/>
                <w:color w:val="17365D"/>
                <w:sz w:val="20"/>
              </w:rPr>
              <w:t>能力声明优先</w:t>
            </w:r>
          </w:p>
          <w:p>
            <w:pPr>
              <w:spacing w:before="0" w:after="0" w:line="269" w:lineRule="auto"/>
            </w:pPr>
            <w:r>
              <w:rPr>
                <w:rFonts w:ascii="Microsoft YaHei" w:hAnsi="Microsoft YaHei" w:eastAsia="Microsoft YaHei"/>
                <w:sz w:val="18"/>
              </w:rPr>
              <w:t>引擎的名称并不能说明其所有能力。适配器应明确声明是否支持主键约束、外键、索引、分区、复杂类型、注释、ALTER 等。未支持的属性必须给出警告或阻断错误，不能悄悄丢弃。</w:t>
            </w:r>
          </w:p>
        </w:tc>
      </w:tr>
    </w:tbl>
    <w:p>
      <w:pPr>
        <w:spacing w:before="0" w:after="40" w:line="276" w:lineRule="auto"/>
      </w:pPr>
    </w:p>
    <w:p>
      <w:pPr>
        <w:pStyle w:val="Heading2"/>
        <w:keepNext/>
        <w:spacing w:before="160" w:after="100" w:line="252" w:lineRule="auto"/>
      </w:pPr>
      <w:r>
        <w:rPr>
          <w:rFonts w:ascii="Microsoft YaHei" w:hAnsi="Microsoft YaHei" w:eastAsia="Microsoft YaHei"/>
          <w:b/>
          <w:color w:val="2F75B5"/>
          <w:sz w:val="26"/>
        </w:rPr>
        <w:t>10.3 DDL 生成流程</w:t>
      </w:r>
    </w:p>
    <w:p>
      <w:pPr>
        <w:pStyle w:val="ListNumber"/>
        <w:spacing w:before="0" w:after="40" w:line="259" w:lineRule="auto"/>
      </w:pPr>
      <w:r>
        <w:rPr>
          <w:rFonts w:ascii="Microsoft YaHei" w:hAnsi="Microsoft YaHei" w:eastAsia="Microsoft YaHei"/>
          <w:sz w:val="19"/>
        </w:rPr>
        <w:t>读取指定的不可变模型版本和引擎配置版本。</w:t>
      </w:r>
    </w:p>
    <w:p>
      <w:pPr>
        <w:pStyle w:val="ListNumber"/>
        <w:spacing w:before="0" w:after="40" w:line="259" w:lineRule="auto"/>
      </w:pPr>
      <w:r>
        <w:rPr>
          <w:rFonts w:ascii="Microsoft YaHei" w:hAnsi="Microsoft YaHei" w:eastAsia="Microsoft YaHei"/>
          <w:sz w:val="19"/>
        </w:rPr>
        <w:t>执行模型通用校验及引擎专项校验；若存在阻断级错误，禁止生成可交付正式 DDL，但可以提供草稿预览并明确标记。</w:t>
      </w:r>
    </w:p>
    <w:p>
      <w:pPr>
        <w:pStyle w:val="ListNumber"/>
        <w:spacing w:before="0" w:after="40" w:line="259" w:lineRule="auto"/>
      </w:pPr>
      <w:r>
        <w:rPr>
          <w:rFonts w:ascii="Microsoft YaHei" w:hAnsi="Microsoft YaHei" w:eastAsia="Microsoft YaHei"/>
          <w:sz w:val="19"/>
        </w:rPr>
        <w:t>逻辑类型映射、标识符引用、默认值、安全转义、表属性和分区定义由适配器负责。</w:t>
      </w:r>
    </w:p>
    <w:p>
      <w:pPr>
        <w:pStyle w:val="ListNumber"/>
        <w:spacing w:before="0" w:after="40" w:line="259" w:lineRule="auto"/>
      </w:pPr>
      <w:r>
        <w:rPr>
          <w:rFonts w:ascii="Microsoft YaHei" w:hAnsi="Microsoft YaHei" w:eastAsia="Microsoft YaHei"/>
          <w:sz w:val="19"/>
        </w:rPr>
        <w:t>生成 SQL 后返回 generator_version、engine_profile_version、warnings、unsupported_features、content_hash。</w:t>
      </w:r>
    </w:p>
    <w:p>
      <w:pPr>
        <w:pStyle w:val="ListNumber"/>
        <w:spacing w:before="0" w:after="40" w:line="259" w:lineRule="auto"/>
      </w:pPr>
      <w:r>
        <w:rPr>
          <w:rFonts w:ascii="Microsoft YaHei" w:hAnsi="Microsoft YaHei" w:eastAsia="Microsoft YaHei"/>
          <w:sz w:val="19"/>
        </w:rPr>
        <w:t>将正式发布版本的 DDL 作为交付物快照保存；同一版本、同一配置版本应产生可复现结果。</w:t>
      </w:r>
    </w:p>
    <w:p>
      <w:pPr>
        <w:pStyle w:val="ListNumber"/>
        <w:spacing w:before="0" w:after="40" w:line="259" w:lineRule="auto"/>
      </w:pPr>
      <w:r>
        <w:rPr>
          <w:rFonts w:ascii="Microsoft YaHei" w:hAnsi="Microsoft YaHei" w:eastAsia="Microsoft YaHei"/>
          <w:sz w:val="19"/>
        </w:rPr>
        <w:t>用户自行在目标环境验证或执行；MVP 不提供“执行到生产”按钮。后续如增加执行能力，必须增设审批、dry-run、变更计划、备份/回滚方案和环境隔离。</w:t>
      </w:r>
    </w:p>
    <w:p>
      <w:pPr>
        <w:pStyle w:val="Heading2"/>
        <w:keepNext/>
        <w:spacing w:before="160" w:after="100" w:line="252" w:lineRule="auto"/>
      </w:pPr>
      <w:r>
        <w:rPr>
          <w:rFonts w:ascii="Microsoft YaHei" w:hAnsi="Microsoft YaHei" w:eastAsia="Microsoft YaHei"/>
          <w:b/>
          <w:color w:val="2F75B5"/>
          <w:sz w:val="26"/>
        </w:rPr>
        <w:t>10.4 DDL 与模型变更</w:t>
      </w:r>
    </w:p>
    <w:p>
      <w:pPr>
        <w:spacing w:before="0" w:after="80" w:line="276" w:lineRule="auto"/>
      </w:pPr>
      <w:r>
        <w:rPr>
          <w:rFonts w:ascii="Microsoft YaHei" w:hAnsi="Microsoft YaHei" w:eastAsia="Microsoft YaHei"/>
          <w:b w:val="0"/>
          <w:i w:val="0"/>
          <w:sz w:val="20"/>
        </w:rPr>
        <w:t>版本差异需转换为“结构差异”而不只是 JSON 文本差异。至少识别表新增/删除/重命名、字段新增/删除/改名、类型/长度/精度变化、可空性变化、默认值变化、主键/分区变化。ALTER SQL 是否安全、是否有锁表风险、是否可回滚，必须由目标引擎适配器进一步判断；无法确定时只生成变更建议，不生成可直接执行的迁移脚本。</w:t>
      </w:r>
    </w:p>
    <w:p>
      <w:pPr>
        <w:pStyle w:val="Heading1"/>
        <w:keepNext/>
        <w:spacing w:before="240" w:after="100" w:line="252" w:lineRule="auto"/>
      </w:pPr>
      <w:r>
        <w:rPr>
          <w:rFonts w:ascii="Microsoft YaHei" w:hAnsi="Microsoft YaHei" w:eastAsia="Microsoft YaHei"/>
          <w:b/>
          <w:color w:val="17365D"/>
          <w:sz w:val="32"/>
        </w:rPr>
        <w:t>11. 安全、审计与非功能需求</w:t>
      </w:r>
    </w:p>
    <w:p>
      <w:pPr>
        <w:pStyle w:val="Heading2"/>
        <w:keepNext/>
        <w:spacing w:before="160" w:after="100" w:line="252" w:lineRule="auto"/>
      </w:pPr>
      <w:r>
        <w:rPr>
          <w:rFonts w:ascii="Microsoft YaHei" w:hAnsi="Microsoft YaHei" w:eastAsia="Microsoft YaHei"/>
          <w:b/>
          <w:color w:val="2F75B5"/>
          <w:sz w:val="26"/>
        </w:rPr>
        <w:t>11.1 安全要求</w:t>
      </w:r>
    </w:p>
    <w:p>
      <w:pPr>
        <w:pStyle w:val="ListBullet"/>
        <w:spacing w:before="0" w:after="40" w:line="259" w:lineRule="auto"/>
      </w:pPr>
      <w:r>
        <w:rPr>
          <w:rFonts w:ascii="Microsoft YaHei" w:hAnsi="Microsoft YaHei" w:eastAsia="Microsoft YaHei"/>
          <w:sz w:val="19"/>
        </w:rPr>
        <w:t>登录认证：MVP 可提供本地账号；密码使用成熟算法进行哈希存储，不允许明文或可逆加密密码。生产接入 OIDC/企业 SSO 时，仍要映射项目角色。</w:t>
      </w:r>
    </w:p>
    <w:p>
      <w:pPr>
        <w:pStyle w:val="ListBullet"/>
        <w:spacing w:before="0" w:after="40" w:line="259" w:lineRule="auto"/>
      </w:pPr>
      <w:r>
        <w:rPr>
          <w:rFonts w:ascii="Microsoft YaHei" w:hAnsi="Microsoft YaHei" w:eastAsia="Microsoft YaHei"/>
          <w:sz w:val="19"/>
        </w:rPr>
        <w:t>秘密管理：目标引擎连接密码/令牌使用密钥管理或环境级密文存储；查询接口不得返回明文凭证。</w:t>
      </w:r>
    </w:p>
    <w:p>
      <w:pPr>
        <w:pStyle w:val="ListBullet"/>
        <w:spacing w:before="0" w:after="40" w:line="259" w:lineRule="auto"/>
      </w:pPr>
      <w:r>
        <w:rPr>
          <w:rFonts w:ascii="Microsoft YaHei" w:hAnsi="Microsoft YaHei" w:eastAsia="Microsoft YaHei"/>
          <w:sz w:val="19"/>
        </w:rPr>
        <w:t>SQL 安全：DDL 生成采用结构化对象拼装和引擎转义规则；禁止将用户输入直接拼接进执行语句。MVP 不执行生成的 DDL。</w:t>
      </w:r>
    </w:p>
    <w:p>
      <w:pPr>
        <w:pStyle w:val="ListBullet"/>
        <w:spacing w:before="0" w:after="40" w:line="259" w:lineRule="auto"/>
      </w:pPr>
      <w:r>
        <w:rPr>
          <w:rFonts w:ascii="Microsoft YaHei" w:hAnsi="Microsoft YaHei" w:eastAsia="Microsoft YaHei"/>
          <w:sz w:val="19"/>
        </w:rPr>
        <w:t>审计覆盖：登录失败、权限变更、模型保存、提交评审、评审结论、发布、导出、引擎配置变更等关键动作。</w:t>
      </w:r>
    </w:p>
    <w:p>
      <w:pPr>
        <w:pStyle w:val="ListBullet"/>
        <w:spacing w:before="0" w:after="40" w:line="259" w:lineRule="auto"/>
      </w:pPr>
      <w:r>
        <w:rPr>
          <w:rFonts w:ascii="Microsoft YaHei" w:hAnsi="Microsoft YaHei" w:eastAsia="Microsoft YaHei"/>
          <w:sz w:val="19"/>
        </w:rPr>
        <w:t>附件安全：限制文件类型与大小；文件名清洗；下载进行鉴权；保存校验和；可配置病毒扫描扩展点。</w:t>
      </w:r>
    </w:p>
    <w:p>
      <w:pPr>
        <w:pStyle w:val="ListBullet"/>
        <w:spacing w:before="0" w:after="40" w:line="259" w:lineRule="auto"/>
      </w:pPr>
      <w:r>
        <w:rPr>
          <w:rFonts w:ascii="Microsoft YaHei" w:hAnsi="Microsoft YaHei" w:eastAsia="Microsoft YaHei"/>
          <w:sz w:val="19"/>
        </w:rPr>
        <w:t>敏感字段：平台只管理敏感级别标识，不因为存储元数据就自动获取业务数据样本；如未来接入采样，应单独授权和脱敏。</w:t>
      </w:r>
    </w:p>
    <w:p>
      <w:pPr>
        <w:pStyle w:val="Heading2"/>
        <w:keepNext/>
        <w:spacing w:before="160" w:after="100" w:line="252" w:lineRule="auto"/>
      </w:pPr>
      <w:r>
        <w:rPr>
          <w:rFonts w:ascii="Microsoft YaHei" w:hAnsi="Microsoft YaHei" w:eastAsia="Microsoft YaHei"/>
          <w:b/>
          <w:color w:val="2F75B5"/>
          <w:sz w:val="26"/>
        </w:rPr>
        <w:t>11.2 非功能需求</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类别</w:t>
            </w:r>
          </w:p>
        </w:tc>
        <w:tc>
          <w:tcPr>
            <w:tcW w:type="dxa" w:w="511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MVP 要求建议</w:t>
            </w:r>
          </w:p>
        </w:tc>
        <w:tc>
          <w:tcPr>
            <w:tcW w:type="dxa" w:w="273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验证方法</w:t>
            </w:r>
          </w:p>
        </w:tc>
      </w:tr>
      <w:tr>
        <w:trPr>
          <w:cantSplit/>
        </w:trPr>
        <w:tc>
          <w:tcPr>
            <w:tcW w:type="dxa" w:w="15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性能</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列表/详情 P95 &lt; 1.5 秒；100 列字段表格编辑可用；单次模型校验在 2 秒内完成（普通模型基准）</w:t>
            </w:r>
          </w:p>
        </w:tc>
        <w:tc>
          <w:tcPr>
            <w:tcW w:type="dxa" w:w="273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测试环境固定数据集压测；记录数据规模和硬件</w:t>
            </w:r>
          </w:p>
        </w:tc>
      </w:tr>
      <w:tr>
        <w:trPr>
          <w:cantSplit/>
        </w:trPr>
        <w:tc>
          <w:tcPr>
            <w:tcW w:type="dxa" w:w="15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容量</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初版建议支持每项目 1,000 个模型、每模型 500 个字段作为设计测试目标，不作为未经压测的生产承诺</w:t>
            </w:r>
          </w:p>
        </w:tc>
        <w:tc>
          <w:tcPr>
            <w:tcW w:type="dxa" w:w="273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使用生成数据集进行集成测试</w:t>
            </w:r>
          </w:p>
        </w:tc>
      </w:tr>
      <w:tr>
        <w:trPr>
          <w:cantSplit/>
        </w:trPr>
        <w:tc>
          <w:tcPr>
            <w:tcW w:type="dxa" w:w="15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可靠性</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发布/审批关键动作采用事务；失败不得留下半发布状态；重要交付物可重建或校验 hash</w:t>
            </w:r>
          </w:p>
        </w:tc>
        <w:tc>
          <w:tcPr>
            <w:tcW w:type="dxa" w:w="273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故障注入、事务回滚测试</w:t>
            </w:r>
          </w:p>
        </w:tc>
      </w:tr>
      <w:tr>
        <w:trPr>
          <w:cantSplit/>
        </w:trPr>
        <w:tc>
          <w:tcPr>
            <w:tcW w:type="dxa" w:w="15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可维护性</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API OpenAPI 文档；Alembic 管理 schema 迁移；规则和适配器有独立测试</w:t>
            </w:r>
          </w:p>
        </w:tc>
        <w:tc>
          <w:tcPr>
            <w:tcW w:type="dxa" w:w="273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代码审查、自动化测试覆盖报告</w:t>
            </w:r>
          </w:p>
        </w:tc>
      </w:tr>
      <w:tr>
        <w:trPr>
          <w:cantSplit/>
        </w:trPr>
        <w:tc>
          <w:tcPr>
            <w:tcW w:type="dxa" w:w="15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可观察性</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统一 request_id、结构化日志、错误计数、接口耗时和任务失败日志</w:t>
            </w:r>
          </w:p>
        </w:tc>
        <w:tc>
          <w:tcPr>
            <w:tcW w:type="dxa" w:w="273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排障演练</w:t>
            </w:r>
          </w:p>
        </w:tc>
      </w:tr>
      <w:tr>
        <w:trPr>
          <w:cantSplit/>
        </w:trPr>
        <w:tc>
          <w:tcPr>
            <w:tcW w:type="dxa" w:w="15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兼容性</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当前主流桌面版 Chrome/Edge；支持宽屏管理后台</w:t>
            </w:r>
          </w:p>
        </w:tc>
        <w:tc>
          <w:tcPr>
            <w:tcW w:type="dxa" w:w="273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冒烟测试</w:t>
            </w:r>
          </w:p>
        </w:tc>
      </w:tr>
      <w:tr>
        <w:trPr>
          <w:cantSplit/>
        </w:trPr>
        <w:tc>
          <w:tcPr>
            <w:tcW w:type="dxa" w:w="15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备份恢复</w:t>
            </w:r>
          </w:p>
        </w:tc>
        <w:tc>
          <w:tcPr>
            <w:tcW w:type="dxa" w:w="511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元数据库定期备份，发布快照和审计日志纳入备份；定义 RPO/RTO</w:t>
            </w:r>
          </w:p>
        </w:tc>
        <w:tc>
          <w:tcPr>
            <w:tcW w:type="dxa" w:w="273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恢复演练</w:t>
            </w:r>
          </w:p>
        </w:tc>
      </w:tr>
      <w:tr>
        <w:trPr>
          <w:cantSplit/>
        </w:trPr>
        <w:tc>
          <w:tcPr>
            <w:tcW w:type="dxa" w:w="15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可访问性</w:t>
            </w:r>
          </w:p>
        </w:tc>
        <w:tc>
          <w:tcPr>
            <w:tcW w:type="dxa" w:w="511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关键操作可键盘使用；颜色以外也提供错误文字和图标提示</w:t>
            </w:r>
          </w:p>
        </w:tc>
        <w:tc>
          <w:tcPr>
            <w:tcW w:type="dxa" w:w="273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人工检查与自动化扫描</w:t>
            </w:r>
          </w:p>
        </w:tc>
      </w:tr>
    </w:tbl>
    <w:p>
      <w:pPr>
        <w:spacing w:before="0" w:after="20" w:line="276" w:lineRule="auto"/>
      </w:pPr>
    </w:p>
    <w:p>
      <w:pPr>
        <w:pStyle w:val="Heading1"/>
        <w:keepNext/>
        <w:spacing w:before="240" w:after="100" w:line="252" w:lineRule="auto"/>
      </w:pPr>
      <w:r>
        <w:rPr>
          <w:rFonts w:ascii="Microsoft YaHei" w:hAnsi="Microsoft YaHei" w:eastAsia="Microsoft YaHei"/>
          <w:b/>
          <w:color w:val="17365D"/>
          <w:sz w:val="32"/>
        </w:rPr>
        <w:t>12. 测试策略与验收标准</w:t>
      </w:r>
    </w:p>
    <w:p>
      <w:pPr>
        <w:pStyle w:val="Heading2"/>
        <w:keepNext/>
        <w:spacing w:before="160" w:after="100" w:line="252" w:lineRule="auto"/>
      </w:pPr>
      <w:r>
        <w:rPr>
          <w:rFonts w:ascii="Microsoft YaHei" w:hAnsi="Microsoft YaHei" w:eastAsia="Microsoft YaHei"/>
          <w:b/>
          <w:color w:val="2F75B5"/>
          <w:sz w:val="26"/>
        </w:rPr>
        <w:t>12.1 测试层次</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测试层</w:t>
            </w:r>
          </w:p>
        </w:tc>
        <w:tc>
          <w:tcPr>
            <w:tcW w:type="dxa" w:w="360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覆盖范围</w:t>
            </w:r>
          </w:p>
        </w:tc>
        <w:tc>
          <w:tcPr>
            <w:tcW w:type="dxa" w:w="38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例子</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单元测试</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命名规则、类型映射、状态转换、差异引擎、DDL 生成器</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DECIMAL 精度边界、保留字、复合主键</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API 集成测试</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鉴权、项目授权、数据库事务、乐观锁、错误码</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无权限用户读取模型返回 403；并发更新触发 409</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前端组件测试</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字段编辑、校验反馈、筛选、版本差异</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批量粘贴无效类型后展示行级错误</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端到端测试</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创建需求到正式发布完整闭环</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需求关联、建模、校验、评审、发布、下载</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兼容性测试</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不同目标引擎方言与能力声明</w:t>
            </w:r>
          </w:p>
        </w:tc>
        <w:tc>
          <w:tcPr>
            <w:tcW w:type="dxa" w:w="38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DDL 在指定版本的测试容器或测试环境执行验证</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安全测试</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越权、敏感信息泄露、上传文件、SQL 拼接风险</w:t>
            </w:r>
          </w:p>
        </w:tc>
        <w:tc>
          <w:tcPr>
            <w:tcW w:type="dxa" w:w="38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伪造 project_id、请求日志中不出现连接密码</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12.2 核心验收用例</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用例 ID</w:t>
            </w:r>
          </w:p>
        </w:tc>
        <w:tc>
          <w:tcPr>
            <w:tcW w:type="dxa" w:w="360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场景</w:t>
            </w:r>
          </w:p>
        </w:tc>
        <w:tc>
          <w:tcPr>
            <w:tcW w:type="dxa" w:w="460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预期结果</w:t>
            </w:r>
          </w:p>
        </w:tc>
      </w:tr>
      <w:tr>
        <w:trPr>
          <w:cantSplit/>
        </w:trPr>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AT-001</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创建项目与主题域</w:t>
            </w:r>
          </w:p>
        </w:tc>
        <w:tc>
          <w:tcPr>
            <w:tcW w:type="dxa" w:w="46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项目和主题域成功建立；编码唯一规则生效</w:t>
            </w:r>
          </w:p>
        </w:tc>
      </w:tr>
      <w:tr>
        <w:trPr>
          <w:cantSplit/>
        </w:trPr>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AT-002</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登记需求并关联多个模型</w:t>
            </w:r>
          </w:p>
        </w:tc>
        <w:tc>
          <w:tcPr>
            <w:tcW w:type="dxa" w:w="46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需求详情展示模型关联，模型详情可回溯需求</w:t>
            </w:r>
          </w:p>
        </w:tc>
      </w:tr>
      <w:tr>
        <w:trPr>
          <w:cantSplit/>
        </w:trPr>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AT-003</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创建含 2 张表、复合主键和关系的模型</w:t>
            </w:r>
          </w:p>
        </w:tc>
        <w:tc>
          <w:tcPr>
            <w:tcW w:type="dxa" w:w="46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对象保存正确；关系端点有效；画布展示一致</w:t>
            </w:r>
          </w:p>
        </w:tc>
      </w:tr>
      <w:tr>
        <w:trPr>
          <w:cantSplit/>
        </w:trPr>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AT-004</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字段名重复或类型无映射后提交评审</w:t>
            </w:r>
          </w:p>
        </w:tc>
        <w:tc>
          <w:tcPr>
            <w:tcW w:type="dxa" w:w="46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校验标记错误；阻断提交或发布；定位准确</w:t>
            </w:r>
          </w:p>
        </w:tc>
      </w:tr>
      <w:tr>
        <w:trPr>
          <w:cantSplit/>
        </w:trPr>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AT-005</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评审退回并整改</w:t>
            </w:r>
          </w:p>
        </w:tc>
        <w:tc>
          <w:tcPr>
            <w:tcW w:type="dxa" w:w="46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记录退回意见；设计人修改新修订后可重新提交</w:t>
            </w:r>
          </w:p>
        </w:tc>
      </w:tr>
      <w:tr>
        <w:trPr>
          <w:cantSplit/>
        </w:trPr>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AT-006</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并发修改同一草稿</w:t>
            </w:r>
          </w:p>
        </w:tc>
        <w:tc>
          <w:tcPr>
            <w:tcW w:type="dxa" w:w="46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第二个过期版本保存失败，返回 409，不覆盖先前内容</w:t>
            </w:r>
          </w:p>
        </w:tc>
      </w:tr>
      <w:tr>
        <w:trPr>
          <w:cantSplit/>
        </w:trPr>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AT-007</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发布模型后继续修改</w:t>
            </w:r>
          </w:p>
        </w:tc>
        <w:tc>
          <w:tcPr>
            <w:tcW w:type="dxa" w:w="46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原正式版本不变；新改动进入独立草稿</w:t>
            </w:r>
          </w:p>
        </w:tc>
      </w:tr>
      <w:tr>
        <w:trPr>
          <w:cantSplit/>
        </w:trPr>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AT-008</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导出指定版本 DDL 与数据字典</w:t>
            </w:r>
          </w:p>
        </w:tc>
        <w:tc>
          <w:tcPr>
            <w:tcW w:type="dxa" w:w="46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文件对应同一版本；含版本号、引擎信息和导出时间</w:t>
            </w:r>
          </w:p>
        </w:tc>
      </w:tr>
      <w:tr>
        <w:trPr>
          <w:cantSplit/>
        </w:trPr>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AT-009</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尝试越权访问其他项目模型</w:t>
            </w:r>
          </w:p>
        </w:tc>
        <w:tc>
          <w:tcPr>
            <w:tcW w:type="dxa" w:w="46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后端拒绝请求，响应不泄露资源敏感信息</w:t>
            </w:r>
          </w:p>
        </w:tc>
      </w:tr>
      <w:tr>
        <w:trPr>
          <w:cantSplit/>
        </w:trPr>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AT-010</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配置中存在目标引擎不支持的属性</w:t>
            </w:r>
          </w:p>
        </w:tc>
        <w:tc>
          <w:tcPr>
            <w:tcW w:type="dxa" w:w="46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校验明确指出不支持项，不静默丢弃</w:t>
            </w:r>
          </w:p>
        </w:tc>
      </w:tr>
      <w:tr>
        <w:trPr>
          <w:cantSplit/>
        </w:trPr>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AT-011</w:t>
            </w:r>
          </w:p>
        </w:tc>
        <w:tc>
          <w:tcPr>
            <w:tcW w:type="dxa" w:w="360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发布过程数据库事务中断</w:t>
            </w:r>
          </w:p>
        </w:tc>
        <w:tc>
          <w:tcPr>
            <w:tcW w:type="dxa" w:w="46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系统不留下“已发布但交付物缺失”的半状态</w:t>
            </w:r>
          </w:p>
        </w:tc>
      </w:tr>
      <w:tr>
        <w:trPr>
          <w:cantSplit/>
        </w:trPr>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AT-012</w:t>
            </w:r>
          </w:p>
        </w:tc>
        <w:tc>
          <w:tcPr>
            <w:tcW w:type="dxa" w:w="360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审计查询关键动作</w:t>
            </w:r>
          </w:p>
        </w:tc>
        <w:tc>
          <w:tcPr>
            <w:tcW w:type="dxa" w:w="46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能查到操作人、时间、对象、动作、结果和 request_id</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12.3 发布验收门槛</w:t>
      </w:r>
    </w:p>
    <w:p>
      <w:pPr>
        <w:pStyle w:val="ListBullet"/>
        <w:spacing w:before="0" w:after="40" w:line="259" w:lineRule="auto"/>
      </w:pPr>
      <w:r>
        <w:rPr>
          <w:rFonts w:ascii="Microsoft YaHei" w:hAnsi="Microsoft YaHei" w:eastAsia="Microsoft YaHei"/>
          <w:sz w:val="19"/>
        </w:rPr>
        <w:t>所有 P0 功能验收用例通过，无未关闭的严重/高优先级缺陷。</w:t>
      </w:r>
    </w:p>
    <w:p>
      <w:pPr>
        <w:pStyle w:val="ListBullet"/>
        <w:spacing w:before="0" w:after="40" w:line="259" w:lineRule="auto"/>
      </w:pPr>
      <w:r>
        <w:rPr>
          <w:rFonts w:ascii="Microsoft YaHei" w:hAnsi="Microsoft YaHei" w:eastAsia="Microsoft YaHei"/>
          <w:sz w:val="19"/>
        </w:rPr>
        <w:t>模型发布状态只能通过合法状态迁移进入；正式版本不可原地更新。</w:t>
      </w:r>
    </w:p>
    <w:p>
      <w:pPr>
        <w:pStyle w:val="ListBullet"/>
        <w:spacing w:before="0" w:after="40" w:line="259" w:lineRule="auto"/>
      </w:pPr>
      <w:r>
        <w:rPr>
          <w:rFonts w:ascii="Microsoft YaHei" w:hAnsi="Microsoft YaHei" w:eastAsia="Microsoft YaHei"/>
          <w:sz w:val="19"/>
        </w:rPr>
        <w:t>发布前校验、DDL 生成、数据字典导出均引用同一明确模型版本。</w:t>
      </w:r>
    </w:p>
    <w:p>
      <w:pPr>
        <w:pStyle w:val="ListBullet"/>
        <w:spacing w:before="0" w:after="40" w:line="259" w:lineRule="auto"/>
      </w:pPr>
      <w:r>
        <w:rPr>
          <w:rFonts w:ascii="Microsoft YaHei" w:hAnsi="Microsoft YaHei" w:eastAsia="Microsoft YaHei"/>
          <w:sz w:val="19"/>
        </w:rPr>
        <w:t>权限相关测试全部通过，未发现跨项目越权和连接凭证明文泄露。</w:t>
      </w:r>
    </w:p>
    <w:p>
      <w:pPr>
        <w:pStyle w:val="ListBullet"/>
        <w:spacing w:before="0" w:after="40" w:line="259" w:lineRule="auto"/>
      </w:pPr>
      <w:r>
        <w:rPr>
          <w:rFonts w:ascii="Microsoft YaHei" w:hAnsi="Microsoft YaHei" w:eastAsia="Microsoft YaHei"/>
          <w:sz w:val="19"/>
        </w:rPr>
        <w:t>MySQL 与 PostgreSQL（首批验证适配器）至少各有一组标准模型 DDL 的集成测试；其它目标引擎未通过测试前必须标注为试验/未验证能力。</w:t>
      </w:r>
    </w:p>
    <w:p>
      <w:pPr>
        <w:pStyle w:val="ListBullet"/>
        <w:spacing w:before="0" w:after="40" w:line="259" w:lineRule="auto"/>
      </w:pPr>
      <w:r>
        <w:rPr>
          <w:rFonts w:ascii="Microsoft YaHei" w:hAnsi="Microsoft YaHei" w:eastAsia="Microsoft YaHei"/>
          <w:sz w:val="19"/>
        </w:rPr>
        <w:t>部署文档、环境变量说明、数据库迁移脚本、备份恢复说明和已知限制随版本交付。</w:t>
      </w:r>
    </w:p>
    <w:p>
      <w:pPr>
        <w:pStyle w:val="Heading1"/>
        <w:keepNext/>
        <w:spacing w:before="240" w:after="100" w:line="252" w:lineRule="auto"/>
      </w:pPr>
      <w:r>
        <w:rPr>
          <w:rFonts w:ascii="Microsoft YaHei" w:hAnsi="Microsoft YaHei" w:eastAsia="Microsoft YaHei"/>
          <w:b/>
          <w:color w:val="17365D"/>
          <w:sz w:val="32"/>
        </w:rPr>
        <w:t>13. MVP 实施计划与交付物</w:t>
      </w:r>
    </w:p>
    <w:p>
      <w:pPr>
        <w:pStyle w:val="Heading2"/>
        <w:keepNext/>
        <w:spacing w:before="160" w:after="100" w:line="252" w:lineRule="auto"/>
      </w:pPr>
      <w:r>
        <w:rPr>
          <w:rFonts w:ascii="Microsoft YaHei" w:hAnsi="Microsoft YaHei" w:eastAsia="Microsoft YaHei"/>
          <w:b/>
          <w:color w:val="2F75B5"/>
          <w:sz w:val="26"/>
        </w:rPr>
        <w:t>13.1 建议实施阶段</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阶段</w:t>
            </w:r>
          </w:p>
        </w:tc>
        <w:tc>
          <w:tcPr>
            <w:tcW w:type="dxa" w:w="475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工作内容</w:t>
            </w:r>
          </w:p>
        </w:tc>
        <w:tc>
          <w:tcPr>
            <w:tcW w:type="dxa" w:w="288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阶段出口</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S0 需求与原型</w:t>
            </w:r>
          </w:p>
        </w:tc>
        <w:tc>
          <w:tcPr>
            <w:tcW w:type="dxa" w:w="47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冻结角色、流程、模型元数据、引擎首批清单；输出页面原型</w:t>
            </w:r>
          </w:p>
        </w:tc>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需求基线、ER 草图、接口清单、交互原型</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S1 平台骨架</w:t>
            </w:r>
          </w:p>
        </w:tc>
        <w:tc>
          <w:tcPr>
            <w:tcW w:type="dxa" w:w="47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项目/用户/角色、元数据库、审计框架、基础前后端部署</w:t>
            </w:r>
          </w:p>
        </w:tc>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可登录、可创建项目，CI 和迁移可用</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S2 模型设计 MVP</w:t>
            </w:r>
          </w:p>
        </w:tc>
        <w:tc>
          <w:tcPr>
            <w:tcW w:type="dxa" w:w="47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主题域、需求、模型/表/字段、关系、保存与查询</w:t>
            </w:r>
          </w:p>
        </w:tc>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可完成模型草稿设计与基础图形查看</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S3 规则与版本</w:t>
            </w:r>
          </w:p>
        </w:tc>
        <w:tc>
          <w:tcPr>
            <w:tcW w:type="dxa" w:w="47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规则引擎、校验运行、提交评审、快照、差异比较</w:t>
            </w:r>
          </w:p>
        </w:tc>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可完整走通评审闭环</w:t>
            </w:r>
          </w:p>
        </w:tc>
      </w:tr>
      <w:tr>
        <w:trPr>
          <w:cantSplit/>
        </w:trPr>
        <w:tc>
          <w:tcPr>
            <w:tcW w:type="dxa" w:w="172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S4 多引擎交付</w:t>
            </w:r>
          </w:p>
        </w:tc>
        <w:tc>
          <w:tcPr>
            <w:tcW w:type="dxa" w:w="47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引擎配置、逻辑类型映射、DDL/字典导出</w:t>
            </w:r>
          </w:p>
        </w:tc>
        <w:tc>
          <w:tcPr>
            <w:tcW w:type="dxa" w:w="288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通过首批目标引擎集成测试</w:t>
            </w:r>
          </w:p>
        </w:tc>
      </w:tr>
      <w:tr>
        <w:trPr>
          <w:cantSplit/>
        </w:trPr>
        <w:tc>
          <w:tcPr>
            <w:tcW w:type="dxa" w:w="172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S5 试点与加固</w:t>
            </w:r>
          </w:p>
        </w:tc>
        <w:tc>
          <w:tcPr>
            <w:tcW w:type="dxa" w:w="47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权限审计、安全、性能、部署与用户试点</w:t>
            </w:r>
          </w:p>
        </w:tc>
        <w:tc>
          <w:tcPr>
            <w:tcW w:type="dxa" w:w="288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完成验收及 V1.0 发布决策</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13.2 研发角色建议</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角色</w:t>
            </w:r>
          </w:p>
        </w:tc>
        <w:tc>
          <w:tcPr>
            <w:tcW w:type="dxa" w:w="727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主要责任</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产品/业务分析</w:t>
            </w:r>
          </w:p>
        </w:tc>
        <w:tc>
          <w:tcPr>
            <w:tcW w:type="dxa" w:w="72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需求边界、流程、页面原型、验收口径、待决问题管理</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数仓架构师</w:t>
            </w:r>
          </w:p>
        </w:tc>
        <w:tc>
          <w:tcPr>
            <w:tcW w:type="dxa" w:w="72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建模方法、分层/命名规范、模型类型、校验规则、引擎差异评审</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后端研发</w:t>
            </w:r>
          </w:p>
        </w:tc>
        <w:tc>
          <w:tcPr>
            <w:tcW w:type="dxa" w:w="72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API、元数据模型、状态机、规则执行、适配器、审计和导出</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前端研发</w:t>
            </w:r>
          </w:p>
        </w:tc>
        <w:tc>
          <w:tcPr>
            <w:tcW w:type="dxa" w:w="72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工作台、需求/模型编辑、画布、校验面板、评审和版本差异界面</w:t>
            </w:r>
          </w:p>
        </w:tc>
      </w:tr>
      <w:tr>
        <w:trPr>
          <w:cantSplit/>
        </w:trPr>
        <w:tc>
          <w:tcPr>
            <w:tcW w:type="dxa" w:w="208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测试工程师</w:t>
            </w:r>
          </w:p>
        </w:tc>
        <w:tc>
          <w:tcPr>
            <w:tcW w:type="dxa" w:w="72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测试数据、规则单测、API/端到端、引擎方言兼容、安全和回归</w:t>
            </w:r>
          </w:p>
        </w:tc>
      </w:tr>
      <w:tr>
        <w:trPr>
          <w:cantSplit/>
        </w:trPr>
        <w:tc>
          <w:tcPr>
            <w:tcW w:type="dxa" w:w="208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运维/平台工程师</w:t>
            </w:r>
          </w:p>
        </w:tc>
        <w:tc>
          <w:tcPr>
            <w:tcW w:type="dxa" w:w="72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容器化部署、密钥、日志、数据库备份、环境配置和监控</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13.3 交付物清单</w:t>
      </w:r>
    </w:p>
    <w:p>
      <w:pPr>
        <w:pStyle w:val="ListBullet"/>
        <w:spacing w:before="0" w:after="40" w:line="259" w:lineRule="auto"/>
      </w:pPr>
      <w:r>
        <w:rPr>
          <w:rFonts w:ascii="Microsoft YaHei" w:hAnsi="Microsoft YaHei" w:eastAsia="Microsoft YaHei"/>
          <w:sz w:val="19"/>
        </w:rPr>
        <w:t>需求说明书及页面/流程原型。</w:t>
      </w:r>
    </w:p>
    <w:p>
      <w:pPr>
        <w:pStyle w:val="ListBullet"/>
        <w:spacing w:before="0" w:after="40" w:line="259" w:lineRule="auto"/>
      </w:pPr>
      <w:r>
        <w:rPr>
          <w:rFonts w:ascii="Microsoft YaHei" w:hAnsi="Microsoft YaHei" w:eastAsia="Microsoft YaHei"/>
          <w:sz w:val="19"/>
        </w:rPr>
        <w:t>平台元数据库 ER 图、建表迁移脚本和数据字典。</w:t>
      </w:r>
    </w:p>
    <w:p>
      <w:pPr>
        <w:pStyle w:val="ListBullet"/>
        <w:spacing w:before="0" w:after="40" w:line="259" w:lineRule="auto"/>
      </w:pPr>
      <w:r>
        <w:rPr>
          <w:rFonts w:ascii="Microsoft YaHei" w:hAnsi="Microsoft YaHei" w:eastAsia="Microsoft YaHei"/>
          <w:sz w:val="19"/>
        </w:rPr>
        <w:t>OpenAPI 接口文档、错误码表和权限矩阵。</w:t>
      </w:r>
    </w:p>
    <w:p>
      <w:pPr>
        <w:pStyle w:val="ListBullet"/>
        <w:spacing w:before="0" w:after="40" w:line="259" w:lineRule="auto"/>
      </w:pPr>
      <w:r>
        <w:rPr>
          <w:rFonts w:ascii="Microsoft YaHei" w:hAnsi="Microsoft YaHei" w:eastAsia="Microsoft YaHei"/>
          <w:sz w:val="19"/>
        </w:rPr>
        <w:t>建模规则目录、规则配置样例和自动化测试。</w:t>
      </w:r>
    </w:p>
    <w:p>
      <w:pPr>
        <w:pStyle w:val="ListBullet"/>
        <w:spacing w:before="0" w:after="40" w:line="259" w:lineRule="auto"/>
      </w:pPr>
      <w:r>
        <w:rPr>
          <w:rFonts w:ascii="Microsoft YaHei" w:hAnsi="Microsoft YaHei" w:eastAsia="Microsoft YaHei"/>
          <w:sz w:val="19"/>
        </w:rPr>
        <w:t>首批引擎适配器、类型映射表、DDL 样例与集成测试报告。</w:t>
      </w:r>
    </w:p>
    <w:p>
      <w:pPr>
        <w:pStyle w:val="ListBullet"/>
        <w:spacing w:before="0" w:after="40" w:line="259" w:lineRule="auto"/>
      </w:pPr>
      <w:r>
        <w:rPr>
          <w:rFonts w:ascii="Microsoft YaHei" w:hAnsi="Microsoft YaHei" w:eastAsia="Microsoft YaHei"/>
          <w:sz w:val="19"/>
        </w:rPr>
        <w:t>Docker Compose、环境配置样例、部署/升级/备份恢复说明。</w:t>
      </w:r>
    </w:p>
    <w:p>
      <w:pPr>
        <w:pStyle w:val="ListBullet"/>
        <w:spacing w:before="0" w:after="40" w:line="259" w:lineRule="auto"/>
      </w:pPr>
      <w:r>
        <w:rPr>
          <w:rFonts w:ascii="Microsoft YaHei" w:hAnsi="Microsoft YaHei" w:eastAsia="Microsoft YaHei"/>
          <w:sz w:val="19"/>
        </w:rPr>
        <w:t>测试报告、已知限制清单、试点反馈与下一迭代 Backlog。</w:t>
      </w:r>
    </w:p>
    <w:p>
      <w:pPr>
        <w:pStyle w:val="Heading1"/>
        <w:keepNext/>
        <w:spacing w:before="240" w:after="100" w:line="252" w:lineRule="auto"/>
      </w:pPr>
      <w:r>
        <w:rPr>
          <w:rFonts w:ascii="Microsoft YaHei" w:hAnsi="Microsoft YaHei" w:eastAsia="Microsoft YaHei"/>
          <w:b/>
          <w:color w:val="17365D"/>
          <w:sz w:val="32"/>
        </w:rPr>
        <w:t>14. 风险、待决事项与后续路线图</w:t>
      </w:r>
    </w:p>
    <w:p>
      <w:pPr>
        <w:pStyle w:val="Heading2"/>
        <w:keepNext/>
        <w:spacing w:before="160" w:after="100" w:line="252" w:lineRule="auto"/>
      </w:pPr>
      <w:r>
        <w:rPr>
          <w:rFonts w:ascii="Microsoft YaHei" w:hAnsi="Microsoft YaHei" w:eastAsia="Microsoft YaHei"/>
          <w:b/>
          <w:color w:val="2F75B5"/>
          <w:sz w:val="26"/>
        </w:rPr>
        <w:t>14.1 主要风险及缓解措施</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风险</w:t>
            </w:r>
          </w:p>
        </w:tc>
        <w:tc>
          <w:tcPr>
            <w:tcW w:type="dxa" w:w="259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影响</w:t>
            </w:r>
          </w:p>
        </w:tc>
        <w:tc>
          <w:tcPr>
            <w:tcW w:type="dxa" w:w="446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缓解措施</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范围膨胀</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MVP 延期，核心闭环未完成</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严格区分 P0/P1/P2；ETL/质量/自动血缘不进入第一期开发</w:t>
            </w:r>
          </w:p>
        </w:tc>
      </w:tr>
      <w:tr>
        <w:trPr>
          <w:cantSplit/>
        </w:trPr>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方言差异低估</w:t>
            </w:r>
          </w:p>
        </w:tc>
        <w:tc>
          <w:tcPr>
            <w:tcW w:type="dxa" w:w="25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生成 DDL 无法执行或静默丢属性</w:t>
            </w:r>
          </w:p>
        </w:tc>
        <w:tc>
          <w:tcPr>
            <w:tcW w:type="dxa" w:w="446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每个适配器明确能力矩阵；有目标版本的集成测试；未支持时显式告警</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版本设计不当</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历史发布被覆盖、下游交付不可追溯</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模型身份与版本分离；发布快照不可变；生成物绑定 hash</w:t>
            </w:r>
          </w:p>
        </w:tc>
      </w:tr>
      <w:tr>
        <w:trPr>
          <w:cantSplit/>
        </w:trPr>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JSON 快照与子表不一致</w:t>
            </w:r>
          </w:p>
        </w:tc>
        <w:tc>
          <w:tcPr>
            <w:tcW w:type="dxa" w:w="25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编辑、查询和发布结果不一致</w:t>
            </w:r>
          </w:p>
        </w:tc>
        <w:tc>
          <w:tcPr>
            <w:tcW w:type="dxa" w:w="446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事务内更新；定义快照规范化流程；测试一致性和内容哈希</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权限只在前端实现</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越权读取或操作</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后端统一授权依赖；自动化负向权限测试</w:t>
            </w:r>
          </w:p>
        </w:tc>
      </w:tr>
      <w:tr>
        <w:trPr>
          <w:cantSplit/>
        </w:trPr>
        <w:tc>
          <w:tcPr>
            <w:tcW w:type="dxa" w:w="223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过早微服务化</w:t>
            </w:r>
          </w:p>
        </w:tc>
        <w:tc>
          <w:tcPr>
            <w:tcW w:type="dxa" w:w="259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部署/调试成本过高</w:t>
            </w:r>
          </w:p>
        </w:tc>
        <w:tc>
          <w:tcPr>
            <w:tcW w:type="dxa" w:w="446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先模块化单体；达到独立扩展/团队边界后再拆分</w:t>
            </w:r>
          </w:p>
        </w:tc>
      </w:tr>
      <w:tr>
        <w:trPr>
          <w:cantSplit/>
        </w:trPr>
        <w:tc>
          <w:tcPr>
            <w:tcW w:type="dxa" w:w="223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目标数据库连接风险</w:t>
            </w:r>
          </w:p>
        </w:tc>
        <w:tc>
          <w:tcPr>
            <w:tcW w:type="dxa" w:w="259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凭证泄露或误执行 DDL</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首期不执行目标 DDL；凭证加密/外置；读取和写入权限分离</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14.2 待决事项（进入评审会确认）</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00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编号</w:t>
            </w:r>
          </w:p>
        </w:tc>
        <w:tc>
          <w:tcPr>
            <w:tcW w:type="dxa" w:w="338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待决事项</w:t>
            </w:r>
          </w:p>
        </w:tc>
        <w:tc>
          <w:tcPr>
            <w:tcW w:type="dxa" w:w="3816"/>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建议默认值</w:t>
            </w:r>
          </w:p>
        </w:tc>
        <w:tc>
          <w:tcPr>
            <w:tcW w:type="dxa" w:w="115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5"/>
              </w:rPr>
              <w:t>负责人建议</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D-01</w:t>
            </w:r>
          </w:p>
        </w:tc>
        <w:tc>
          <w:tcPr>
            <w:tcW w:type="dxa" w:w="33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首批必须完整支持的目标引擎</w:t>
            </w:r>
          </w:p>
        </w:tc>
        <w:tc>
          <w:tcPr>
            <w:tcW w:type="dxa" w:w="38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MySQL + PostgreSQL 完整验证；Hive/Spark SQL、Doris/StarRocks 按插件批次纳入</w:t>
            </w:r>
          </w:p>
        </w:tc>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数仓架构师</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D-02</w:t>
            </w:r>
          </w:p>
        </w:tc>
        <w:tc>
          <w:tcPr>
            <w:tcW w:type="dxa" w:w="33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模型是否允许多表打包</w:t>
            </w:r>
          </w:p>
        </w:tc>
        <w:tc>
          <w:tcPr>
            <w:tcW w:type="dxa" w:w="38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允许；便于关系图和业务域模型扩展</w:t>
            </w:r>
          </w:p>
        </w:tc>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产品/架构</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D-03</w:t>
            </w:r>
          </w:p>
        </w:tc>
        <w:tc>
          <w:tcPr>
            <w:tcW w:type="dxa" w:w="33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评审是单人还是多人会签</w:t>
            </w:r>
          </w:p>
        </w:tc>
        <w:tc>
          <w:tcPr>
            <w:tcW w:type="dxa" w:w="38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MVP 支持一名必选评审人，可扩展多人评审</w:t>
            </w:r>
          </w:p>
        </w:tc>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产品</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D-04</w:t>
            </w:r>
          </w:p>
        </w:tc>
        <w:tc>
          <w:tcPr>
            <w:tcW w:type="dxa" w:w="33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正式版本编号策略</w:t>
            </w:r>
          </w:p>
        </w:tc>
        <w:tc>
          <w:tcPr>
            <w:tcW w:type="dxa" w:w="38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发布时生成递增语义版本或项目自定义格式；草稿 revision 独立</w:t>
            </w:r>
          </w:p>
        </w:tc>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产品/研发</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D-05</w:t>
            </w:r>
          </w:p>
        </w:tc>
        <w:tc>
          <w:tcPr>
            <w:tcW w:type="dxa" w:w="33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业务需求字段与指标是否首期完整结构化</w:t>
            </w:r>
          </w:p>
        </w:tc>
        <w:tc>
          <w:tcPr>
            <w:tcW w:type="dxa" w:w="38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首期采用核心字段 + 可扩展业务规则/指标条目；复杂指标目录后续做</w:t>
            </w:r>
          </w:p>
        </w:tc>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业务分析</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D-06</w:t>
            </w:r>
          </w:p>
        </w:tc>
        <w:tc>
          <w:tcPr>
            <w:tcW w:type="dxa" w:w="33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登录方式</w:t>
            </w:r>
          </w:p>
        </w:tc>
        <w:tc>
          <w:tcPr>
            <w:tcW w:type="dxa" w:w="38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MVP 本地账号 + RBAC；企业 SSO 作为上线前或后续能力</w:t>
            </w:r>
          </w:p>
        </w:tc>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平台/安全</w:t>
            </w:r>
          </w:p>
        </w:tc>
      </w:tr>
      <w:tr>
        <w:trPr>
          <w:cantSplit/>
        </w:trPr>
        <w:tc>
          <w:tcPr>
            <w:tcW w:type="dxa" w:w="100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D-07</w:t>
            </w:r>
          </w:p>
        </w:tc>
        <w:tc>
          <w:tcPr>
            <w:tcW w:type="dxa" w:w="338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附件存储</w:t>
            </w:r>
          </w:p>
        </w:tc>
        <w:tc>
          <w:tcPr>
            <w:tcW w:type="dxa" w:w="3816"/>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开发使用本地卷；生产使用企业对象存储/文件服务</w:t>
            </w:r>
          </w:p>
        </w:tc>
        <w:tc>
          <w:tcPr>
            <w:tcW w:type="dxa" w:w="11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5"/>
              </w:rPr>
              <w:t>运维</w:t>
            </w:r>
          </w:p>
        </w:tc>
      </w:tr>
      <w:tr>
        <w:trPr>
          <w:cantSplit/>
        </w:trPr>
        <w:tc>
          <w:tcPr>
            <w:tcW w:type="dxa" w:w="100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D-08</w:t>
            </w:r>
          </w:p>
        </w:tc>
        <w:tc>
          <w:tcPr>
            <w:tcW w:type="dxa" w:w="338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生产环境能否执行 DDL</w:t>
            </w:r>
          </w:p>
        </w:tc>
        <w:tc>
          <w:tcPr>
            <w:tcW w:type="dxa" w:w="3816"/>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本期明确禁止；未来单独立项和安全评审</w:t>
            </w:r>
          </w:p>
        </w:tc>
        <w:tc>
          <w:tcPr>
            <w:tcW w:type="dxa" w:w="11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5"/>
              </w:rPr>
              <w:t>平台负责人</w:t>
            </w:r>
          </w:p>
        </w:tc>
      </w:tr>
    </w:tbl>
    <w:p>
      <w:pPr>
        <w:spacing w:before="0" w:after="20" w:line="276" w:lineRule="auto"/>
      </w:pPr>
    </w:p>
    <w:p>
      <w:pPr>
        <w:pStyle w:val="Heading2"/>
        <w:keepNext/>
        <w:spacing w:before="160" w:after="100" w:line="252" w:lineRule="auto"/>
      </w:pPr>
      <w:r>
        <w:rPr>
          <w:rFonts w:ascii="Microsoft YaHei" w:hAnsi="Microsoft YaHei" w:eastAsia="Microsoft YaHei"/>
          <w:b/>
          <w:color w:val="2F75B5"/>
          <w:sz w:val="26"/>
        </w:rPr>
        <w:t>14.3 后续路线图</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阶段</w:t>
            </w:r>
          </w:p>
        </w:tc>
        <w:tc>
          <w:tcPr>
            <w:tcW w:type="dxa" w:w="3168"/>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候选能力</w:t>
            </w:r>
          </w:p>
        </w:tc>
        <w:tc>
          <w:tcPr>
            <w:tcW w:type="dxa" w:w="475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与数据建模中心的衔接</w:t>
            </w:r>
          </w:p>
        </w:tc>
      </w:tr>
      <w:tr>
        <w:trPr>
          <w:cantSplit/>
        </w:trPr>
        <w:tc>
          <w:tcPr>
            <w:tcW w:type="dxa" w:w="14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V1.1</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更多引擎适配、元数据反向读取</w:t>
            </w:r>
          </w:p>
        </w:tc>
        <w:tc>
          <w:tcPr>
            <w:tcW w:type="dxa" w:w="47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将已有物理表结构导入为模型草稿，生成 drift 差异报告</w:t>
            </w:r>
          </w:p>
        </w:tc>
      </w:tr>
      <w:tr>
        <w:trPr>
          <w:cantSplit/>
        </w:trPr>
        <w:tc>
          <w:tcPr>
            <w:tcW w:type="dxa" w:w="14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V1.2</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数据标准/公共维度/指标目录</w:t>
            </w:r>
          </w:p>
        </w:tc>
        <w:tc>
          <w:tcPr>
            <w:tcW w:type="dxa" w:w="47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引用标准字段、公共维度、指标口径，减少重复定义</w:t>
            </w:r>
          </w:p>
        </w:tc>
      </w:tr>
      <w:tr>
        <w:trPr>
          <w:cantSplit/>
        </w:trPr>
        <w:tc>
          <w:tcPr>
            <w:tcW w:type="dxa" w:w="14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V2.0</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ETL 开发与任务编排</w:t>
            </w:r>
          </w:p>
        </w:tc>
        <w:tc>
          <w:tcPr>
            <w:tcW w:type="dxa" w:w="47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ETL 任务引用 model_version_id、table_id、column_id</w:t>
            </w:r>
          </w:p>
        </w:tc>
      </w:tr>
      <w:tr>
        <w:trPr>
          <w:cantSplit/>
        </w:trPr>
        <w:tc>
          <w:tcPr>
            <w:tcW w:type="dxa" w:w="14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V2.1</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数据质量规则与运行结果</w:t>
            </w:r>
          </w:p>
        </w:tc>
        <w:tc>
          <w:tcPr>
            <w:tcW w:type="dxa" w:w="47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质量规则关联模型表/字段及版本；异常可回溯规则来源</w:t>
            </w:r>
          </w:p>
        </w:tc>
      </w:tr>
      <w:tr>
        <w:trPr>
          <w:cantSplit/>
        </w:trPr>
        <w:tc>
          <w:tcPr>
            <w:tcW w:type="dxa" w:w="1440"/>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V2.2</w:t>
            </w:r>
          </w:p>
        </w:tc>
        <w:tc>
          <w:tcPr>
            <w:tcW w:type="dxa" w:w="3168"/>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表级/字段级血缘</w:t>
            </w:r>
          </w:p>
        </w:tc>
        <w:tc>
          <w:tcPr>
            <w:tcW w:type="dxa" w:w="475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采集 ETL SQL、任务元数据并与模型稳定标识匹配</w:t>
            </w:r>
          </w:p>
        </w:tc>
      </w:tr>
      <w:tr>
        <w:trPr>
          <w:cantSplit/>
        </w:trPr>
        <w:tc>
          <w:tcPr>
            <w:tcW w:type="dxa" w:w="1440"/>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V3.0</w:t>
            </w:r>
          </w:p>
        </w:tc>
        <w:tc>
          <w:tcPr>
            <w:tcW w:type="dxa" w:w="3168"/>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数据资产目录与使用反馈</w:t>
            </w:r>
          </w:p>
        </w:tc>
        <w:tc>
          <w:tcPr>
            <w:tcW w:type="dxa" w:w="475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把正式模型、质量、血缘、负责人及消费场景汇聚为资产视图</w:t>
            </w:r>
          </w:p>
        </w:tc>
      </w:tr>
    </w:tbl>
    <w:p>
      <w:pPr>
        <w:spacing w:before="0" w:after="20" w:line="276" w:lineRule="auto"/>
      </w:pPr>
    </w:p>
    <w:p>
      <w:pPr>
        <w:pStyle w:val="Heading1"/>
        <w:keepNext/>
        <w:spacing w:before="240" w:after="100" w:line="252" w:lineRule="auto"/>
      </w:pPr>
      <w:r>
        <w:rPr>
          <w:rFonts w:ascii="Microsoft YaHei" w:hAnsi="Microsoft YaHei" w:eastAsia="Microsoft YaHei"/>
          <w:b/>
          <w:color w:val="17365D"/>
          <w:sz w:val="32"/>
        </w:rPr>
        <w:t>附录 A. 示例模型与 DDL</w:t>
      </w:r>
    </w:p>
    <w:p>
      <w:pPr>
        <w:spacing w:before="0" w:after="80" w:line="276" w:lineRule="auto"/>
      </w:pPr>
      <w:r>
        <w:rPr>
          <w:rFonts w:ascii="Microsoft YaHei" w:hAnsi="Microsoft YaHei" w:eastAsia="Microsoft YaHei"/>
          <w:b w:val="0"/>
          <w:i w:val="0"/>
          <w:sz w:val="20"/>
        </w:rPr>
        <w:t>示例业务：合同管理分析。目标是记录合同基本信息和合同明细，并为后续合同金额统计、项目分析及数据质量规则留出字段来源与粒度说明。以下 SQL 仅用于展示设计意图，需在目标引擎版本中集成测试后才能作为可执行交付。</w:t>
      </w:r>
    </w:p>
    <w:p>
      <w:pPr>
        <w:pStyle w:val="Heading2"/>
        <w:keepNext/>
        <w:spacing w:before="160" w:after="100" w:line="252" w:lineRule="auto"/>
      </w:pPr>
      <w:r>
        <w:rPr>
          <w:rFonts w:ascii="Microsoft YaHei" w:hAnsi="Microsoft YaHei" w:eastAsia="Microsoft YaHei"/>
          <w:b/>
          <w:color w:val="2F75B5"/>
          <w:sz w:val="26"/>
        </w:rPr>
        <w:t>A.1 业务定义与粒度</w:t>
      </w:r>
    </w:p>
    <w:p>
      <w:pPr>
        <w:pStyle w:val="ListBullet"/>
        <w:spacing w:before="0" w:after="40" w:line="259" w:lineRule="auto"/>
      </w:pPr>
      <w:r>
        <w:rPr>
          <w:rFonts w:ascii="Microsoft YaHei" w:hAnsi="Microsoft YaHei" w:eastAsia="Microsoft YaHei"/>
          <w:sz w:val="19"/>
        </w:rPr>
        <w:t>合同主表粒度：每一行代表一个合同。建议以 contract_id 为技术主键，contract_no 为候选业务唯一键（需经业务确认）。</w:t>
      </w:r>
    </w:p>
    <w:p>
      <w:pPr>
        <w:pStyle w:val="ListBullet"/>
        <w:spacing w:before="0" w:after="40" w:line="259" w:lineRule="auto"/>
      </w:pPr>
      <w:r>
        <w:rPr>
          <w:rFonts w:ascii="Microsoft YaHei" w:hAnsi="Microsoft YaHei" w:eastAsia="Microsoft YaHei"/>
          <w:sz w:val="19"/>
        </w:rPr>
        <w:t>合同明细表粒度：每一行代表一个合同下的一个明细项。建议使用 contract_id + line_no 的复合业务键；是否作为物理主键取决于目标引擎。</w:t>
      </w:r>
    </w:p>
    <w:p>
      <w:pPr>
        <w:pStyle w:val="ListBullet"/>
        <w:spacing w:before="0" w:after="40" w:line="259" w:lineRule="auto"/>
      </w:pPr>
      <w:r>
        <w:rPr>
          <w:rFonts w:ascii="Microsoft YaHei" w:hAnsi="Microsoft YaHei" w:eastAsia="Microsoft YaHei"/>
          <w:sz w:val="19"/>
        </w:rPr>
        <w:t>金额字段使用 DECIMAL 而不是浮点数；币种、含税/未税口径和精度规则需要在业务调研时明确。</w:t>
      </w:r>
    </w:p>
    <w:p>
      <w:pPr>
        <w:pStyle w:val="ListBullet"/>
        <w:spacing w:before="0" w:after="40" w:line="259" w:lineRule="auto"/>
      </w:pPr>
      <w:r>
        <w:rPr>
          <w:rFonts w:ascii="Microsoft YaHei" w:hAnsi="Microsoft YaHei" w:eastAsia="Microsoft YaHei"/>
          <w:sz w:val="19"/>
        </w:rPr>
        <w:t>业务字段来源需要在真实项目中关联到源系统/源表/源字段；本示例不代表某个企业的真实源系统。</w:t>
      </w:r>
    </w:p>
    <w:p>
      <w:pPr>
        <w:pStyle w:val="Heading2"/>
        <w:keepNext/>
        <w:spacing w:before="160" w:after="100" w:line="252" w:lineRule="auto"/>
      </w:pPr>
      <w:r>
        <w:rPr>
          <w:rFonts w:ascii="Microsoft YaHei" w:hAnsi="Microsoft YaHei" w:eastAsia="Microsoft YaHei"/>
          <w:b/>
          <w:color w:val="2F75B5"/>
          <w:sz w:val="26"/>
        </w:rPr>
        <w:t>A.2 示例 DDL（PostgreSQL 风格）</w:t>
      </w:r>
    </w:p>
    <w:tbl>
      <w:tblPr>
        <w:tblStyle w:val="TableGrid"/>
        <w:tblW w:type="auto" w:w="0"/>
        <w:jc w:val="center"/>
        <w:tblLook w:firstColumn="1" w:firstRow="1" w:lastColumn="0" w:lastRow="0" w:noHBand="0" w:noVBand="1" w:val="04A0"/>
      </w:tblPr>
      <w:tblGrid>
        <w:gridCol w:w="9994"/>
      </w:tblGrid>
      <w:tr>
        <w:trPr>
          <w:cantSplit/>
        </w:trPr>
        <w:tc>
          <w:tcPr>
            <w:tcW w:type="dxa" w:w="9994"/>
            <w:shd w:fill="F3F5F7"/>
            <w:tcMar>
              <w:top w:w="120" w:type="dxa"/>
              <w:start w:w="150" w:type="dxa"/>
              <w:bottom w:w="120" w:type="dxa"/>
              <w:end w:w="150" w:type="dxa"/>
            </w:tcMar>
          </w:tcPr>
          <w:p>
            <w:pPr>
              <w:spacing w:before="0" w:after="0" w:line="240" w:lineRule="auto"/>
            </w:pPr>
            <w:r/>
            <w:r>
              <w:rPr>
                <w:rFonts w:ascii="Consolas" w:hAnsi="Consolas" w:eastAsia="Microsoft YaHei"/>
                <w:color w:val="333333"/>
                <w:sz w:val="16"/>
              </w:rPr>
              <w:t>CREATE TABLE dwd_contract (</w:t>
            </w:r>
            <w:r>
              <w:br/>
            </w:r>
            <w:r>
              <w:rPr>
                <w:rFonts w:ascii="Consolas" w:hAnsi="Consolas" w:eastAsia="Microsoft YaHei"/>
                <w:color w:val="333333"/>
                <w:sz w:val="16"/>
              </w:rPr>
              <w:t xml:space="preserve">    contract_id     BIGINT       NOT NULL,</w:t>
            </w:r>
            <w:r>
              <w:br/>
            </w:r>
            <w:r>
              <w:rPr>
                <w:rFonts w:ascii="Consolas" w:hAnsi="Consolas" w:eastAsia="Microsoft YaHei"/>
                <w:color w:val="333333"/>
                <w:sz w:val="16"/>
              </w:rPr>
              <w:t xml:space="preserve">    contract_no     VARCHAR(64)  NOT NULL,</w:t>
            </w:r>
            <w:r>
              <w:br/>
            </w:r>
            <w:r>
              <w:rPr>
                <w:rFonts w:ascii="Consolas" w:hAnsi="Consolas" w:eastAsia="Microsoft YaHei"/>
                <w:color w:val="333333"/>
                <w:sz w:val="16"/>
              </w:rPr>
              <w:t xml:space="preserve">    project_id      BIGINT,</w:t>
            </w:r>
            <w:r>
              <w:br/>
            </w:r>
            <w:r>
              <w:rPr>
                <w:rFonts w:ascii="Consolas" w:hAnsi="Consolas" w:eastAsia="Microsoft YaHei"/>
                <w:color w:val="333333"/>
                <w:sz w:val="16"/>
              </w:rPr>
              <w:t xml:space="preserve">    contract_status VARCHAR(30),</w:t>
            </w:r>
            <w:r>
              <w:br/>
            </w:r>
            <w:r>
              <w:rPr>
                <w:rFonts w:ascii="Consolas" w:hAnsi="Consolas" w:eastAsia="Microsoft YaHei"/>
                <w:color w:val="333333"/>
                <w:sz w:val="16"/>
              </w:rPr>
              <w:t xml:space="preserve">    signed_date     DATE,</w:t>
            </w:r>
            <w:r>
              <w:br/>
            </w:r>
            <w:r>
              <w:rPr>
                <w:rFonts w:ascii="Consolas" w:hAnsi="Consolas" w:eastAsia="Microsoft YaHei"/>
                <w:color w:val="333333"/>
                <w:sz w:val="16"/>
              </w:rPr>
              <w:t xml:space="preserve">    total_amount    DECIMAL(18,2),</w:t>
            </w:r>
            <w:r>
              <w:br/>
            </w:r>
            <w:r>
              <w:rPr>
                <w:rFonts w:ascii="Consolas" w:hAnsi="Consolas" w:eastAsia="Microsoft YaHei"/>
                <w:color w:val="333333"/>
                <w:sz w:val="16"/>
              </w:rPr>
              <w:t xml:space="preserve">    currency_code   VARCHAR(3),</w:t>
            </w:r>
            <w:r>
              <w:br/>
            </w:r>
            <w:r>
              <w:rPr>
                <w:rFonts w:ascii="Consolas" w:hAnsi="Consolas" w:eastAsia="Microsoft YaHei"/>
                <w:color w:val="333333"/>
                <w:sz w:val="16"/>
              </w:rPr>
              <w:t xml:space="preserve">    created_at      TIMESTAMP,</w:t>
            </w:r>
            <w:r>
              <w:br/>
            </w:r>
            <w:r>
              <w:rPr>
                <w:rFonts w:ascii="Consolas" w:hAnsi="Consolas" w:eastAsia="Microsoft YaHei"/>
                <w:color w:val="333333"/>
                <w:sz w:val="16"/>
              </w:rPr>
              <w:t xml:space="preserve">    updated_at      TIMESTAMP,</w:t>
            </w:r>
            <w:r>
              <w:br/>
            </w:r>
            <w:r>
              <w:rPr>
                <w:rFonts w:ascii="Consolas" w:hAnsi="Consolas" w:eastAsia="Microsoft YaHei"/>
                <w:color w:val="333333"/>
                <w:sz w:val="16"/>
              </w:rPr>
              <w:t xml:space="preserve">    PRIMARY KEY (contract_id),</w:t>
            </w:r>
            <w:r>
              <w:br/>
            </w:r>
            <w:r>
              <w:rPr>
                <w:rFonts w:ascii="Consolas" w:hAnsi="Consolas" w:eastAsia="Microsoft YaHei"/>
                <w:color w:val="333333"/>
                <w:sz w:val="16"/>
              </w:rPr>
              <w:t xml:space="preserve">    UNIQUE (contract_no)</w:t>
            </w:r>
            <w:r>
              <w:br/>
            </w:r>
            <w:r>
              <w:rPr>
                <w:rFonts w:ascii="Consolas" w:hAnsi="Consolas" w:eastAsia="Microsoft YaHei"/>
                <w:color w:val="333333"/>
                <w:sz w:val="16"/>
              </w:rPr>
              <w:t>);</w:t>
            </w:r>
            <w:r>
              <w:br/>
            </w:r>
            <w:r>
              <w:rPr>
                <w:rFonts w:ascii="Consolas" w:hAnsi="Consolas" w:eastAsia="Microsoft YaHei"/>
                <w:color w:val="333333"/>
                <w:sz w:val="16"/>
              </w:rPr>
            </w:r>
            <w:r>
              <w:br/>
            </w:r>
            <w:r>
              <w:rPr>
                <w:rFonts w:ascii="Consolas" w:hAnsi="Consolas" w:eastAsia="Microsoft YaHei"/>
                <w:color w:val="333333"/>
                <w:sz w:val="16"/>
              </w:rPr>
              <w:t>CREATE TABLE dwd_contract_detail (</w:t>
            </w:r>
            <w:r>
              <w:br/>
            </w:r>
            <w:r>
              <w:rPr>
                <w:rFonts w:ascii="Consolas" w:hAnsi="Consolas" w:eastAsia="Microsoft YaHei"/>
                <w:color w:val="333333"/>
                <w:sz w:val="16"/>
              </w:rPr>
              <w:t xml:space="preserve">    contract_id     BIGINT       NOT NULL,</w:t>
            </w:r>
            <w:r>
              <w:br/>
            </w:r>
            <w:r>
              <w:rPr>
                <w:rFonts w:ascii="Consolas" w:hAnsi="Consolas" w:eastAsia="Microsoft YaHei"/>
                <w:color w:val="333333"/>
                <w:sz w:val="16"/>
              </w:rPr>
              <w:t xml:space="preserve">    line_no         INTEGER      NOT NULL,</w:t>
            </w:r>
            <w:r>
              <w:br/>
            </w:r>
            <w:r>
              <w:rPr>
                <w:rFonts w:ascii="Consolas" w:hAnsi="Consolas" w:eastAsia="Microsoft YaHei"/>
                <w:color w:val="333333"/>
                <w:sz w:val="16"/>
              </w:rPr>
              <w:t xml:space="preserve">    item_name       VARCHAR(200),</w:t>
            </w:r>
            <w:r>
              <w:br/>
            </w:r>
            <w:r>
              <w:rPr>
                <w:rFonts w:ascii="Consolas" w:hAnsi="Consolas" w:eastAsia="Microsoft YaHei"/>
                <w:color w:val="333333"/>
                <w:sz w:val="16"/>
              </w:rPr>
              <w:t xml:space="preserve">    quantity        DECIMAL(18,4),</w:t>
            </w:r>
            <w:r>
              <w:br/>
            </w:r>
            <w:r>
              <w:rPr>
                <w:rFonts w:ascii="Consolas" w:hAnsi="Consolas" w:eastAsia="Microsoft YaHei"/>
                <w:color w:val="333333"/>
                <w:sz w:val="16"/>
              </w:rPr>
              <w:t xml:space="preserve">    unit_price      DECIMAL(18,2),</w:t>
            </w:r>
            <w:r>
              <w:br/>
            </w:r>
            <w:r>
              <w:rPr>
                <w:rFonts w:ascii="Consolas" w:hAnsi="Consolas" w:eastAsia="Microsoft YaHei"/>
                <w:color w:val="333333"/>
                <w:sz w:val="16"/>
              </w:rPr>
              <w:t xml:space="preserve">    line_amount     DECIMAL(18,2),</w:t>
            </w:r>
            <w:r>
              <w:br/>
            </w:r>
            <w:r>
              <w:rPr>
                <w:rFonts w:ascii="Consolas" w:hAnsi="Consolas" w:eastAsia="Microsoft YaHei"/>
                <w:color w:val="333333"/>
                <w:sz w:val="16"/>
              </w:rPr>
              <w:t xml:space="preserve">    PRIMARY KEY (contract_id, line_no)</w:t>
            </w:r>
            <w:r>
              <w:br/>
            </w:r>
            <w:r>
              <w:rPr>
                <w:rFonts w:ascii="Consolas" w:hAnsi="Consolas" w:eastAsia="Microsoft YaHei"/>
                <w:color w:val="333333"/>
                <w:sz w:val="16"/>
              </w:rPr>
              <w:t>);</w:t>
            </w:r>
          </w:p>
        </w:tc>
      </w:tr>
    </w:tbl>
    <w:p>
      <w:pPr>
        <w:spacing w:before="0" w:after="40" w:line="276" w:lineRule="auto"/>
      </w:pPr>
    </w:p>
    <w:p>
      <w:pPr>
        <w:pStyle w:val="Heading2"/>
        <w:keepNext/>
        <w:spacing w:before="160" w:after="100" w:line="252" w:lineRule="auto"/>
      </w:pPr>
      <w:r>
        <w:rPr>
          <w:rFonts w:ascii="Microsoft YaHei" w:hAnsi="Microsoft YaHei" w:eastAsia="Microsoft YaHei"/>
          <w:b/>
          <w:color w:val="2F75B5"/>
          <w:sz w:val="26"/>
        </w:rPr>
        <w:t>A.3 对应的规则示例</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规则</w:t>
            </w:r>
          </w:p>
        </w:tc>
        <w:tc>
          <w:tcPr>
            <w:tcW w:type="dxa" w:w="302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对象</w:t>
            </w:r>
          </w:p>
        </w:tc>
        <w:tc>
          <w:tcPr>
            <w:tcW w:type="dxa" w:w="4464"/>
            <w:shd w:fill="17365D"/>
            <w:tcMar>
              <w:top w:w="80" w:type="dxa"/>
              <w:start w:w="100" w:type="dxa"/>
              <w:bottom w:w="80" w:type="dxa"/>
              <w:end w:w="100" w:type="dxa"/>
            </w:tcMar>
            <w:vAlign w:val="center"/>
          </w:tcPr>
          <w:p>
            <w:pPr>
              <w:spacing w:before="0" w:after="0" w:line="240" w:lineRule="auto"/>
            </w:pPr>
            <w:r/>
            <w:r>
              <w:rPr>
                <w:rFonts w:ascii="Microsoft YaHei" w:hAnsi="Microsoft YaHei" w:eastAsia="Microsoft YaHei"/>
                <w:b/>
                <w:color w:val="FFFFFF"/>
                <w:sz w:val="16"/>
              </w:rPr>
              <w:t>预期结果</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主键不可空</w:t>
            </w:r>
          </w:p>
        </w:tc>
        <w:tc>
          <w:tcPr>
            <w:tcW w:type="dxa" w:w="302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dwd_contract.contract_id</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字段 nullable=false，生成主键定义</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业务唯一性</w:t>
            </w:r>
          </w:p>
        </w:tc>
        <w:tc>
          <w:tcPr>
            <w:tcW w:type="dxa" w:w="302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dwd_contract.contract_no</w:t>
            </w:r>
          </w:p>
        </w:tc>
        <w:tc>
          <w:tcPr>
            <w:tcW w:type="dxa" w:w="446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业务确认后添加唯一键定义；若不要求数据库约束，则作为逻辑规则记录</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金额精度</w:t>
            </w:r>
          </w:p>
        </w:tc>
        <w:tc>
          <w:tcPr>
            <w:tcW w:type="dxa" w:w="302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total_amount / unit_price / line_amount</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逻辑类型 DECIMAL，精度和小数位完整且在引擎范围内</w:t>
            </w:r>
          </w:p>
        </w:tc>
      </w:tr>
      <w:tr>
        <w:trPr>
          <w:cantSplit/>
        </w:trPr>
        <w:tc>
          <w:tcPr>
            <w:tcW w:type="dxa" w:w="1872"/>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粒度说明</w:t>
            </w:r>
          </w:p>
        </w:tc>
        <w:tc>
          <w:tcPr>
            <w:tcW w:type="dxa" w:w="302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合同明细表</w:t>
            </w:r>
          </w:p>
        </w:tc>
        <w:tc>
          <w:tcPr>
            <w:tcW w:type="dxa" w:w="4464"/>
            <w:tcMar>
              <w:top w:w="80" w:type="dxa"/>
              <w:start w:w="100" w:type="dxa"/>
              <w:bottom w:w="80" w:type="dxa"/>
              <w:end w:w="100" w:type="dxa"/>
            </w:tcMar>
            <w:vAlign w:val="center"/>
            <w:shd w:fill="F4F7FA"/>
          </w:tcPr>
          <w:p>
            <w:pPr>
              <w:spacing w:before="0" w:after="0" w:line="252" w:lineRule="auto"/>
            </w:pPr>
            <w:r/>
            <w:r>
              <w:rPr>
                <w:rFonts w:ascii="Microsoft YaHei" w:hAnsi="Microsoft YaHei" w:eastAsia="Microsoft YaHei"/>
                <w:color w:val="222222"/>
                <w:sz w:val="16"/>
              </w:rPr>
              <w:t>模型描述说明每行粒度，避免一行代表多个明细项</w:t>
            </w:r>
          </w:p>
        </w:tc>
      </w:tr>
      <w:tr>
        <w:trPr>
          <w:cantSplit/>
        </w:trPr>
        <w:tc>
          <w:tcPr>
            <w:tcW w:type="dxa" w:w="1872"/>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来源追踪</w:t>
            </w:r>
          </w:p>
        </w:tc>
        <w:tc>
          <w:tcPr>
            <w:tcW w:type="dxa" w:w="302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所有字段</w:t>
            </w:r>
          </w:p>
        </w:tc>
        <w:tc>
          <w:tcPr>
            <w:tcW w:type="dxa" w:w="4464"/>
            <w:tcMar>
              <w:top w:w="80" w:type="dxa"/>
              <w:start w:w="100" w:type="dxa"/>
              <w:bottom w:w="80" w:type="dxa"/>
              <w:end w:w="100" w:type="dxa"/>
            </w:tcMar>
            <w:vAlign w:val="center"/>
          </w:tcPr>
          <w:p>
            <w:pPr>
              <w:spacing w:before="0" w:after="0" w:line="252" w:lineRule="auto"/>
            </w:pPr>
            <w:r/>
            <w:r>
              <w:rPr>
                <w:rFonts w:ascii="Microsoft YaHei" w:hAnsi="Microsoft YaHei" w:eastAsia="Microsoft YaHei"/>
                <w:color w:val="222222"/>
                <w:sz w:val="16"/>
              </w:rPr>
              <w:t>至少记录来源说明；首期可人工维护，后续由 ETL 血缘自动补齐</w:t>
            </w:r>
          </w:p>
        </w:tc>
      </w:tr>
    </w:tbl>
    <w:p>
      <w:pPr>
        <w:spacing w:before="0" w:after="20" w:line="276" w:lineRule="auto"/>
      </w:pPr>
    </w:p>
    <w:p>
      <w:pPr>
        <w:pStyle w:val="Heading1"/>
        <w:keepNext/>
        <w:spacing w:before="240" w:after="100" w:line="252" w:lineRule="auto"/>
      </w:pPr>
      <w:r>
        <w:rPr>
          <w:rFonts w:ascii="Microsoft YaHei" w:hAnsi="Microsoft YaHei" w:eastAsia="Microsoft YaHei"/>
          <w:b/>
          <w:color w:val="17365D"/>
          <w:sz w:val="32"/>
        </w:rPr>
        <w:t>附录 B. 参考技术资料</w:t>
      </w:r>
    </w:p>
    <w:p>
      <w:pPr>
        <w:spacing w:before="0" w:after="80" w:line="276" w:lineRule="auto"/>
      </w:pPr>
      <w:r>
        <w:rPr>
          <w:rFonts w:ascii="Microsoft YaHei" w:hAnsi="Microsoft YaHei" w:eastAsia="Microsoft YaHei"/>
          <w:b w:val="0"/>
          <w:i w:val="0"/>
          <w:sz w:val="18"/>
        </w:rPr>
        <w:t>以下为架构评估时可继续查阅的官方技术资料。实际选型应在项目启动时再次确认版本、兼容性、许可证和企业安全要求。</w:t>
      </w:r>
    </w:p>
    <w:p>
      <w:pPr>
        <w:spacing w:before="0" w:after="60" w:line="259" w:lineRule="auto"/>
      </w:pPr>
      <w:r>
        <w:rPr>
          <w:rFonts w:ascii="Microsoft YaHei" w:hAnsi="Microsoft YaHei" w:eastAsia="Microsoft YaHei"/>
          <w:b/>
          <w:color w:val="17365D"/>
          <w:sz w:val="18"/>
        </w:rPr>
        <w:t xml:space="preserve">FastAPI - SQL 数据库教程 — </w:t>
      </w:r>
      <w:r>
        <w:rPr>
          <w:rFonts w:ascii="Microsoft YaHei" w:hAnsi="Microsoft YaHei" w:eastAsia="Microsoft YaHei"/>
          <w:color w:val="2F75B5"/>
          <w:sz w:val="17"/>
        </w:rPr>
        <w:t>https://fastapi.tiangolo.com/tutorial/sql-databases/</w:t>
        <w:br/>
      </w:r>
      <w:r>
        <w:rPr>
          <w:rFonts w:ascii="Microsoft YaHei" w:hAnsi="Microsoft YaHei" w:eastAsia="Microsoft YaHei"/>
          <w:color w:val="595959"/>
          <w:sz w:val="17"/>
        </w:rPr>
        <w:t>说明 FastAPI 可配合不同关系型数据库库使用。</w:t>
      </w:r>
    </w:p>
    <w:p>
      <w:pPr>
        <w:spacing w:before="0" w:after="60" w:line="259" w:lineRule="auto"/>
      </w:pPr>
      <w:r>
        <w:rPr>
          <w:rFonts w:ascii="Microsoft YaHei" w:hAnsi="Microsoft YaHei" w:eastAsia="Microsoft YaHei"/>
          <w:b/>
          <w:color w:val="17365D"/>
          <w:sz w:val="18"/>
        </w:rPr>
        <w:t xml:space="preserve">SQLAlchemy 2.0 文档 — </w:t>
      </w:r>
      <w:r>
        <w:rPr>
          <w:rFonts w:ascii="Microsoft YaHei" w:hAnsi="Microsoft YaHei" w:eastAsia="Microsoft YaHei"/>
          <w:color w:val="2F75B5"/>
          <w:sz w:val="17"/>
        </w:rPr>
        <w:t>https://docs.sqlalchemy.org/en/20/</w:t>
        <w:br/>
      </w:r>
      <w:r>
        <w:rPr>
          <w:rFonts w:ascii="Microsoft YaHei" w:hAnsi="Microsoft YaHei" w:eastAsia="Microsoft YaHei"/>
          <w:color w:val="595959"/>
          <w:sz w:val="17"/>
        </w:rPr>
        <w:t>ORM、SQL 表达式、连接和方言支持。</w:t>
      </w:r>
    </w:p>
    <w:p>
      <w:pPr>
        <w:spacing w:before="0" w:after="60" w:line="259" w:lineRule="auto"/>
      </w:pPr>
      <w:r>
        <w:rPr>
          <w:rFonts w:ascii="Microsoft YaHei" w:hAnsi="Microsoft YaHei" w:eastAsia="Microsoft YaHei"/>
          <w:b/>
          <w:color w:val="17365D"/>
          <w:sz w:val="18"/>
        </w:rPr>
        <w:t xml:space="preserve">SQLGlot 官方文档 — </w:t>
      </w:r>
      <w:r>
        <w:rPr>
          <w:rFonts w:ascii="Microsoft YaHei" w:hAnsi="Microsoft YaHei" w:eastAsia="Microsoft YaHei"/>
          <w:color w:val="2F75B5"/>
          <w:sz w:val="17"/>
        </w:rPr>
        <w:t>https://sqlglot.com/</w:t>
        <w:br/>
      </w:r>
      <w:r>
        <w:rPr>
          <w:rFonts w:ascii="Microsoft YaHei" w:hAnsi="Microsoft YaHei" w:eastAsia="Microsoft YaHei"/>
          <w:color w:val="595959"/>
          <w:sz w:val="17"/>
        </w:rPr>
        <w:t>SQL 解析、方言转换及自定义方言能力；不应替代目标引擎测试。</w:t>
      </w:r>
    </w:p>
    <w:p>
      <w:pPr>
        <w:spacing w:before="0" w:after="60" w:line="259" w:lineRule="auto"/>
      </w:pPr>
      <w:r>
        <w:rPr>
          <w:rFonts w:ascii="Microsoft YaHei" w:hAnsi="Microsoft YaHei" w:eastAsia="Microsoft YaHei"/>
          <w:b/>
          <w:color w:val="17365D"/>
          <w:sz w:val="18"/>
        </w:rPr>
        <w:t xml:space="preserve">Vue Flow 官方文档 — </w:t>
      </w:r>
      <w:r>
        <w:rPr>
          <w:rFonts w:ascii="Microsoft YaHei" w:hAnsi="Microsoft YaHei" w:eastAsia="Microsoft YaHei"/>
          <w:color w:val="2F75B5"/>
          <w:sz w:val="17"/>
        </w:rPr>
        <w:t>https://vueflow.dev/guide/</w:t>
        <w:br/>
      </w:r>
      <w:r>
        <w:rPr>
          <w:rFonts w:ascii="Microsoft YaHei" w:hAnsi="Microsoft YaHei" w:eastAsia="Microsoft YaHei"/>
          <w:color w:val="595959"/>
          <w:sz w:val="17"/>
        </w:rPr>
        <w:t>可交互流程图/节点图能力，适用于模型关系画布原型。</w:t>
      </w:r>
    </w:p>
    <w:p>
      <w:pPr>
        <w:pStyle w:val="Heading1"/>
        <w:keepNext/>
        <w:spacing w:before="240" w:after="100" w:line="252" w:lineRule="auto"/>
      </w:pPr>
      <w:r>
        <w:rPr>
          <w:rFonts w:ascii="Microsoft YaHei" w:hAnsi="Microsoft YaHei" w:eastAsia="Microsoft YaHei"/>
          <w:b/>
          <w:color w:val="17365D"/>
          <w:sz w:val="32"/>
        </w:rPr>
        <w:t>结语：V0.1 的决策摘要</w:t>
      </w:r>
    </w:p>
    <w:p>
      <w:pPr>
        <w:pStyle w:val="ListBullet"/>
        <w:spacing w:before="0" w:after="40" w:line="259" w:lineRule="auto"/>
      </w:pPr>
      <w:r>
        <w:rPr>
          <w:rFonts w:ascii="Microsoft YaHei" w:hAnsi="Microsoft YaHei" w:eastAsia="Microsoft YaHei"/>
          <w:sz w:val="19"/>
        </w:rPr>
        <w:t>首期交付一个完整的建模管理闭环，而不是孤立的 ER 图绘制工具。</w:t>
      </w:r>
    </w:p>
    <w:p>
      <w:pPr>
        <w:pStyle w:val="ListBullet"/>
        <w:spacing w:before="0" w:after="40" w:line="259" w:lineRule="auto"/>
      </w:pPr>
      <w:r>
        <w:rPr>
          <w:rFonts w:ascii="Microsoft YaHei" w:hAnsi="Microsoft YaHei" w:eastAsia="Microsoft YaHei"/>
          <w:sz w:val="19"/>
        </w:rPr>
        <w:t>模型身份、模型版本和模型发布物分开管理；发布版本不可变。</w:t>
      </w:r>
    </w:p>
    <w:p>
      <w:pPr>
        <w:pStyle w:val="ListBullet"/>
        <w:spacing w:before="0" w:after="40" w:line="259" w:lineRule="auto"/>
      </w:pPr>
      <w:r>
        <w:rPr>
          <w:rFonts w:ascii="Microsoft YaHei" w:hAnsi="Microsoft YaHei" w:eastAsia="Microsoft YaHei"/>
          <w:sz w:val="19"/>
        </w:rPr>
        <w:t>逻辑模型统一、物理引擎适配；每种引擎通过显式能力声明和测试验证交付。</w:t>
      </w:r>
    </w:p>
    <w:p>
      <w:pPr>
        <w:pStyle w:val="ListBullet"/>
        <w:spacing w:before="0" w:after="40" w:line="259" w:lineRule="auto"/>
      </w:pPr>
      <w:r>
        <w:rPr>
          <w:rFonts w:ascii="Microsoft YaHei" w:hAnsi="Microsoft YaHei" w:eastAsia="Microsoft YaHei"/>
          <w:sz w:val="19"/>
        </w:rPr>
        <w:t>先采用模块化单体和容器化部署，避免过早引入复杂基础设施。</w:t>
      </w:r>
    </w:p>
    <w:p>
      <w:pPr>
        <w:pStyle w:val="ListBullet"/>
        <w:spacing w:before="0" w:after="40" w:line="259" w:lineRule="auto"/>
      </w:pPr>
      <w:r>
        <w:rPr>
          <w:rFonts w:ascii="Microsoft YaHei" w:hAnsi="Microsoft YaHei" w:eastAsia="Microsoft YaHei"/>
          <w:sz w:val="19"/>
        </w:rPr>
        <w:t>本期生成 DDL 但不执行 DDL；生产执行能力必须单独进行安全与变更管理设计。</w:t>
      </w:r>
    </w:p>
    <w:p>
      <w:pPr>
        <w:pStyle w:val="ListBullet"/>
        <w:spacing w:before="0" w:after="40" w:line="259" w:lineRule="auto"/>
      </w:pPr>
      <w:r>
        <w:rPr>
          <w:rFonts w:ascii="Microsoft YaHei" w:hAnsi="Microsoft YaHei" w:eastAsia="Microsoft YaHei"/>
          <w:sz w:val="19"/>
        </w:rPr>
        <w:t>正式进入开发前，应优先完成第 14.2 节待决事项评审，并冻结首批目标引擎与 MVP 验收范围。</w:t>
      </w:r>
    </w:p>
    <w:p>
      <w:pPr>
        <w:spacing w:before="0" w:after="20" w:line="269" w:lineRule="auto"/>
      </w:pPr>
    </w:p>
    <w:p>
      <w:r>
        <w:br w:type="page"/>
      </w:r>
    </w:p>
    <w:p>
      <w:pPr>
        <w:pStyle w:val="Heading1"/>
        <w:keepNext/>
        <w:spacing w:before="240" w:after="100" w:line="252" w:lineRule="auto"/>
      </w:pPr>
      <w:r>
        <w:rPr>
          <w:rFonts w:ascii="Microsoft YaHei" w:hAnsi="Microsoft YaHei" w:eastAsia="Microsoft YaHei"/>
          <w:b/>
          <w:color w:val="17365D"/>
          <w:sz w:val="31"/>
        </w:rPr>
        <w:t>15. V0.2 增量补充与核心元数据 ERD</w:t>
      </w:r>
    </w:p>
    <w:p>
      <w:pPr>
        <w:pStyle w:val="Heading2"/>
        <w:keepNext/>
        <w:spacing w:before="160" w:after="100" w:line="252" w:lineRule="auto"/>
      </w:pPr>
      <w:r>
        <w:rPr>
          <w:rFonts w:ascii="Microsoft YaHei" w:hAnsi="Microsoft YaHei" w:eastAsia="Microsoft YaHei"/>
          <w:b/>
          <w:color w:val="2F75B5"/>
          <w:sz w:val="25"/>
        </w:rPr>
        <w:t>15.1 本次版本目标与决策摘要</w:t>
      </w:r>
    </w:p>
    <w:p>
      <w:pPr>
        <w:spacing w:before="0" w:after="80" w:line="269" w:lineRule="auto"/>
      </w:pPr>
      <w:r>
        <w:rPr>
          <w:rFonts w:ascii="Microsoft YaHei" w:hAnsi="Microsoft YaHei" w:eastAsia="Microsoft YaHei"/>
          <w:b w:val="0"/>
          <w:i w:val="0"/>
          <w:sz w:val="18"/>
        </w:rPr>
        <w:t>V0.2 不推翻 V0.1 的产品方向，而是把核心对象、数据库约束、版本事务和接口契约补足到可以启动研发评估的程度。数据库初始化脚本采用 PostgreSQL 15+ 作为平台自身的元数据库，不代表目标数仓必须采用 PostgreSQL。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事项</w:t>
            </w:r>
          </w:p>
        </w:tc>
        <w:tc>
          <w:tcPr>
            <w:tcW w:type="dxa" w:w="381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V0.2 基线决策</w:t>
            </w:r>
          </w:p>
        </w:tc>
        <w:tc>
          <w:tcPr>
            <w:tcW w:type="dxa" w:w="396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设计理由</w:t>
            </w:r>
          </w:p>
        </w:tc>
      </w:tr>
      <w:tr>
        <w:trPr>
          <w:cantSplit/>
        </w:trPr>
        <w:tc>
          <w:tcPr>
            <w:tcW w:type="dxa" w:w="165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平台形态</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模块化单体；前后端分离；API 驱动。</w:t>
            </w:r>
          </w:p>
        </w:tc>
        <w:tc>
          <w:tcPr>
            <w:tcW w:type="dxa" w:w="39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降低部署和开发复杂度，同时保留后续拆分服务的边界。</w:t>
            </w:r>
          </w:p>
        </w:tc>
      </w:tr>
      <w:tr>
        <w:trPr>
          <w:cantSplit/>
        </w:trPr>
        <w:tc>
          <w:tcPr>
            <w:tcW w:type="dxa" w:w="165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元数据库</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PostgreSQL 15+；核心关系使用规范化表，扩展参数使用 JSONB。</w:t>
            </w:r>
          </w:p>
        </w:tc>
        <w:tc>
          <w:tcPr>
            <w:tcW w:type="dxa" w:w="39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核心元数据可查询、可约束；引擎能力、规则参数等可演进。</w:t>
            </w:r>
          </w:p>
        </w:tc>
      </w:tr>
      <w:tr>
        <w:trPr>
          <w:cantSplit/>
        </w:trPr>
        <w:tc>
          <w:tcPr>
            <w:tcW w:type="dxa" w:w="165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模型结构</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模型稳定身份 → 版本 → 表 → 字段/关系；版本有不可变快照。</w:t>
            </w:r>
          </w:p>
        </w:tc>
        <w:tc>
          <w:tcPr>
            <w:tcW w:type="dxa" w:w="39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避免同一模型的设计稿、评审版本和发布版本互相覆盖。</w:t>
            </w:r>
          </w:p>
        </w:tc>
      </w:tr>
      <w:tr>
        <w:trPr>
          <w:cantSplit/>
        </w:trPr>
        <w:tc>
          <w:tcPr>
            <w:tcW w:type="dxa" w:w="165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版本策略</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单模型同一时刻最多一个草稿；提交评审时冻结当前版本；驳回后派生新版本。</w:t>
            </w:r>
          </w:p>
        </w:tc>
        <w:tc>
          <w:tcPr>
            <w:tcW w:type="dxa" w:w="39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V0.2 先不实现复杂分支/合并，以减少并发和冲突处理成本。</w:t>
            </w:r>
          </w:p>
        </w:tc>
      </w:tr>
      <w:tr>
        <w:trPr>
          <w:cantSplit/>
        </w:trPr>
        <w:tc>
          <w:tcPr>
            <w:tcW w:type="dxa" w:w="165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发布定义</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平台发布仅生成正式元数据版本和交付物；不自动在生产引擎执行 DDL。</w:t>
            </w:r>
          </w:p>
        </w:tc>
        <w:tc>
          <w:tcPr>
            <w:tcW w:type="dxa" w:w="39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避免把模型管理平台变成未经审批的生产变更通道。</w:t>
            </w:r>
          </w:p>
        </w:tc>
      </w:tr>
      <w:tr>
        <w:trPr>
          <w:cantSplit/>
        </w:trPr>
        <w:tc>
          <w:tcPr>
            <w:tcW w:type="dxa" w:w="165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引擎策略</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统一逻辑类型 + 引擎 Profile + 能力声明 + 方言适配器。</w:t>
            </w:r>
          </w:p>
        </w:tc>
        <w:tc>
          <w:tcPr>
            <w:tcW w:type="dxa" w:w="39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不同引擎差异通过适配层收敛，不把数据库特性散落在业务逻辑中。</w:t>
            </w:r>
          </w:p>
        </w:tc>
      </w:tr>
      <w:tr>
        <w:trPr>
          <w:cantSplit/>
        </w:trPr>
        <w:tc>
          <w:tcPr>
            <w:tcW w:type="dxa" w:w="165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权限策略</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平台角色 + 项目成员角色 + 对象级校验。</w:t>
            </w:r>
          </w:p>
        </w:tc>
        <w:tc>
          <w:tcPr>
            <w:tcW w:type="dxa" w:w="39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按钮隐藏不是权限控制；API 必须执行服务端鉴权。</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15.2 核心元数据关系图</w:t>
      </w:r>
    </w:p>
    <w:p>
      <w:pPr>
        <w:spacing w:before="0" w:after="40" w:line="240" w:lineRule="auto"/>
        <w:jc w:val="center"/>
      </w:pPr>
      <w:r>
        <w:drawing>
          <wp:inline xmlns:a="http://schemas.openxmlformats.org/drawingml/2006/main" xmlns:pic="http://schemas.openxmlformats.org/drawingml/2006/picture">
            <wp:extent cx="5989320" cy="1585026"/>
            <wp:docPr id="1" name="Picture 1"/>
            <wp:cNvGraphicFramePr>
              <a:graphicFrameLocks noChangeAspect="1"/>
            </wp:cNvGraphicFramePr>
            <a:graphic>
              <a:graphicData uri="http://schemas.openxmlformats.org/drawingml/2006/picture">
                <pic:pic>
                  <pic:nvPicPr>
                    <pic:cNvPr id="0" name="erd_v02.png"/>
                    <pic:cNvPicPr/>
                  </pic:nvPicPr>
                  <pic:blipFill>
                    <a:blip r:embed="rId11"/>
                    <a:stretch>
                      <a:fillRect/>
                    </a:stretch>
                  </pic:blipFill>
                  <pic:spPr>
                    <a:xfrm>
                      <a:off x="0" y="0"/>
                      <a:ext cx="5989320" cy="1585026"/>
                    </a:xfrm>
                    <a:prstGeom prst="rect"/>
                  </pic:spPr>
                </pic:pic>
              </a:graphicData>
            </a:graphic>
          </wp:inline>
        </w:drawing>
      </w:r>
    </w:p>
    <w:p>
      <w:pPr>
        <w:spacing w:before="0" w:after="100" w:line="240" w:lineRule="auto"/>
        <w:jc w:val="center"/>
      </w:pPr>
      <w:r>
        <w:rPr>
          <w:rFonts w:ascii="Microsoft YaHei" w:hAnsi="Microsoft YaHei" w:eastAsia="Microsoft YaHei"/>
          <w:i/>
          <w:color w:val="595959"/>
          <w:sz w:val="16"/>
        </w:rPr>
        <w:t>图 15-1  核心元数据关系图（逻辑 ERD；完整字段定义以附带 SQL 为准）</w:t>
      </w:r>
    </w:p>
    <w:p>
      <w:pPr>
        <w:spacing w:before="0" w:after="80" w:line="269" w:lineRule="auto"/>
      </w:pPr>
      <w:r>
        <w:rPr>
          <w:rFonts w:ascii="Microsoft YaHei" w:hAnsi="Microsoft YaHei" w:eastAsia="Microsoft YaHei"/>
          <w:b w:val="0"/>
          <w:i w:val="0"/>
          <w:sz w:val="18"/>
        </w:rPr>
        <w:t>图示说明：项目承载需求、主题域和模型；模型具有稳定身份，多个版本共享模型身份；每个版本包含表、字段和关系，并关联规则校验、评审任务、来源映射以及不同目标引擎的 DDL 交付物。用户、角色和项目成员权限作为横向控制面。</w:t>
      </w:r>
    </w:p>
    <w:p>
      <w:pPr>
        <w:pStyle w:val="Heading2"/>
        <w:keepNext/>
        <w:spacing w:before="160" w:after="100" w:line="252" w:lineRule="auto"/>
      </w:pPr>
      <w:r>
        <w:rPr>
          <w:rFonts w:ascii="Microsoft YaHei" w:hAnsi="Microsoft YaHei" w:eastAsia="Microsoft YaHei"/>
          <w:b/>
          <w:color w:val="2F75B5"/>
          <w:sz w:val="25"/>
        </w:rPr>
        <w:t>15.3 关键实体职责与基数</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实体/表</w:t>
            </w:r>
          </w:p>
        </w:tc>
        <w:tc>
          <w:tcPr>
            <w:tcW w:type="dxa" w:w="316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职责</w:t>
            </w:r>
          </w:p>
        </w:tc>
        <w:tc>
          <w:tcPr>
            <w:tcW w:type="dxa" w:w="417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核心关联与约束</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projects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项目空间、项目设置及归属</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项目编码全局唯一；软归档，不建议物理删除。</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project_members / app_roles / app_user_roles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项目级成员角色与平台角色</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用户与角色多对多；应用层综合判定平台权限、项目成员角色和资源归属。</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subject_domains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项目内主题域</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project_id + domain_code 唯一；模型可关联一个主题域。</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business_requirements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业务需求和调研结论</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需求编码在项目内唯一；研究结论结构化保存，附件后续可抽成独立文件服务。</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模型稳定身份，不存可变的表字段结构</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project_id + model_code 唯一；model_kind 表示概念/逻辑/物理/语义模型。</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model_requirement_links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需求与模型之间的多对多关联</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一个需求可对应多个模型，一个模型也可支持多个需求；必须在同一项目内。</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model_versions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模型版本、状态、版本快照和校验摘要</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model_id + version_no 唯一；同一模型最多一个草稿；冻结后不可修改。</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model_tables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版本下的表/实体定义</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version_id + table_code 唯一；粒度、表类型、分层、分区信息按需填写。</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model_columns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版本下表的字段定义</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物理字段编码在表内唯一；主键不能为空；逻辑类型和物理类型分开维护。</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model_relations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同版本内表之间的关系</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关联两端表和可选字段必须属于同一版本，防止跨版本错连。</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model_source_mappings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目标字段到来源对象/字段的映射</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结构化记录来源系统、表、字段和转换表达式，为后续血缘扩展打基础。</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engine_profiles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目标引擎、版本、能力与类型映射配置</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配置不保存明文凭据；能力声明必须有对应兼容性测试。</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rule_definitions / validation_runs / validation_issues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规则、校验执行批次和问题明细</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规则配置数据化；每次校验保留结果快照，不能只覆盖最新校验状态。</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review_tasks / review_comments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评审分配、决议、问题与整改</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按版本和轮次记录；评审意见可绑定模型、表或字段。</w:t>
            </w:r>
          </w:p>
        </w:tc>
      </w:tr>
      <w:tr>
        <w:trPr>
          <w:cantSplit/>
        </w:trPr>
        <w:tc>
          <w:tcPr>
            <w:tcW w:type="dxa" w:w="20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ddl_artifacts</w:t>
            </w:r>
          </w:p>
        </w:tc>
        <w:tc>
          <w:tcPr>
            <w:tcW w:type="dxa" w:w="31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DDL、数据字典和模型说明书等交付件</w:t>
            </w:r>
          </w:p>
        </w:tc>
        <w:tc>
          <w:tcPr>
            <w:tcW w:type="dxa" w:w="417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记录引擎 Profile、生成器版本、内容摘要和校验状态。</w:t>
            </w:r>
          </w:p>
        </w:tc>
      </w:tr>
      <w:tr>
        <w:trPr>
          <w:cantSplit/>
        </w:trPr>
        <w:tc>
          <w:tcPr>
            <w:tcW w:type="dxa" w:w="20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audit_logs</w:t>
            </w:r>
          </w:p>
        </w:tc>
        <w:tc>
          <w:tcPr>
            <w:tcW w:type="dxa" w:w="31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关键操作的审计证据</w:t>
            </w:r>
          </w:p>
        </w:tc>
        <w:tc>
          <w:tcPr>
            <w:tcW w:type="dxa" w:w="417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至少记录主体、动作、对象、时间、结果和请求追踪标识。</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16. PostgreSQL 物理表结构与约束</w:t>
      </w:r>
    </w:p>
    <w:p>
      <w:pPr>
        <w:pStyle w:val="Heading2"/>
        <w:keepNext/>
        <w:spacing w:before="160" w:after="100" w:line="252" w:lineRule="auto"/>
      </w:pPr>
      <w:r>
        <w:rPr>
          <w:rFonts w:ascii="Microsoft YaHei" w:hAnsi="Microsoft YaHei" w:eastAsia="Microsoft YaHei"/>
          <w:b/>
          <w:color w:val="2F75B5"/>
          <w:sz w:val="25"/>
        </w:rPr>
        <w:t>16.1 数据库实现基线</w:t>
      </w:r>
    </w:p>
    <w:p>
      <w:pPr>
        <w:spacing w:before="0" w:after="80" w:line="269" w:lineRule="auto"/>
      </w:pPr>
      <w:r>
        <w:rPr>
          <w:rFonts w:ascii="Microsoft YaHei" w:hAnsi="Microsoft YaHei" w:eastAsia="Microsoft YaHei"/>
          <w:b w:val="0"/>
          <w:i w:val="0"/>
          <w:sz w:val="18"/>
        </w:rPr>
        <w:t>随文提供 schema_v02.sql 初始化脚本，目标为 PostgreSQL 15+。脚本创建 22 张元数据表、必要索引、初始角色和基础校验规则。脚本是“平台元数据库”的结构基线；投产前仍需在目标 PostgreSQL 版本执行建库验证、迁移验证和备份恢复演练。</w:t>
      </w:r>
    </w:p>
    <w:tbl>
      <w:tblPr>
        <w:tblStyle w:val="TableGrid"/>
        <w:tblW w:type="auto" w:w="0"/>
        <w:tblLook w:firstColumn="1" w:firstRow="1" w:lastColumn="0" w:lastRow="0" w:noHBand="0" w:noVBand="1" w:val="04A0"/>
      </w:tblPr>
      <w:tblGrid>
        <w:gridCol w:w="9994"/>
      </w:tblGrid>
      <w:tr>
        <w:tc>
          <w:tcPr>
            <w:tcW w:type="dxa" w:w="9994"/>
            <w:tcMar>
              <w:top w:w="120" w:type="dxa"/>
              <w:start w:w="150" w:type="dxa"/>
              <w:bottom w:w="120" w:type="dxa"/>
              <w:end w:w="150" w:type="dxa"/>
            </w:tcMar>
            <w:shd w:fill="FFF2CC"/>
          </w:tcPr>
          <w:p>
            <w:pPr>
              <w:spacing w:before="0" w:after="40" w:line="259" w:lineRule="auto"/>
            </w:pPr>
            <w:r/>
            <w:r>
              <w:rPr>
                <w:rFonts w:ascii="Microsoft YaHei" w:hAnsi="Microsoft YaHei" w:eastAsia="Microsoft YaHei"/>
                <w:b/>
                <w:color w:val="17365D"/>
                <w:sz w:val="19"/>
              </w:rPr>
              <w:t>边界提醒</w:t>
            </w:r>
          </w:p>
          <w:p>
            <w:pPr>
              <w:spacing w:before="0" w:after="0" w:line="264" w:lineRule="auto"/>
            </w:pPr>
            <w:r>
              <w:rPr>
                <w:rFonts w:ascii="Microsoft YaHei" w:hAnsi="Microsoft YaHei" w:eastAsia="Microsoft YaHei"/>
                <w:color w:val="222222"/>
                <w:sz w:val="17"/>
              </w:rPr>
              <w:t>SQL 初始化脚本并不创建业务目标数据库的表，也不会执行任何模型 DDL。目标引擎的连接管理和 DDL 执行不属于本期 MVP。</w:t>
            </w:r>
          </w:p>
        </w:tc>
      </w:tr>
    </w:tbl>
    <w:p>
      <w:pPr>
        <w:spacing w:before="0" w:after="40" w:line="269" w:lineRule="auto"/>
      </w:pPr>
    </w:p>
    <w:p>
      <w:pPr>
        <w:pStyle w:val="Heading2"/>
        <w:keepNext/>
        <w:spacing w:before="160" w:after="100" w:line="252" w:lineRule="auto"/>
      </w:pPr>
      <w:r>
        <w:rPr>
          <w:rFonts w:ascii="Microsoft YaHei" w:hAnsi="Microsoft YaHei" w:eastAsia="Microsoft YaHei"/>
          <w:b/>
          <w:color w:val="2F75B5"/>
          <w:sz w:val="25"/>
        </w:rPr>
        <w:t>16.2 表结构清单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分组</w:t>
            </w:r>
          </w:p>
        </w:tc>
        <w:tc>
          <w:tcPr>
            <w:tcW w:type="dxa" w:w="295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表名</w:t>
            </w:r>
          </w:p>
        </w:tc>
        <w:tc>
          <w:tcPr>
            <w:tcW w:type="dxa" w:w="496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主要职责/注意事项</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账号与授权</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app_users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用户身份映射；认证方式可接本地或企业 SSO。</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账号与授权</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app_roles、app_user_roles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平台角色和全局权限集合。</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项目空间</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projects、project_members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项目生命周期、项目成员和项目内角色。</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主题与需求</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subject_domains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项目内主题域目录。</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主题与需求</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business_requirements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需求、业务场景、目标、优先级、验收标准与调研摘要。</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引擎配置</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engine_profiles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目标引擎、版本、Schema、能力声明、类型映射和非敏感参数。</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模型身份</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模型编码、名称、类型、主题域、负责人及生命周期状态。</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需求追踪</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model_requirement_links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需求与模型的多对多映射。</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模型版本</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model_versions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版本号、状态、父版本、快照、SHA-256 摘要、row_version 并发令牌和各阶段时间。</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模型结构</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model_tables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表编码、表名、模型粒度、分层、表类型和分区配置。</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模型结构</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model_columns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字段编码/名称、逻辑类型、物理类型、长度/精度、主键、可空和敏感级别。</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模型结构</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model_relations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表和字段关系、基数、关联条件或关系说明。</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来源追踪</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model_source_mappings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目标字段到源系统对象/字段的映射及转换表达式。</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规范校验</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rule_definitions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可启停规则、适用范围、严重级别、阻断标记和 JSONB 参数。</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规范校验</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validation_runs、validation_issues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校验执行批次、规则集/引擎配置快照、统计值、问题级别、对象定位和整改建议。</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评审发布</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review_tasks、review_comments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评审人、评审轮次、决议、对象级意见和整改状态。</w:t>
            </w:r>
          </w:p>
        </w:tc>
      </w:tr>
      <w:tr>
        <w:trPr>
          <w:cantSplit/>
        </w:trPr>
        <w:tc>
          <w:tcPr>
            <w:tcW w:type="dxa" w:w="15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交付物</w:t>
            </w:r>
          </w:p>
        </w:tc>
        <w:tc>
          <w:tcPr>
            <w:tcW w:type="dxa" w:w="295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ddl_artifacts</w:t>
            </w:r>
          </w:p>
        </w:tc>
        <w:tc>
          <w:tcPr>
            <w:tcW w:type="dxa" w:w="496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生成的 DDL、数据字典或模型说明文件；同时保存引擎 Profile 快照、生成器版本和内容摘要。</w:t>
            </w:r>
          </w:p>
        </w:tc>
      </w:tr>
      <w:tr>
        <w:trPr>
          <w:cantSplit/>
        </w:trPr>
        <w:tc>
          <w:tcPr>
            <w:tcW w:type="dxa" w:w="15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审计</w:t>
            </w:r>
          </w:p>
        </w:tc>
        <w:tc>
          <w:tcPr>
            <w:tcW w:type="dxa" w:w="295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audit_logs</w:t>
            </w:r>
          </w:p>
        </w:tc>
        <w:tc>
          <w:tcPr>
            <w:tcW w:type="dxa" w:w="496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操作人、动作、对象、前后值、结果、请求 ID 和来源 IP。</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16.3 重要约束与索引</w:t>
      </w:r>
    </w:p>
    <w:p>
      <w:pPr>
        <w:pStyle w:val="ListBullet"/>
        <w:spacing w:before="0" w:after="40" w:line="259" w:lineRule="auto"/>
      </w:pPr>
      <w:r>
        <w:rPr>
          <w:rFonts w:ascii="Microsoft YaHei" w:hAnsi="Microsoft YaHei" w:eastAsia="Microsoft YaHei"/>
          <w:sz w:val="18"/>
        </w:rPr>
        <w:t>身份稳定：models.model_id 在模型全生命周期保持不变；model_code 是可读业务编码，不能代替 UUID 主键。</w:t>
      </w:r>
    </w:p>
    <w:p>
      <w:pPr>
        <w:pStyle w:val="ListBullet"/>
        <w:spacing w:before="0" w:after="40" w:line="259" w:lineRule="auto"/>
      </w:pPr>
      <w:r>
        <w:rPr>
          <w:rFonts w:ascii="Microsoft YaHei" w:hAnsi="Microsoft YaHei" w:eastAsia="Microsoft YaHei"/>
          <w:sz w:val="18"/>
        </w:rPr>
        <w:t>版本唯一：UNIQUE(model_id, version_no)；版本号由服务端在事务内分配，客户端不得自行指定。</w:t>
      </w:r>
    </w:p>
    <w:p>
      <w:pPr>
        <w:pStyle w:val="ListBullet"/>
        <w:spacing w:before="0" w:after="40" w:line="259" w:lineRule="auto"/>
      </w:pPr>
      <w:r>
        <w:rPr>
          <w:rFonts w:ascii="Microsoft YaHei" w:hAnsi="Microsoft YaHei" w:eastAsia="Microsoft YaHei"/>
          <w:sz w:val="18"/>
        </w:rPr>
        <w:t>单草稿约束：通过 PostgreSQL 部分唯一索引保证一个模型最多一个 status=draft 的版本，避免多个编辑窗口产生不受控分叉。</w:t>
      </w:r>
    </w:p>
    <w:p>
      <w:pPr>
        <w:pStyle w:val="ListBullet"/>
        <w:spacing w:before="0" w:after="40" w:line="259" w:lineRule="auto"/>
      </w:pPr>
      <w:r>
        <w:rPr>
          <w:rFonts w:ascii="Microsoft YaHei" w:hAnsi="Microsoft YaHei" w:eastAsia="Microsoft YaHei"/>
          <w:sz w:val="18"/>
        </w:rPr>
        <w:t>版本内一致性：model_columns 和 model_relations 使用包含 version_id 的复合外键，保证表、字段、关系属于同一模型版本。</w:t>
      </w:r>
    </w:p>
    <w:p>
      <w:pPr>
        <w:pStyle w:val="ListBullet"/>
        <w:spacing w:before="0" w:after="40" w:line="259" w:lineRule="auto"/>
      </w:pPr>
      <w:r>
        <w:rPr>
          <w:rFonts w:ascii="Microsoft YaHei" w:hAnsi="Microsoft YaHei" w:eastAsia="Microsoft YaHei"/>
          <w:sz w:val="18"/>
        </w:rPr>
        <w:t>字段约束：同一表内 column_code 唯一；ordinal 大于零；主键字段 nullable=false；scale 不得大于 precision（当两者均设置时）。</w:t>
      </w:r>
    </w:p>
    <w:p>
      <w:pPr>
        <w:pStyle w:val="ListBullet"/>
        <w:spacing w:before="0" w:after="40" w:line="259" w:lineRule="auto"/>
      </w:pPr>
      <w:r>
        <w:rPr>
          <w:rFonts w:ascii="Microsoft YaHei" w:hAnsi="Microsoft YaHei" w:eastAsia="Microsoft YaHei"/>
          <w:sz w:val="18"/>
        </w:rPr>
        <w:t>项目一致性：需求与模型的链接使用 project_id 复合外键，防止跨项目误关联。</w:t>
      </w:r>
    </w:p>
    <w:p>
      <w:pPr>
        <w:pStyle w:val="ListBullet"/>
        <w:spacing w:before="0" w:after="40" w:line="259" w:lineRule="auto"/>
      </w:pPr>
      <w:r>
        <w:rPr>
          <w:rFonts w:ascii="Microsoft YaHei" w:hAnsi="Microsoft YaHei" w:eastAsia="Microsoft YaHei"/>
          <w:sz w:val="18"/>
        </w:rPr>
        <w:t>JSONB 边界：仅用于可变配置、规则参数、属性和快照；模型表、字段、版本、评审、来源映射等核心实体仍规范化建模。</w:t>
      </w:r>
    </w:p>
    <w:p>
      <w:pPr>
        <w:pStyle w:val="ListBullet"/>
        <w:spacing w:before="0" w:after="40" w:line="259" w:lineRule="auto"/>
      </w:pPr>
      <w:r>
        <w:rPr>
          <w:rFonts w:ascii="Microsoft YaHei" w:hAnsi="Microsoft YaHei" w:eastAsia="Microsoft YaHei"/>
          <w:sz w:val="18"/>
        </w:rPr>
        <w:t>审计和逻辑删除：项目与模型原则上通过状态归档，不直接级联物理删除，以保护评审、发布和审计证据。</w:t>
      </w:r>
    </w:p>
    <w:p>
      <w:pPr>
        <w:pStyle w:val="Heading2"/>
        <w:keepNext/>
        <w:spacing w:before="160" w:after="100" w:line="252" w:lineRule="auto"/>
      </w:pPr>
      <w:r>
        <w:rPr>
          <w:rFonts w:ascii="Microsoft YaHei" w:hAnsi="Microsoft YaHei" w:eastAsia="Microsoft YaHei"/>
          <w:b/>
          <w:color w:val="2F75B5"/>
          <w:sz w:val="25"/>
        </w:rPr>
        <w:t>16.4 表字段维护原则</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58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类别</w:t>
            </w:r>
          </w:p>
        </w:tc>
        <w:tc>
          <w:tcPr>
            <w:tcW w:type="dxa" w:w="784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规则</w:t>
            </w:r>
          </w:p>
        </w:tc>
      </w:tr>
      <w:tr>
        <w:trPr>
          <w:cantSplit/>
        </w:trPr>
        <w:tc>
          <w:tcPr>
            <w:tcW w:type="dxa" w:w="158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通用字段</w:t>
            </w:r>
          </w:p>
        </w:tc>
        <w:tc>
          <w:tcPr>
            <w:tcW w:type="dxa" w:w="784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主表统一包含 created_at、updated_at；更新人字段按业务需要增加。时间字段统一使用 timestamptz，应用与数据库统一 UTC 存储、界面按用户时区展示。</w:t>
            </w:r>
          </w:p>
        </w:tc>
      </w:tr>
      <w:tr>
        <w:trPr>
          <w:cantSplit/>
        </w:trPr>
        <w:tc>
          <w:tcPr>
            <w:tcW w:type="dxa" w:w="158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主键</w:t>
            </w:r>
          </w:p>
        </w:tc>
        <w:tc>
          <w:tcPr>
            <w:tcW w:type="dxa" w:w="784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平台内部统一 UUID；审计流水可采用 bigserial。对外展示使用业务编码，不泄露数据库自增细节。</w:t>
            </w:r>
          </w:p>
        </w:tc>
      </w:tr>
      <w:tr>
        <w:trPr>
          <w:cantSplit/>
        </w:trPr>
        <w:tc>
          <w:tcPr>
            <w:tcW w:type="dxa" w:w="158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状态字段</w:t>
            </w:r>
          </w:p>
        </w:tc>
        <w:tc>
          <w:tcPr>
            <w:tcW w:type="dxa" w:w="784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使用 varchar + CHECK 约束作为 MVP 的可演进枚举；状态变更必须通过业务服务，不允许客户端随意覆盖。</w:t>
            </w:r>
          </w:p>
        </w:tc>
      </w:tr>
      <w:tr>
        <w:trPr>
          <w:cantSplit/>
        </w:trPr>
        <w:tc>
          <w:tcPr>
            <w:tcW w:type="dxa" w:w="158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删除策略</w:t>
            </w:r>
          </w:p>
        </w:tc>
        <w:tc>
          <w:tcPr>
            <w:tcW w:type="dxa" w:w="784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对模型版本、评审、校验、发布物采用 RESTRICT；需要清理数据时走受控归档/数据保留流程。</w:t>
            </w:r>
          </w:p>
        </w:tc>
      </w:tr>
      <w:tr>
        <w:trPr>
          <w:cantSplit/>
        </w:trPr>
        <w:tc>
          <w:tcPr>
            <w:tcW w:type="dxa" w:w="158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凭据</w:t>
            </w:r>
          </w:p>
        </w:tc>
        <w:tc>
          <w:tcPr>
            <w:tcW w:type="dxa" w:w="784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engine_profiles 只保存凭据引用或非敏感参数；真实口令放入环境变量、Secret Manager 或连接器凭据库。</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17. 版本快照、并发与状态迁移事务</w:t>
      </w:r>
    </w:p>
    <w:p>
      <w:pPr>
        <w:pStyle w:val="Heading2"/>
        <w:keepNext/>
        <w:spacing w:before="160" w:after="100" w:line="252" w:lineRule="auto"/>
      </w:pPr>
      <w:r>
        <w:rPr>
          <w:rFonts w:ascii="Microsoft YaHei" w:hAnsi="Microsoft YaHei" w:eastAsia="Microsoft YaHei"/>
          <w:b/>
          <w:color w:val="2F75B5"/>
          <w:sz w:val="25"/>
        </w:rPr>
        <w:t>17.1 版本状态机</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当前状态</w:t>
            </w:r>
          </w:p>
        </w:tc>
        <w:tc>
          <w:tcPr>
            <w:tcW w:type="dxa" w:w="244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允许动作</w:t>
            </w:r>
          </w:p>
        </w:tc>
        <w:tc>
          <w:tcPr>
            <w:tcW w:type="dxa" w:w="187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目标状态</w:t>
            </w:r>
          </w:p>
        </w:tc>
        <w:tc>
          <w:tcPr>
            <w:tcW w:type="dxa" w:w="360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关键控制</w:t>
            </w:r>
          </w:p>
        </w:tc>
      </w:tr>
      <w:tr>
        <w:trPr>
          <w:cantSplit/>
        </w:trPr>
        <w:tc>
          <w:tcPr>
            <w:tcW w:type="dxa" w:w="158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draft</w:t>
            </w:r>
          </w:p>
        </w:tc>
        <w:tc>
          <w:tcPr>
            <w:tcW w:type="dxa" w:w="244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保存、校验、提交评审</w:t>
            </w:r>
          </w:p>
        </w:tc>
        <w:tc>
          <w:tcPr>
            <w:tcW w:type="dxa" w:w="18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draft / in_review</w:t>
            </w:r>
          </w:p>
        </w:tc>
        <w:tc>
          <w:tcPr>
            <w:tcW w:type="dxa" w:w="36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仅草稿可编辑；提交必须通过基础完整性检查。</w:t>
            </w:r>
          </w:p>
        </w:tc>
      </w:tr>
      <w:tr>
        <w:trPr>
          <w:cantSplit/>
        </w:trPr>
        <w:tc>
          <w:tcPr>
            <w:tcW w:type="dxa" w:w="158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in_review</w:t>
            </w:r>
          </w:p>
        </w:tc>
        <w:tc>
          <w:tcPr>
            <w:tcW w:type="dxa" w:w="244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评审通过</w:t>
            </w:r>
          </w:p>
        </w:tc>
        <w:tc>
          <w:tcPr>
            <w:tcW w:type="dxa" w:w="18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approved</w:t>
            </w:r>
          </w:p>
        </w:tc>
        <w:tc>
          <w:tcPr>
            <w:tcW w:type="dxa" w:w="36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所有必需角色给出通过结论，且阻断问题为零。</w:t>
            </w:r>
          </w:p>
        </w:tc>
      </w:tr>
      <w:tr>
        <w:trPr>
          <w:cantSplit/>
        </w:trPr>
        <w:tc>
          <w:tcPr>
            <w:tcW w:type="dxa" w:w="158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in_review</w:t>
            </w:r>
          </w:p>
        </w:tc>
        <w:tc>
          <w:tcPr>
            <w:tcW w:type="dxa" w:w="244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评审驳回</w:t>
            </w:r>
          </w:p>
        </w:tc>
        <w:tc>
          <w:tcPr>
            <w:tcW w:type="dxa" w:w="18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rejected</w:t>
            </w:r>
          </w:p>
        </w:tc>
        <w:tc>
          <w:tcPr>
            <w:tcW w:type="dxa" w:w="36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写入驳回原因，当前版本冻结，不允许原地继续编辑。</w:t>
            </w:r>
          </w:p>
        </w:tc>
      </w:tr>
      <w:tr>
        <w:trPr>
          <w:cantSplit/>
        </w:trPr>
        <w:tc>
          <w:tcPr>
            <w:tcW w:type="dxa" w:w="158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approved</w:t>
            </w:r>
          </w:p>
        </w:tc>
        <w:tc>
          <w:tcPr>
            <w:tcW w:type="dxa" w:w="244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正式发布</w:t>
            </w:r>
          </w:p>
        </w:tc>
        <w:tc>
          <w:tcPr>
            <w:tcW w:type="dxa" w:w="18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published</w:t>
            </w:r>
          </w:p>
        </w:tc>
        <w:tc>
          <w:tcPr>
            <w:tcW w:type="dxa" w:w="36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发布事务记录发布人、时间、快照摘要和交付物。</w:t>
            </w:r>
          </w:p>
        </w:tc>
      </w:tr>
      <w:tr>
        <w:trPr>
          <w:cantSplit/>
        </w:trPr>
        <w:tc>
          <w:tcPr>
            <w:tcW w:type="dxa" w:w="158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published</w:t>
            </w:r>
          </w:p>
        </w:tc>
        <w:tc>
          <w:tcPr>
            <w:tcW w:type="dxa" w:w="244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新版本替代旧版本</w:t>
            </w:r>
          </w:p>
        </w:tc>
        <w:tc>
          <w:tcPr>
            <w:tcW w:type="dxa" w:w="18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superseded（旧版）</w:t>
            </w:r>
          </w:p>
        </w:tc>
        <w:tc>
          <w:tcPr>
            <w:tcW w:type="dxa" w:w="36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新版本发布后，旧正式版本可标记为 superseded，但内容不可变。</w:t>
            </w:r>
          </w:p>
        </w:tc>
      </w:tr>
      <w:tr>
        <w:trPr>
          <w:cantSplit/>
        </w:trPr>
        <w:tc>
          <w:tcPr>
            <w:tcW w:type="dxa" w:w="158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rejected / published / superseded</w:t>
            </w:r>
          </w:p>
        </w:tc>
        <w:tc>
          <w:tcPr>
            <w:tcW w:type="dxa" w:w="244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从该版本派生新草稿</w:t>
            </w:r>
          </w:p>
        </w:tc>
        <w:tc>
          <w:tcPr>
            <w:tcW w:type="dxa" w:w="18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新建 draft（version_no + 1）</w:t>
            </w:r>
          </w:p>
        </w:tc>
        <w:tc>
          <w:tcPr>
            <w:tcW w:type="dxa" w:w="36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记录 based_on_version_id；复制完整表、字段、关系和来源映射。</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17.2 提交评审的事务步骤</w:t>
      </w:r>
    </w:p>
    <w:p>
      <w:pPr>
        <w:pStyle w:val="ListNumber"/>
        <w:spacing w:before="0" w:after="40" w:line="259" w:lineRule="auto"/>
      </w:pPr>
      <w:r>
        <w:rPr>
          <w:rFonts w:ascii="Microsoft YaHei" w:hAnsi="Microsoft YaHei" w:eastAsia="Microsoft YaHei"/>
          <w:sz w:val="18"/>
        </w:rPr>
        <w:t>开始数据库事务，使用 SELECT ... FOR UPDATE 锁定当前 model_versions 行，并确认 status=draft。</w:t>
      </w:r>
    </w:p>
    <w:p>
      <w:pPr>
        <w:pStyle w:val="ListNumber"/>
        <w:spacing w:before="0" w:after="40" w:line="259" w:lineRule="auto"/>
      </w:pPr>
      <w:r>
        <w:rPr>
          <w:rFonts w:ascii="Microsoft YaHei" w:hAnsi="Microsoft YaHei" w:eastAsia="Microsoft YaHei"/>
          <w:sz w:val="18"/>
        </w:rPr>
        <w:t>服务端重新运行提交门禁规则；校验版本所属项目权限；验证表/字段/关系不存在跨版本引用。</w:t>
      </w:r>
    </w:p>
    <w:p>
      <w:pPr>
        <w:pStyle w:val="ListNumber"/>
        <w:spacing w:before="0" w:after="40" w:line="259" w:lineRule="auto"/>
      </w:pPr>
      <w:r>
        <w:rPr>
          <w:rFonts w:ascii="Microsoft YaHei" w:hAnsi="Microsoft YaHei" w:eastAsia="Microsoft YaHei"/>
          <w:sz w:val="18"/>
        </w:rPr>
        <w:t>把当前规范化对象序列化为稳定排序的 canonical JSON；对关键属性排序、统一空值与数值格式后计算 SHA-256。</w:t>
      </w:r>
    </w:p>
    <w:p>
      <w:pPr>
        <w:pStyle w:val="ListNumber"/>
        <w:spacing w:before="0" w:after="40" w:line="259" w:lineRule="auto"/>
      </w:pPr>
      <w:r>
        <w:rPr>
          <w:rFonts w:ascii="Microsoft YaHei" w:hAnsi="Microsoft YaHei" w:eastAsia="Microsoft YaHei"/>
          <w:sz w:val="18"/>
        </w:rPr>
        <w:t>写入 definition_snapshot 与 definition_checksum，更新状态为 in_review，写入 submitted_by、submitted_at、frozen_at。</w:t>
      </w:r>
    </w:p>
    <w:p>
      <w:pPr>
        <w:pStyle w:val="ListNumber"/>
        <w:spacing w:before="0" w:after="40" w:line="259" w:lineRule="auto"/>
      </w:pPr>
      <w:r>
        <w:rPr>
          <w:rFonts w:ascii="Microsoft YaHei" w:hAnsi="Microsoft YaHei" w:eastAsia="Microsoft YaHei"/>
          <w:sz w:val="18"/>
        </w:rPr>
        <w:t>在同一事务中创建本轮 review_tasks，并追加审计日志；事务提交后才向客户端返回成功。</w:t>
      </w:r>
    </w:p>
    <w:p>
      <w:pPr>
        <w:pStyle w:val="ListNumber"/>
        <w:spacing w:before="0" w:after="40" w:line="259" w:lineRule="auto"/>
      </w:pPr>
      <w:r>
        <w:rPr>
          <w:rFonts w:ascii="Microsoft YaHei" w:hAnsi="Microsoft YaHei" w:eastAsia="Microsoft YaHei"/>
          <w:sz w:val="18"/>
        </w:rPr>
        <w:t>事务失败时全部回滚，不能出现版本已冻结但没有评审任务，或评审任务已产生但版本仍是草稿的半完成状态。</w:t>
      </w:r>
    </w:p>
    <w:p>
      <w:pPr>
        <w:pStyle w:val="Heading2"/>
        <w:keepNext/>
        <w:spacing w:before="160" w:after="100" w:line="252" w:lineRule="auto"/>
      </w:pPr>
      <w:r>
        <w:rPr>
          <w:rFonts w:ascii="Microsoft YaHei" w:hAnsi="Microsoft YaHei" w:eastAsia="Microsoft YaHei"/>
          <w:b/>
          <w:color w:val="2F75B5"/>
          <w:sz w:val="25"/>
        </w:rPr>
        <w:t>17.3 版本快照的内容标准</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快照块</w:t>
            </w:r>
          </w:p>
        </w:tc>
        <w:tc>
          <w:tcPr>
            <w:tcW w:type="dxa" w:w="748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最低内容</w:t>
            </w:r>
          </w:p>
        </w:tc>
      </w:tr>
      <w:tr>
        <w:trPr>
          <w:cantSplit/>
        </w:trPr>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header</w:t>
            </w:r>
          </w:p>
        </w:tc>
        <w:tc>
          <w:tcPr>
            <w:tcW w:type="dxa" w:w="74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模型稳定 ID、模型编码、模型类型、版本号、所属项目、主题域、分层、版本说明。</w:t>
            </w:r>
          </w:p>
        </w:tc>
      </w:tr>
      <w:tr>
        <w:trPr>
          <w:cantSplit/>
        </w:trPr>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tables[]</w:t>
            </w:r>
          </w:p>
        </w:tc>
        <w:tc>
          <w:tcPr>
            <w:tcW w:type="dxa" w:w="74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表稳定 ID、表编码/名称、Schema、表类型、粒度、主键策略、分区与存储属性。</w:t>
            </w:r>
          </w:p>
        </w:tc>
      </w:tr>
      <w:tr>
        <w:trPr>
          <w:cantSplit/>
        </w:trPr>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columns[]</w:t>
            </w:r>
          </w:p>
        </w:tc>
        <w:tc>
          <w:tcPr>
            <w:tcW w:type="dxa" w:w="74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字段稳定 ID、编码/名称、顺序、逻辑/物理类型、长度精度、空值、主键、默认值、描述、敏感等级。</w:t>
            </w:r>
          </w:p>
        </w:tc>
      </w:tr>
      <w:tr>
        <w:trPr>
          <w:cantSplit/>
        </w:trPr>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relations[]</w:t>
            </w:r>
          </w:p>
        </w:tc>
        <w:tc>
          <w:tcPr>
            <w:tcW w:type="dxa" w:w="74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关系 ID、源/目标表与字段、基数、关系类型、关联表达式和说明。</w:t>
            </w:r>
          </w:p>
        </w:tc>
      </w:tr>
      <w:tr>
        <w:trPr>
          <w:cantSplit/>
        </w:trPr>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sourceMappings[]</w:t>
            </w:r>
          </w:p>
        </w:tc>
        <w:tc>
          <w:tcPr>
            <w:tcW w:type="dxa" w:w="74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目标字段、来源系统/表/字段、映射类型、转换表达式。</w:t>
            </w:r>
          </w:p>
        </w:tc>
      </w:tr>
      <w:tr>
        <w:trPr>
          <w:cantSplit/>
        </w:trPr>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运行上下文边界</w:t>
            </w:r>
          </w:p>
        </w:tc>
        <w:tc>
          <w:tcPr>
            <w:tcW w:type="dxa" w:w="74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模型定义快照只包含模型自身定义。校验规则集快照与引擎 Profile 快照分别记录在 validation_runs / ddl_artifacts 中，避免把同一模型跨引擎验证时的上下文混入定义内容。</w:t>
            </w:r>
          </w:p>
        </w:tc>
      </w:tr>
    </w:tbl>
    <w:p>
      <w:pPr>
        <w:spacing w:before="0" w:after="20" w:line="269" w:lineRule="auto"/>
      </w:pPr>
    </w:p>
    <w:tbl>
      <w:tblPr>
        <w:tblStyle w:val="TableGrid"/>
        <w:tblW w:type="auto" w:w="0"/>
        <w:tblLook w:firstColumn="1" w:firstRow="1" w:lastColumn="0" w:lastRow="0" w:noHBand="0" w:noVBand="1" w:val="04A0"/>
      </w:tblPr>
      <w:tblGrid>
        <w:gridCol w:w="9994"/>
      </w:tblGrid>
      <w:tr>
        <w:tc>
          <w:tcPr>
            <w:tcW w:type="dxa" w:w="9994"/>
            <w:tcMar>
              <w:top w:w="120" w:type="dxa"/>
              <w:start w:w="150" w:type="dxa"/>
              <w:bottom w:w="120" w:type="dxa"/>
              <w:end w:w="150" w:type="dxa"/>
            </w:tcMar>
            <w:shd w:fill="E2F0D9"/>
          </w:tcPr>
          <w:p>
            <w:pPr>
              <w:spacing w:before="0" w:after="40" w:line="259" w:lineRule="auto"/>
            </w:pPr>
            <w:r/>
            <w:r>
              <w:rPr>
                <w:rFonts w:ascii="Microsoft YaHei" w:hAnsi="Microsoft YaHei" w:eastAsia="Microsoft YaHei"/>
                <w:b/>
                <w:color w:val="17365D"/>
                <w:sz w:val="19"/>
              </w:rPr>
              <w:t>重要实现原则</w:t>
            </w:r>
          </w:p>
          <w:p>
            <w:pPr>
              <w:spacing w:before="0" w:after="0" w:line="264" w:lineRule="auto"/>
            </w:pPr>
            <w:r>
              <w:rPr>
                <w:rFonts w:ascii="Microsoft YaHei" w:hAnsi="Microsoft YaHei" w:eastAsia="Microsoft YaHei"/>
                <w:color w:val="222222"/>
                <w:sz w:val="17"/>
              </w:rPr>
              <w:t>definition_snapshot 是提交评审时的只读事实快照；规范化子表用于草稿编辑和查询。提交后不能通过普通 CRUD 修改冻结版本。版本比较以快照和稳定对象 ID 为优先，而不是仅比较字段名称。</w:t>
            </w:r>
          </w:p>
        </w:tc>
      </w:tr>
    </w:tbl>
    <w:p>
      <w:pPr>
        <w:spacing w:before="0" w:after="40" w:line="269" w:lineRule="auto"/>
      </w:pPr>
    </w:p>
    <w:p>
      <w:pPr>
        <w:pStyle w:val="Heading2"/>
        <w:keepNext/>
        <w:spacing w:before="160" w:after="100" w:line="252" w:lineRule="auto"/>
      </w:pPr>
      <w:r>
        <w:rPr>
          <w:rFonts w:ascii="Microsoft YaHei" w:hAnsi="Microsoft YaHei" w:eastAsia="Microsoft YaHei"/>
          <w:b/>
          <w:color w:val="2F75B5"/>
          <w:sz w:val="25"/>
        </w:rPr>
        <w:t>17.4 并发控制与重试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场景</w:t>
            </w:r>
          </w:p>
        </w:tc>
        <w:tc>
          <w:tcPr>
            <w:tcW w:type="dxa" w:w="432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控制方式</w:t>
            </w:r>
          </w:p>
        </w:tc>
        <w:tc>
          <w:tcPr>
            <w:tcW w:type="dxa" w:w="302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API 表现</w:t>
            </w:r>
          </w:p>
        </w:tc>
      </w:tr>
      <w:tr>
        <w:trPr>
          <w:cantSplit/>
        </w:trPr>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多人同时编辑同一草稿</w:t>
            </w:r>
          </w:p>
        </w:tc>
        <w:tc>
          <w:tcPr>
            <w:tcW w:type="dxa" w:w="432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在 model_versions 增加 row_version 整数乐观锁字段；更新时携带 expected_row_version。</w:t>
            </w:r>
          </w:p>
        </w:tc>
        <w:tc>
          <w:tcPr>
            <w:tcW w:type="dxa" w:w="302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版本不匹配返回 409 VERSION_CONFLICT，并返回最新版本号。</w:t>
            </w:r>
          </w:p>
        </w:tc>
      </w:tr>
      <w:tr>
        <w:trPr>
          <w:cantSplit/>
        </w:trPr>
        <w:tc>
          <w:tcPr>
            <w:tcW w:type="dxa" w:w="20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重复点击提交/发布</w:t>
            </w:r>
          </w:p>
        </w:tc>
        <w:tc>
          <w:tcPr>
            <w:tcW w:type="dxa" w:w="432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为命令型 POST 支持 Idempotency-Key，并存储请求结果或按状态进行幂等判定。</w:t>
            </w:r>
          </w:p>
        </w:tc>
        <w:tc>
          <w:tcPr>
            <w:tcW w:type="dxa" w:w="302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重复请求返回同一操作结果，不重复创建评审任务/发布物。</w:t>
            </w:r>
          </w:p>
        </w:tc>
      </w:tr>
      <w:tr>
        <w:trPr>
          <w:cantSplit/>
        </w:trPr>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两个窗口创建草稿</w:t>
            </w:r>
          </w:p>
        </w:tc>
        <w:tc>
          <w:tcPr>
            <w:tcW w:type="dxa" w:w="432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数据库部分唯一索引兜底；应用层先提示已有草稿。</w:t>
            </w:r>
          </w:p>
        </w:tc>
        <w:tc>
          <w:tcPr>
            <w:tcW w:type="dxa" w:w="302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冲突返回 409 DRAFT_ALREADY_EXISTS。</w:t>
            </w:r>
          </w:p>
        </w:tc>
      </w:tr>
      <w:tr>
        <w:trPr>
          <w:cantSplit/>
        </w:trPr>
        <w:tc>
          <w:tcPr>
            <w:tcW w:type="dxa" w:w="20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评审人并发决议</w:t>
            </w:r>
          </w:p>
        </w:tc>
        <w:tc>
          <w:tcPr>
            <w:tcW w:type="dxa" w:w="432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锁定 review_task 行，且仅允许 pending 状态被决议。</w:t>
            </w:r>
          </w:p>
        </w:tc>
        <w:tc>
          <w:tcPr>
            <w:tcW w:type="dxa" w:w="302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已决议任务再写入返回 409 REVIEW_ALREADY_DECIDED。</w:t>
            </w:r>
          </w:p>
        </w:tc>
      </w:tr>
      <w:tr>
        <w:trPr>
          <w:cantSplit/>
        </w:trPr>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发布期间其他人修改</w:t>
            </w:r>
          </w:p>
        </w:tc>
        <w:tc>
          <w:tcPr>
            <w:tcW w:type="dxa" w:w="432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发布版本在 approved 状态已被冻结；发布不从可变草稿读数据。</w:t>
            </w:r>
          </w:p>
        </w:tc>
        <w:tc>
          <w:tcPr>
            <w:tcW w:type="dxa" w:w="302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仅发布已审批的指定 version_id。</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18. API 详细契约与错误处理</w:t>
      </w:r>
    </w:p>
    <w:p>
      <w:pPr>
        <w:pStyle w:val="Heading2"/>
        <w:keepNext/>
        <w:spacing w:before="160" w:after="100" w:line="252" w:lineRule="auto"/>
      </w:pPr>
      <w:r>
        <w:rPr>
          <w:rFonts w:ascii="Microsoft YaHei" w:hAnsi="Microsoft YaHei" w:eastAsia="Microsoft YaHei"/>
          <w:b/>
          <w:color w:val="2F75B5"/>
          <w:sz w:val="25"/>
        </w:rPr>
        <w:t>18.1 接口约定</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项</w:t>
            </w:r>
          </w:p>
        </w:tc>
        <w:tc>
          <w:tcPr>
            <w:tcW w:type="dxa" w:w="756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约定</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Base Path</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/api/v1</w:t>
            </w:r>
          </w:p>
        </w:tc>
      </w:tr>
      <w:tr>
        <w:trPr>
          <w:cantSplit/>
        </w:trPr>
        <w:tc>
          <w:tcPr>
            <w:tcW w:type="dxa" w:w="18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身份认证</w:t>
            </w:r>
          </w:p>
        </w:tc>
        <w:tc>
          <w:tcPr>
            <w:tcW w:type="dxa" w:w="75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Bearer Token 或企业 SSO 换发的会话令牌；具体认证提供方属于部署配置。</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统一响应</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成功返回 data + request_id；失败返回 error.code、error.message、error.details、request_id。</w:t>
            </w:r>
          </w:p>
        </w:tc>
      </w:tr>
      <w:tr>
        <w:trPr>
          <w:cantSplit/>
        </w:trPr>
        <w:tc>
          <w:tcPr>
            <w:tcW w:type="dxa" w:w="18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分页</w:t>
            </w:r>
          </w:p>
        </w:tc>
        <w:tc>
          <w:tcPr>
            <w:tcW w:type="dxa" w:w="75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page 从 1 开始，page_size 默认 20、最大 100；稳定排序，避免翻页期间结果漂移。</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时间</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请求与响应使用 ISO 8601；后端保存 UTC timestamptz。</w:t>
            </w:r>
          </w:p>
        </w:tc>
      </w:tr>
      <w:tr>
        <w:trPr>
          <w:cantSplit/>
        </w:trPr>
        <w:tc>
          <w:tcPr>
            <w:tcW w:type="dxa" w:w="18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写入并发</w:t>
            </w:r>
          </w:p>
        </w:tc>
        <w:tc>
          <w:tcPr>
            <w:tcW w:type="dxa" w:w="75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模型草稿写入需携带 row_version 或 If-Match；状态迁移端点必须执行服务端状态校验。</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校验与审计</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所有写操作执行项目授权；模型保存、提交、驳回、发布、引擎配置变更均写审计。</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18.2 MVP 接口目录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方法</w:t>
            </w:r>
          </w:p>
        </w:tc>
        <w:tc>
          <w:tcPr>
            <w:tcW w:type="dxa" w:w="388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路径</w:t>
            </w:r>
          </w:p>
        </w:tc>
        <w:tc>
          <w:tcPr>
            <w:tcW w:type="dxa" w:w="460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用途/权限提示</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/projects</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创建项目；平台管理员或具备项目创建权限的用户。</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GET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/projects/{projectId}/models</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查询项目模型；要求项目可见权限。</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/projects/{projectId}/requirements</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创建业务需求。</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/projects/{projectId}/models</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创建模型稳定身份和首个草稿版本；模型编码唯一。</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GET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/models/{modelId}</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读取模型基本信息与版本摘要。</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/models/{modelId}/versions</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从指定版本派生新草稿；同模型已有草稿时返回冲突。</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GET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/versions/{versionId}/definition</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获取版本结构化定义；非草稿版本为只读。</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PUT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/versions/{versionId}/definition</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整体保存草稿结构；需 row_version，服务端校验 ID 归属与字段顺序。</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/versions/{versionId}/validate</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触发规则校验，可指定 engine_profile_id。</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/versions/{versionId}/submit</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冻结快照并生成评审任务。</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/review-tasks/{taskId}/decision</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评审通过/驳回，并要求填写决议说明。</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/versions/{versionId}/publish</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将已批准的指定版本发布为正式版本。</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POST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/versions/{versionId}/ddl-preview</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按目标引擎生成 DDL 预览，不执行 SQL。</w:t>
            </w:r>
          </w:p>
        </w:tc>
      </w:tr>
      <w:tr>
        <w:trPr>
          <w:cantSplit/>
        </w:trPr>
        <w:tc>
          <w:tcPr>
            <w:tcW w:type="dxa" w:w="9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GET</w:t>
            </w:r>
          </w:p>
        </w:tc>
        <w:tc>
          <w:tcPr>
            <w:tcW w:type="dxa" w:w="388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/versions/{versionId}/diff?baseVersionId=...</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返回表/字段/关系级结构差异。</w:t>
            </w:r>
          </w:p>
        </w:tc>
      </w:tr>
      <w:tr>
        <w:trPr>
          <w:cantSplit/>
        </w:trPr>
        <w:tc>
          <w:tcPr>
            <w:tcW w:type="dxa" w:w="9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GET</w:t>
            </w:r>
          </w:p>
        </w:tc>
        <w:tc>
          <w:tcPr>
            <w:tcW w:type="dxa" w:w="388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/audit-logs</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按项目、对象、动作和时间范围查询操作审计。</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18.3 保存草稿请求示例</w:t>
      </w:r>
    </w:p>
    <w:tbl>
      <w:tblPr>
        <w:tblStyle w:val="TableGrid"/>
        <w:tblW w:type="auto" w:w="0"/>
        <w:jc w:val="center"/>
        <w:tblLayout w:type="fixed"/>
        <w:tblLook w:firstColumn="1" w:firstRow="1" w:lastColumn="0" w:lastRow="0" w:noHBand="0" w:noVBand="1" w:val="04A0"/>
      </w:tblPr>
      <w:tblGrid>
        <w:gridCol w:w="9994"/>
      </w:tblGrid>
      <w:tr>
        <w:tc>
          <w:tcPr>
            <w:tcW w:type="dxa" w:w="9994"/>
            <w:tcMar>
              <w:top w:w="100" w:type="dxa"/>
              <w:start w:w="120" w:type="dxa"/>
              <w:bottom w:w="100" w:type="dxa"/>
              <w:end w:w="120" w:type="dxa"/>
            </w:tcMar>
            <w:shd w:fill="F3F5F7"/>
          </w:tcPr>
          <w:p>
            <w:pPr>
              <w:spacing w:before="0" w:after="0" w:line="240" w:lineRule="auto"/>
            </w:pPr>
            <w:r/>
            <w:r>
              <w:rPr>
                <w:rFonts w:ascii="Consolas" w:hAnsi="Consolas" w:eastAsia="Microsoft YaHei"/>
                <w:color w:val="333333"/>
                <w:sz w:val="14"/>
              </w:rPr>
              <w:t>PUT /api/v1/versions/6a95.../definition</w:t>
            </w:r>
            <w:r>
              <w:br/>
            </w:r>
            <w:r>
              <w:rPr>
                <w:rFonts w:ascii="Consolas" w:hAnsi="Consolas" w:eastAsia="Microsoft YaHei"/>
                <w:color w:val="333333"/>
                <w:sz w:val="14"/>
              </w:rPr>
              <w:t>If-Match: "12"</w:t>
            </w:r>
            <w:r>
              <w:br/>
            </w:r>
            <w:r>
              <w:rPr>
                <w:rFonts w:ascii="Consolas" w:hAnsi="Consolas" w:eastAsia="Microsoft YaHei"/>
                <w:color w:val="333333"/>
                <w:sz w:val="14"/>
              </w:rPr>
              <w:t>Content-Type: application/json</w:t>
            </w:r>
            <w:r>
              <w:br/>
            </w:r>
            <w:r>
              <w:rPr>
                <w:rFonts w:ascii="Consolas" w:hAnsi="Consolas" w:eastAsia="Microsoft YaHei"/>
                <w:color w:val="333333"/>
                <w:sz w:val="14"/>
              </w:rPr>
            </w:r>
            <w:r>
              <w:br/>
            </w:r>
            <w:r>
              <w:rPr>
                <w:rFonts w:ascii="Consolas" w:hAnsi="Consolas" w:eastAsia="Microsoft YaHei"/>
                <w:color w:val="333333"/>
                <w:sz w:val="14"/>
              </w:rPr>
              <w:t>{</w:t>
            </w:r>
            <w:r>
              <w:br/>
            </w:r>
            <w:r>
              <w:rPr>
                <w:rFonts w:ascii="Consolas" w:hAnsi="Consolas" w:eastAsia="Microsoft YaHei"/>
                <w:color w:val="333333"/>
                <w:sz w:val="14"/>
              </w:rPr>
              <w:t xml:space="preserve">  "expected_row_version": 12,</w:t>
            </w:r>
            <w:r>
              <w:br/>
            </w:r>
            <w:r>
              <w:rPr>
                <w:rFonts w:ascii="Consolas" w:hAnsi="Consolas" w:eastAsia="Microsoft YaHei"/>
                <w:color w:val="333333"/>
                <w:sz w:val="14"/>
              </w:rPr>
              <w:t xml:space="preserve">  "change_summary": "新增合同履约状态字段",</w:t>
            </w:r>
            <w:r>
              <w:br/>
            </w:r>
            <w:r>
              <w:rPr>
                <w:rFonts w:ascii="Consolas" w:hAnsi="Consolas" w:eastAsia="Microsoft YaHei"/>
                <w:color w:val="333333"/>
                <w:sz w:val="14"/>
              </w:rPr>
              <w:t xml:space="preserve">  "tables": [{</w:t>
            </w:r>
            <w:r>
              <w:br/>
            </w:r>
            <w:r>
              <w:rPr>
                <w:rFonts w:ascii="Consolas" w:hAnsi="Consolas" w:eastAsia="Microsoft YaHei"/>
                <w:color w:val="333333"/>
                <w:sz w:val="14"/>
              </w:rPr>
              <w:t xml:space="preserve">    "table_code": "dwd_contract",</w:t>
            </w:r>
            <w:r>
              <w:br/>
            </w:r>
            <w:r>
              <w:rPr>
                <w:rFonts w:ascii="Consolas" w:hAnsi="Consolas" w:eastAsia="Microsoft YaHei"/>
                <w:color w:val="333333"/>
                <w:sz w:val="14"/>
              </w:rPr>
              <w:t xml:space="preserve">    "table_name": "合同明细表",</w:t>
            </w:r>
            <w:r>
              <w:br/>
            </w:r>
            <w:r>
              <w:rPr>
                <w:rFonts w:ascii="Consolas" w:hAnsi="Consolas" w:eastAsia="Microsoft YaHei"/>
                <w:color w:val="333333"/>
                <w:sz w:val="14"/>
              </w:rPr>
              <w:t xml:space="preserve">    "layer_code": "DWD",</w:t>
            </w:r>
            <w:r>
              <w:br/>
            </w:r>
            <w:r>
              <w:rPr>
                <w:rFonts w:ascii="Consolas" w:hAnsi="Consolas" w:eastAsia="Microsoft YaHei"/>
                <w:color w:val="333333"/>
                <w:sz w:val="14"/>
              </w:rPr>
              <w:t xml:space="preserve">    "table_kind": "detail",</w:t>
            </w:r>
            <w:r>
              <w:br/>
            </w:r>
            <w:r>
              <w:rPr>
                <w:rFonts w:ascii="Consolas" w:hAnsi="Consolas" w:eastAsia="Microsoft YaHei"/>
                <w:color w:val="333333"/>
                <w:sz w:val="14"/>
              </w:rPr>
              <w:t xml:space="preserve">    "grain_description": "每行代表一份合同的一个当前版本",</w:t>
            </w:r>
            <w:r>
              <w:br/>
            </w:r>
            <w:r>
              <w:rPr>
                <w:rFonts w:ascii="Consolas" w:hAnsi="Consolas" w:eastAsia="Microsoft YaHei"/>
                <w:color w:val="333333"/>
                <w:sz w:val="14"/>
              </w:rPr>
              <w:t xml:space="preserve">    "columns": [{</w:t>
            </w:r>
            <w:r>
              <w:br/>
            </w:r>
            <w:r>
              <w:rPr>
                <w:rFonts w:ascii="Consolas" w:hAnsi="Consolas" w:eastAsia="Microsoft YaHei"/>
                <w:color w:val="333333"/>
                <w:sz w:val="14"/>
              </w:rPr>
              <w:t xml:space="preserve">      "column_code": "contract_id",</w:t>
            </w:r>
            <w:r>
              <w:br/>
            </w:r>
            <w:r>
              <w:rPr>
                <w:rFonts w:ascii="Consolas" w:hAnsi="Consolas" w:eastAsia="Microsoft YaHei"/>
                <w:color w:val="333333"/>
                <w:sz w:val="14"/>
              </w:rPr>
              <w:t xml:space="preserve">      "column_name": "合同ID",</w:t>
            </w:r>
            <w:r>
              <w:br/>
            </w:r>
            <w:r>
              <w:rPr>
                <w:rFonts w:ascii="Consolas" w:hAnsi="Consolas" w:eastAsia="Microsoft YaHei"/>
                <w:color w:val="333333"/>
                <w:sz w:val="14"/>
              </w:rPr>
              <w:t xml:space="preserve">      "ordinal": 1,</w:t>
            </w:r>
            <w:r>
              <w:br/>
            </w:r>
            <w:r>
              <w:rPr>
                <w:rFonts w:ascii="Consolas" w:hAnsi="Consolas" w:eastAsia="Microsoft YaHei"/>
                <w:color w:val="333333"/>
                <w:sz w:val="14"/>
              </w:rPr>
              <w:t xml:space="preserve">      "logical_type": "STRING",</w:t>
            </w:r>
            <w:r>
              <w:br/>
            </w:r>
            <w:r>
              <w:rPr>
                <w:rFonts w:ascii="Consolas" w:hAnsi="Consolas" w:eastAsia="Microsoft YaHei"/>
                <w:color w:val="333333"/>
                <w:sz w:val="14"/>
              </w:rPr>
              <w:t xml:space="preserve">      "physical_type": "VARCHAR(64)",</w:t>
            </w:r>
            <w:r>
              <w:br/>
            </w:r>
            <w:r>
              <w:rPr>
                <w:rFonts w:ascii="Consolas" w:hAnsi="Consolas" w:eastAsia="Microsoft YaHei"/>
                <w:color w:val="333333"/>
                <w:sz w:val="14"/>
              </w:rPr>
              <w:t xml:space="preserve">      "nullable": false,</w:t>
            </w:r>
            <w:r>
              <w:br/>
            </w:r>
            <w:r>
              <w:rPr>
                <w:rFonts w:ascii="Consolas" w:hAnsi="Consolas" w:eastAsia="Microsoft YaHei"/>
                <w:color w:val="333333"/>
                <w:sz w:val="14"/>
              </w:rPr>
              <w:t xml:space="preserve">      "is_primary_key": true,</w:t>
            </w:r>
            <w:r>
              <w:br/>
            </w:r>
            <w:r>
              <w:rPr>
                <w:rFonts w:ascii="Consolas" w:hAnsi="Consolas" w:eastAsia="Microsoft YaHei"/>
                <w:color w:val="333333"/>
                <w:sz w:val="14"/>
              </w:rPr>
              <w:t xml:space="preserve">      "description": "平台内合同的稳定业务标识"</w:t>
            </w:r>
            <w:r>
              <w:br/>
            </w:r>
            <w:r>
              <w:rPr>
                <w:rFonts w:ascii="Consolas" w:hAnsi="Consolas" w:eastAsia="Microsoft YaHei"/>
                <w:color w:val="333333"/>
                <w:sz w:val="14"/>
              </w:rPr>
              <w:t xml:space="preserve">    }]</w:t>
            </w:r>
            <w:r>
              <w:br/>
            </w:r>
            <w:r>
              <w:rPr>
                <w:rFonts w:ascii="Consolas" w:hAnsi="Consolas" w:eastAsia="Microsoft YaHei"/>
                <w:color w:val="333333"/>
                <w:sz w:val="14"/>
              </w:rPr>
              <w:t xml:space="preserve">  }]</w:t>
            </w:r>
            <w:r>
              <w:br/>
            </w:r>
            <w:r>
              <w:rPr>
                <w:rFonts w:ascii="Consolas" w:hAnsi="Consolas" w:eastAsia="Microsoft YaHei"/>
                <w:color w:val="333333"/>
                <w:sz w:val="14"/>
              </w:rPr>
              <w:t>}</w:t>
            </w:r>
          </w:p>
        </w:tc>
      </w:tr>
    </w:tbl>
    <w:p>
      <w:pPr>
        <w:spacing w:before="0" w:after="40" w:line="269" w:lineRule="auto"/>
      </w:pPr>
    </w:p>
    <w:p>
      <w:pPr>
        <w:pStyle w:val="Heading2"/>
        <w:keepNext/>
        <w:spacing w:before="160" w:after="100" w:line="252" w:lineRule="auto"/>
      </w:pPr>
      <w:r>
        <w:rPr>
          <w:rFonts w:ascii="Microsoft YaHei" w:hAnsi="Microsoft YaHei" w:eastAsia="Microsoft YaHei"/>
          <w:b/>
          <w:color w:val="2F75B5"/>
          <w:sz w:val="25"/>
        </w:rPr>
        <w:t>18.4 校验与错误响应示例</w:t>
      </w:r>
    </w:p>
    <w:tbl>
      <w:tblPr>
        <w:tblStyle w:val="TableGrid"/>
        <w:tblW w:type="auto" w:w="0"/>
        <w:jc w:val="center"/>
        <w:tblLayout w:type="fixed"/>
        <w:tblLook w:firstColumn="1" w:firstRow="1" w:lastColumn="0" w:lastRow="0" w:noHBand="0" w:noVBand="1" w:val="04A0"/>
      </w:tblPr>
      <w:tblGrid>
        <w:gridCol w:w="9994"/>
      </w:tblGrid>
      <w:tr>
        <w:tc>
          <w:tcPr>
            <w:tcW w:type="dxa" w:w="9994"/>
            <w:tcMar>
              <w:top w:w="100" w:type="dxa"/>
              <w:start w:w="120" w:type="dxa"/>
              <w:bottom w:w="100" w:type="dxa"/>
              <w:end w:w="120" w:type="dxa"/>
            </w:tcMar>
            <w:shd w:fill="F3F5F7"/>
          </w:tcPr>
          <w:p>
            <w:pPr>
              <w:spacing w:before="0" w:after="0" w:line="240" w:lineRule="auto"/>
            </w:pPr>
            <w:r/>
            <w:r>
              <w:rPr>
                <w:rFonts w:ascii="Consolas" w:hAnsi="Consolas" w:eastAsia="Microsoft YaHei"/>
                <w:color w:val="333333"/>
                <w:sz w:val="15"/>
              </w:rPr>
              <w:t>{</w:t>
            </w:r>
            <w:r>
              <w:br/>
            </w:r>
            <w:r>
              <w:rPr>
                <w:rFonts w:ascii="Consolas" w:hAnsi="Consolas" w:eastAsia="Microsoft YaHei"/>
                <w:color w:val="333333"/>
                <w:sz w:val="15"/>
              </w:rPr>
              <w:t xml:space="preserve">  "data": {</w:t>
            </w:r>
            <w:r>
              <w:br/>
            </w:r>
            <w:r>
              <w:rPr>
                <w:rFonts w:ascii="Consolas" w:hAnsi="Consolas" w:eastAsia="Microsoft YaHei"/>
                <w:color w:val="333333"/>
                <w:sz w:val="15"/>
              </w:rPr>
              <w:t xml:space="preserve">    "run_id": "f8d8...",</w:t>
            </w:r>
            <w:r>
              <w:br/>
            </w:r>
            <w:r>
              <w:rPr>
                <w:rFonts w:ascii="Consolas" w:hAnsi="Consolas" w:eastAsia="Microsoft YaHei"/>
                <w:color w:val="333333"/>
                <w:sz w:val="15"/>
              </w:rPr>
              <w:t xml:space="preserve">    "status": "failed",</w:t>
            </w:r>
            <w:r>
              <w:br/>
            </w:r>
            <w:r>
              <w:rPr>
                <w:rFonts w:ascii="Consolas" w:hAnsi="Consolas" w:eastAsia="Microsoft YaHei"/>
                <w:color w:val="333333"/>
                <w:sz w:val="15"/>
              </w:rPr>
              <w:t xml:space="preserve">    "summary": {"errors": 1, "warnings": 2, "infos": 1},</w:t>
            </w:r>
            <w:r>
              <w:br/>
            </w:r>
            <w:r>
              <w:rPr>
                <w:rFonts w:ascii="Consolas" w:hAnsi="Consolas" w:eastAsia="Microsoft YaHei"/>
                <w:color w:val="333333"/>
                <w:sz w:val="15"/>
              </w:rPr>
              <w:t xml:space="preserve">    "issues": [{</w:t>
            </w:r>
            <w:r>
              <w:br/>
            </w:r>
            <w:r>
              <w:rPr>
                <w:rFonts w:ascii="Consolas" w:hAnsi="Consolas" w:eastAsia="Microsoft YaHei"/>
                <w:color w:val="333333"/>
                <w:sz w:val="15"/>
              </w:rPr>
              <w:t xml:space="preserve">      "rule_code": "PRIMARY_KEY_NOT_NULL",</w:t>
            </w:r>
            <w:r>
              <w:br/>
            </w:r>
            <w:r>
              <w:rPr>
                <w:rFonts w:ascii="Consolas" w:hAnsi="Consolas" w:eastAsia="Microsoft YaHei"/>
                <w:color w:val="333333"/>
                <w:sz w:val="15"/>
              </w:rPr>
              <w:t xml:space="preserve">      "severity": "error",</w:t>
            </w:r>
            <w:r>
              <w:br/>
            </w:r>
            <w:r>
              <w:rPr>
                <w:rFonts w:ascii="Consolas" w:hAnsi="Consolas" w:eastAsia="Microsoft YaHei"/>
                <w:color w:val="333333"/>
                <w:sz w:val="15"/>
              </w:rPr>
              <w:t xml:space="preserve">      "object_type": "column",</w:t>
            </w:r>
            <w:r>
              <w:br/>
            </w:r>
            <w:r>
              <w:rPr>
                <w:rFonts w:ascii="Consolas" w:hAnsi="Consolas" w:eastAsia="Microsoft YaHei"/>
                <w:color w:val="333333"/>
                <w:sz w:val="15"/>
              </w:rPr>
              <w:t xml:space="preserve">      "object_code": "dwd_contract.contract_id",</w:t>
            </w:r>
            <w:r>
              <w:br/>
            </w:r>
            <w:r>
              <w:rPr>
                <w:rFonts w:ascii="Consolas" w:hAnsi="Consolas" w:eastAsia="Microsoft YaHei"/>
                <w:color w:val="333333"/>
                <w:sz w:val="15"/>
              </w:rPr>
              <w:t xml:space="preserve">      "message": "主键字段必须设置为不可空",</w:t>
            </w:r>
            <w:r>
              <w:br/>
            </w:r>
            <w:r>
              <w:rPr>
                <w:rFonts w:ascii="Consolas" w:hAnsi="Consolas" w:eastAsia="Microsoft YaHei"/>
                <w:color w:val="333333"/>
                <w:sz w:val="15"/>
              </w:rPr>
              <w:t xml:space="preserve">      "remediation": "将 nullable 设为 false 并重新运行校验"</w:t>
            </w:r>
            <w:r>
              <w:br/>
            </w:r>
            <w:r>
              <w:rPr>
                <w:rFonts w:ascii="Consolas" w:hAnsi="Consolas" w:eastAsia="Microsoft YaHei"/>
                <w:color w:val="333333"/>
                <w:sz w:val="15"/>
              </w:rPr>
              <w:t xml:space="preserve">    }]</w:t>
            </w:r>
            <w:r>
              <w:br/>
            </w:r>
            <w:r>
              <w:rPr>
                <w:rFonts w:ascii="Consolas" w:hAnsi="Consolas" w:eastAsia="Microsoft YaHei"/>
                <w:color w:val="333333"/>
                <w:sz w:val="15"/>
              </w:rPr>
              <w:t xml:space="preserve">  },</w:t>
            </w:r>
            <w:r>
              <w:br/>
            </w:r>
            <w:r>
              <w:rPr>
                <w:rFonts w:ascii="Consolas" w:hAnsi="Consolas" w:eastAsia="Microsoft YaHei"/>
                <w:color w:val="333333"/>
                <w:sz w:val="15"/>
              </w:rPr>
              <w:t xml:space="preserve">  "request_id": "req-01J..."</w:t>
            </w:r>
            <w:r>
              <w:br/>
            </w:r>
            <w:r>
              <w:rPr>
                <w:rFonts w:ascii="Consolas" w:hAnsi="Consolas" w:eastAsia="Microsoft YaHei"/>
                <w:color w:val="333333"/>
                <w:sz w:val="15"/>
              </w:rPr>
              <w:t>}</w:t>
            </w:r>
            <w:r>
              <w:br/>
            </w:r>
            <w:r>
              <w:rPr>
                <w:rFonts w:ascii="Consolas" w:hAnsi="Consolas" w:eastAsia="Microsoft YaHei"/>
                <w:color w:val="333333"/>
                <w:sz w:val="15"/>
              </w:rPr>
            </w:r>
            <w:r>
              <w:br/>
            </w:r>
            <w:r>
              <w:rPr>
                <w:rFonts w:ascii="Consolas" w:hAnsi="Consolas" w:eastAsia="Microsoft YaHei"/>
                <w:color w:val="333333"/>
                <w:sz w:val="15"/>
              </w:rPr>
              <w:t>{</w:t>
            </w:r>
            <w:r>
              <w:br/>
            </w:r>
            <w:r>
              <w:rPr>
                <w:rFonts w:ascii="Consolas" w:hAnsi="Consolas" w:eastAsia="Microsoft YaHei"/>
                <w:color w:val="333333"/>
                <w:sz w:val="15"/>
              </w:rPr>
              <w:t xml:space="preserve">  "error": {</w:t>
            </w:r>
            <w:r>
              <w:br/>
            </w:r>
            <w:r>
              <w:rPr>
                <w:rFonts w:ascii="Consolas" w:hAnsi="Consolas" w:eastAsia="Microsoft YaHei"/>
                <w:color w:val="333333"/>
                <w:sz w:val="15"/>
              </w:rPr>
              <w:t xml:space="preserve">    "code": "VERSION_CONFLICT",</w:t>
            </w:r>
            <w:r>
              <w:br/>
            </w:r>
            <w:r>
              <w:rPr>
                <w:rFonts w:ascii="Consolas" w:hAnsi="Consolas" w:eastAsia="Microsoft YaHei"/>
                <w:color w:val="333333"/>
                <w:sz w:val="15"/>
              </w:rPr>
              <w:t xml:space="preserve">    "message": "模型草稿已被其他会话修改，请刷新后合并变更",</w:t>
            </w:r>
            <w:r>
              <w:br/>
            </w:r>
            <w:r>
              <w:rPr>
                <w:rFonts w:ascii="Consolas" w:hAnsi="Consolas" w:eastAsia="Microsoft YaHei"/>
                <w:color w:val="333333"/>
                <w:sz w:val="15"/>
              </w:rPr>
              <w:t xml:space="preserve">    "details": {"expected_row_version": 12, "actual_row_version": 13}</w:t>
            </w:r>
            <w:r>
              <w:br/>
            </w:r>
            <w:r>
              <w:rPr>
                <w:rFonts w:ascii="Consolas" w:hAnsi="Consolas" w:eastAsia="Microsoft YaHei"/>
                <w:color w:val="333333"/>
                <w:sz w:val="15"/>
              </w:rPr>
              <w:t xml:space="preserve">  },</w:t>
            </w:r>
            <w:r>
              <w:br/>
            </w:r>
            <w:r>
              <w:rPr>
                <w:rFonts w:ascii="Consolas" w:hAnsi="Consolas" w:eastAsia="Microsoft YaHei"/>
                <w:color w:val="333333"/>
                <w:sz w:val="15"/>
              </w:rPr>
              <w:t xml:space="preserve">  "request_id": "req-01K..."</w:t>
            </w:r>
            <w:r>
              <w:br/>
            </w:r>
            <w:r>
              <w:rPr>
                <w:rFonts w:ascii="Consolas" w:hAnsi="Consolas" w:eastAsia="Microsoft YaHei"/>
                <w:color w:val="333333"/>
                <w:sz w:val="15"/>
              </w:rPr>
              <w:t>}</w:t>
            </w:r>
          </w:p>
        </w:tc>
      </w:tr>
    </w:tbl>
    <w:p>
      <w:pPr>
        <w:spacing w:before="0" w:after="40" w:line="269" w:lineRule="auto"/>
      </w:pPr>
    </w:p>
    <w:p>
      <w:pPr>
        <w:pStyle w:val="Heading2"/>
        <w:keepNext/>
        <w:spacing w:before="160" w:after="100" w:line="252" w:lineRule="auto"/>
      </w:pPr>
      <w:r>
        <w:rPr>
          <w:rFonts w:ascii="Microsoft YaHei" w:hAnsi="Microsoft YaHei" w:eastAsia="Microsoft YaHei"/>
          <w:b/>
          <w:color w:val="2F75B5"/>
          <w:sz w:val="25"/>
        </w:rPr>
        <w:t>18.5 错误码基线</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HTTP</w:t>
            </w:r>
          </w:p>
        </w:tc>
        <w:tc>
          <w:tcPr>
            <w:tcW w:type="dxa" w:w="223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错误码</w:t>
            </w:r>
          </w:p>
        </w:tc>
        <w:tc>
          <w:tcPr>
            <w:tcW w:type="dxa" w:w="367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触发条件</w:t>
            </w:r>
          </w:p>
        </w:tc>
        <w:tc>
          <w:tcPr>
            <w:tcW w:type="dxa" w:w="273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客户端处理建议</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400</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VALIDATION_FAILED</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字段格式、必要参数或业务规则不满足。</w:t>
            </w:r>
          </w:p>
        </w:tc>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展示字段/规则级明细。</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401</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UNAUTHENTICATED</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令牌缺失、过期或认证无效。</w:t>
            </w:r>
          </w:p>
        </w:tc>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重新登录或刷新令牌。</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403</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FORBIDDEN</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没有项目或对象操作权限。</w:t>
            </w:r>
          </w:p>
        </w:tc>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展示无权限提示，不泄露对象敏感内容。</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404</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RESOURCE_NOT_FOUND</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资源不存在或对当前用户不可见。</w:t>
            </w:r>
          </w:p>
        </w:tc>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确认资源 ID，避免以不同响应泄露存在性。</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409</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VERSION_CONFLICT</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乐观锁失败。</w:t>
            </w:r>
          </w:p>
        </w:tc>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刷新并提示用户处理并发改动。</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409</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INVALID_STATE_TRANSITION</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当前状态不支持此操作。</w:t>
            </w:r>
          </w:p>
        </w:tc>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刷新状态并解释允许的下一步。</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409</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DRAFT_ALREADY_EXISTS</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该模型已有一个草稿。</w:t>
            </w:r>
          </w:p>
        </w:tc>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打开现有草稿或明确取消/归档后重试。</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422</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ENGINE_TYPE_UNSUPPORTED</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目标引擎不支持某逻辑类型/属性。</w:t>
            </w:r>
          </w:p>
        </w:tc>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给出属性和引擎能力的具体原因。</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500</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INTERNAL_ERROR</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未预期服务异常。</w:t>
            </w:r>
          </w:p>
        </w:tc>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返回 request_id；服务端记录堆栈，不向客户端返回秘密信息。</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19. 多引擎适配器实施规格</w:t>
      </w:r>
    </w:p>
    <w:p>
      <w:pPr>
        <w:pStyle w:val="Heading2"/>
        <w:keepNext/>
        <w:spacing w:before="160" w:after="100" w:line="252" w:lineRule="auto"/>
      </w:pPr>
      <w:r>
        <w:rPr>
          <w:rFonts w:ascii="Microsoft YaHei" w:hAnsi="Microsoft YaHei" w:eastAsia="Microsoft YaHei"/>
          <w:b/>
          <w:color w:val="2F75B5"/>
          <w:sz w:val="25"/>
        </w:rPr>
        <w:t>19.1 核心接口边界</w:t>
      </w:r>
    </w:p>
    <w:p>
      <w:pPr>
        <w:spacing w:before="0" w:after="80" w:line="269" w:lineRule="auto"/>
      </w:pPr>
      <w:r>
        <w:rPr>
          <w:rFonts w:ascii="Microsoft YaHei" w:hAnsi="Microsoft YaHei" w:eastAsia="Microsoft YaHei"/>
          <w:b w:val="0"/>
          <w:i w:val="0"/>
          <w:sz w:val="18"/>
        </w:rPr>
        <w:t>引擎适配器负责“能力声明、逻辑类型解析、物理类型映射、标识符规则、DDL 渲染及静态兼容性检查”。它不负责模型业务状态、用户权限、审批和版本管理。模型服务先产生经过校验的、与引擎无关的 ModelDefinition，再把它交给适配器。</w:t>
      </w:r>
    </w:p>
    <w:tbl>
      <w:tblPr>
        <w:tblStyle w:val="TableGrid"/>
        <w:tblW w:type="auto" w:w="0"/>
        <w:jc w:val="center"/>
        <w:tblLayout w:type="fixed"/>
        <w:tblLook w:firstColumn="1" w:firstRow="1" w:lastColumn="0" w:lastRow="0" w:noHBand="0" w:noVBand="1" w:val="04A0"/>
      </w:tblPr>
      <w:tblGrid>
        <w:gridCol w:w="9994"/>
      </w:tblGrid>
      <w:tr>
        <w:tc>
          <w:tcPr>
            <w:tcW w:type="dxa" w:w="9994"/>
            <w:tcMar>
              <w:top w:w="100" w:type="dxa"/>
              <w:start w:w="120" w:type="dxa"/>
              <w:bottom w:w="100" w:type="dxa"/>
              <w:end w:w="120" w:type="dxa"/>
            </w:tcMar>
            <w:shd w:fill="F3F5F7"/>
          </w:tcPr>
          <w:p>
            <w:pPr>
              <w:spacing w:before="0" w:after="0" w:line="240" w:lineRule="auto"/>
            </w:pPr>
            <w:r/>
            <w:r>
              <w:rPr>
                <w:rFonts w:ascii="Consolas" w:hAnsi="Consolas" w:eastAsia="Microsoft YaHei"/>
                <w:color w:val="333333"/>
                <w:sz w:val="15"/>
              </w:rPr>
              <w:t>class EngineAdapter(Protocol):</w:t>
            </w:r>
            <w:r>
              <w:br/>
            </w:r>
            <w:r>
              <w:rPr>
                <w:rFonts w:ascii="Consolas" w:hAnsi="Consolas" w:eastAsia="Microsoft YaHei"/>
                <w:color w:val="333333"/>
                <w:sz w:val="15"/>
              </w:rPr>
              <w:t xml:space="preserve">    engine_code: str</w:t>
            </w:r>
            <w:r>
              <w:br/>
            </w:r>
            <w:r>
              <w:rPr>
                <w:rFonts w:ascii="Consolas" w:hAnsi="Consolas" w:eastAsia="Microsoft YaHei"/>
                <w:color w:val="333333"/>
                <w:sz w:val="15"/>
              </w:rPr>
            </w:r>
            <w:r>
              <w:br/>
            </w:r>
            <w:r>
              <w:rPr>
                <w:rFonts w:ascii="Consolas" w:hAnsi="Consolas" w:eastAsia="Microsoft YaHei"/>
                <w:color w:val="333333"/>
                <w:sz w:val="15"/>
              </w:rPr>
              <w:t xml:space="preserve">    def capabilities(self) -&gt; EngineCapabilities: ...</w:t>
            </w:r>
            <w:r>
              <w:br/>
            </w:r>
            <w:r>
              <w:rPr>
                <w:rFonts w:ascii="Consolas" w:hAnsi="Consolas" w:eastAsia="Microsoft YaHei"/>
                <w:color w:val="333333"/>
                <w:sz w:val="15"/>
              </w:rPr>
              <w:t xml:space="preserve">    def validate_definition(self, model: ModelDefinition) -&gt; list[ValidationIssue]: ...</w:t>
            </w:r>
            <w:r>
              <w:br/>
            </w:r>
            <w:r>
              <w:rPr>
                <w:rFonts w:ascii="Consolas" w:hAnsi="Consolas" w:eastAsia="Microsoft YaHei"/>
                <w:color w:val="333333"/>
                <w:sz w:val="15"/>
              </w:rPr>
              <w:t xml:space="preserve">    def map_type(self, logical_type: LogicalType,</w:t>
            </w:r>
            <w:r>
              <w:br/>
            </w:r>
            <w:r>
              <w:rPr>
                <w:rFonts w:ascii="Consolas" w:hAnsi="Consolas" w:eastAsia="Microsoft YaHei"/>
                <w:color w:val="333333"/>
                <w:sz w:val="15"/>
              </w:rPr>
              <w:t xml:space="preserve">                 attributes: TypeAttributes) -&gt; PhysicalTypeResult: ...</w:t>
            </w:r>
            <w:r>
              <w:br/>
            </w:r>
            <w:r>
              <w:rPr>
                <w:rFonts w:ascii="Consolas" w:hAnsi="Consolas" w:eastAsia="Microsoft YaHei"/>
                <w:color w:val="333333"/>
                <w:sz w:val="15"/>
              </w:rPr>
              <w:t xml:space="preserve">    def normalize_identifier(self, identifier: str) -&gt; IdentifierResult: ...</w:t>
            </w:r>
            <w:r>
              <w:br/>
            </w:r>
            <w:r>
              <w:rPr>
                <w:rFonts w:ascii="Consolas" w:hAnsi="Consolas" w:eastAsia="Microsoft YaHei"/>
                <w:color w:val="333333"/>
                <w:sz w:val="15"/>
              </w:rPr>
              <w:t xml:space="preserve">    def render_create_ddl(self, model: ModelDefinition,</w:t>
            </w:r>
            <w:r>
              <w:br/>
            </w:r>
            <w:r>
              <w:rPr>
                <w:rFonts w:ascii="Consolas" w:hAnsi="Consolas" w:eastAsia="Microsoft YaHei"/>
                <w:color w:val="333333"/>
                <w:sz w:val="15"/>
              </w:rPr>
              <w:t xml:space="preserve">                          options: DdlOptions) -&gt; DdlArtifact: ...</w:t>
            </w:r>
            <w:r>
              <w:br/>
            </w:r>
            <w:r>
              <w:rPr>
                <w:rFonts w:ascii="Consolas" w:hAnsi="Consolas" w:eastAsia="Microsoft YaHei"/>
                <w:color w:val="333333"/>
                <w:sz w:val="15"/>
              </w:rPr>
              <w:t xml:space="preserve">    def render_alter_plan(self, base: ModelDefinition,</w:t>
            </w:r>
            <w:r>
              <w:br/>
            </w:r>
            <w:r>
              <w:rPr>
                <w:rFonts w:ascii="Consolas" w:hAnsi="Consolas" w:eastAsia="Microsoft YaHei"/>
                <w:color w:val="333333"/>
                <w:sz w:val="15"/>
              </w:rPr>
              <w:t xml:space="preserve">                          target: ModelDefinition,</w:t>
            </w:r>
            <w:r>
              <w:br/>
            </w:r>
            <w:r>
              <w:rPr>
                <w:rFonts w:ascii="Consolas" w:hAnsi="Consolas" w:eastAsia="Microsoft YaHei"/>
                <w:color w:val="333333"/>
                <w:sz w:val="15"/>
              </w:rPr>
              <w:t xml:space="preserve">                          options: DdlOptions) -&gt; DdlPlan: ...</w:t>
            </w:r>
          </w:p>
        </w:tc>
      </w:tr>
    </w:tbl>
    <w:p>
      <w:pPr>
        <w:spacing w:before="0" w:after="40" w:line="269" w:lineRule="auto"/>
      </w:pPr>
    </w:p>
    <w:p>
      <w:pPr>
        <w:pStyle w:val="Heading2"/>
        <w:keepNext/>
        <w:spacing w:before="160" w:after="100" w:line="252" w:lineRule="auto"/>
      </w:pPr>
      <w:r>
        <w:rPr>
          <w:rFonts w:ascii="Microsoft YaHei" w:hAnsi="Microsoft YaHei" w:eastAsia="Microsoft YaHei"/>
          <w:b/>
          <w:color w:val="2F75B5"/>
          <w:sz w:val="25"/>
        </w:rPr>
        <w:t>19.2 类型系统建议</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44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逻辑类型</w:t>
            </w:r>
          </w:p>
        </w:tc>
        <w:tc>
          <w:tcPr>
            <w:tcW w:type="dxa" w:w="223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含义/属性</w:t>
            </w:r>
          </w:p>
        </w:tc>
        <w:tc>
          <w:tcPr>
            <w:tcW w:type="dxa" w:w="367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常见映射示例（不作为默认真值）</w:t>
            </w:r>
          </w:p>
        </w:tc>
        <w:tc>
          <w:tcPr>
            <w:tcW w:type="dxa" w:w="266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必须校验</w:t>
            </w:r>
          </w:p>
        </w:tc>
      </w:tr>
      <w:tr>
        <w:trPr>
          <w:cantSplit/>
        </w:trPr>
        <w:tc>
          <w:tcPr>
            <w:tcW w:type="dxa" w:w="14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STRING</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字符串；最大长度可选</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PostgreSQL VARCHAR/TEXT；Hive STRING；MySQL VARCHAR/TEXT</w:t>
            </w:r>
          </w:p>
        </w:tc>
        <w:tc>
          <w:tcPr>
            <w:tcW w:type="dxa" w:w="266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目标引擎长度上限、字符集及超长类型规则。</w:t>
            </w:r>
          </w:p>
        </w:tc>
      </w:tr>
      <w:tr>
        <w:trPr>
          <w:cantSplit/>
        </w:trPr>
        <w:tc>
          <w:tcPr>
            <w:tcW w:type="dxa" w:w="14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INTEGER</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整数</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INTEGER/INT</w:t>
            </w:r>
          </w:p>
        </w:tc>
        <w:tc>
          <w:tcPr>
            <w:tcW w:type="dxa" w:w="266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目标引擎整数位宽与溢出风险。</w:t>
            </w:r>
          </w:p>
        </w:tc>
      </w:tr>
      <w:tr>
        <w:trPr>
          <w:cantSplit/>
        </w:trPr>
        <w:tc>
          <w:tcPr>
            <w:tcW w:type="dxa" w:w="14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LONG</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长整数</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BIGINT</w:t>
            </w:r>
          </w:p>
        </w:tc>
        <w:tc>
          <w:tcPr>
            <w:tcW w:type="dxa" w:w="266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目标引擎是否支持及范围一致性。</w:t>
            </w:r>
          </w:p>
        </w:tc>
      </w:tr>
      <w:tr>
        <w:trPr>
          <w:cantSplit/>
        </w:trPr>
        <w:tc>
          <w:tcPr>
            <w:tcW w:type="dxa" w:w="14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DECIMAL</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定点数；precision/scale</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DECIMAL(p,s)/NUMERIC(p,s)</w:t>
            </w:r>
          </w:p>
        </w:tc>
        <w:tc>
          <w:tcPr>
            <w:tcW w:type="dxa" w:w="266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p/s 上限、scale≤precision、舍入策略。</w:t>
            </w:r>
          </w:p>
        </w:tc>
      </w:tr>
      <w:tr>
        <w:trPr>
          <w:cantSplit/>
        </w:trPr>
        <w:tc>
          <w:tcPr>
            <w:tcW w:type="dxa" w:w="14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BOOLEAN</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布尔值</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BOOLEAN；部分引擎可能映射为 TINYINT</w:t>
            </w:r>
          </w:p>
        </w:tc>
        <w:tc>
          <w:tcPr>
            <w:tcW w:type="dxa" w:w="266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布尔等价语义、默认值和查询表达式。</w:t>
            </w:r>
          </w:p>
        </w:tc>
      </w:tr>
      <w:tr>
        <w:trPr>
          <w:cantSplit/>
        </w:trPr>
        <w:tc>
          <w:tcPr>
            <w:tcW w:type="dxa" w:w="14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DATE</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日期</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DATE</w:t>
            </w:r>
          </w:p>
        </w:tc>
        <w:tc>
          <w:tcPr>
            <w:tcW w:type="dxa" w:w="266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日期范围和格式解析。</w:t>
            </w:r>
          </w:p>
        </w:tc>
      </w:tr>
      <w:tr>
        <w:trPr>
          <w:cantSplit/>
        </w:trPr>
        <w:tc>
          <w:tcPr>
            <w:tcW w:type="dxa" w:w="14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TIMESTAMP</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日期时间/时区语义</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TIMESTAMP、TIMESTAMP WITH TIME ZONE 或引擎特定类型</w:t>
            </w:r>
          </w:p>
        </w:tc>
        <w:tc>
          <w:tcPr>
            <w:tcW w:type="dxa" w:w="266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时区、精度、会话设置和跨引擎语义差异。</w:t>
            </w:r>
          </w:p>
        </w:tc>
      </w:tr>
      <w:tr>
        <w:trPr>
          <w:cantSplit/>
        </w:trPr>
        <w:tc>
          <w:tcPr>
            <w:tcW w:type="dxa" w:w="14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BINARY</w:t>
            </w:r>
          </w:p>
        </w:tc>
        <w:tc>
          <w:tcPr>
            <w:tcW w:type="dxa" w:w="223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二进制值</w:t>
            </w:r>
          </w:p>
        </w:tc>
        <w:tc>
          <w:tcPr>
            <w:tcW w:type="dxa" w:w="367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BYTEA/BLOB/BINARY</w:t>
            </w:r>
          </w:p>
        </w:tc>
        <w:tc>
          <w:tcPr>
            <w:tcW w:type="dxa" w:w="266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大小限制及是否支持外部存储。</w:t>
            </w:r>
          </w:p>
        </w:tc>
      </w:tr>
      <w:tr>
        <w:trPr>
          <w:cantSplit/>
        </w:trPr>
        <w:tc>
          <w:tcPr>
            <w:tcW w:type="dxa" w:w="14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JSON</w:t>
            </w:r>
          </w:p>
        </w:tc>
        <w:tc>
          <w:tcPr>
            <w:tcW w:type="dxa" w:w="223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半结构化文档</w:t>
            </w:r>
          </w:p>
        </w:tc>
        <w:tc>
          <w:tcPr>
            <w:tcW w:type="dxa" w:w="367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JSON/JSONB/STRING 等实现</w:t>
            </w:r>
          </w:p>
        </w:tc>
        <w:tc>
          <w:tcPr>
            <w:tcW w:type="dxa" w:w="266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索引、函数和查询能力不能仅凭类型名称假定。</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19.3 Engine Profile 配置范例</w:t>
      </w:r>
    </w:p>
    <w:tbl>
      <w:tblPr>
        <w:tblStyle w:val="TableGrid"/>
        <w:tblW w:type="auto" w:w="0"/>
        <w:jc w:val="center"/>
        <w:tblLayout w:type="fixed"/>
        <w:tblLook w:firstColumn="1" w:firstRow="1" w:lastColumn="0" w:lastRow="0" w:noHBand="0" w:noVBand="1" w:val="04A0"/>
      </w:tblPr>
      <w:tblGrid>
        <w:gridCol w:w="9994"/>
      </w:tblGrid>
      <w:tr>
        <w:tc>
          <w:tcPr>
            <w:tcW w:type="dxa" w:w="9994"/>
            <w:tcMar>
              <w:top w:w="100" w:type="dxa"/>
              <w:start w:w="120" w:type="dxa"/>
              <w:bottom w:w="100" w:type="dxa"/>
              <w:end w:w="120" w:type="dxa"/>
            </w:tcMar>
            <w:shd w:fill="F3F5F7"/>
          </w:tcPr>
          <w:p>
            <w:pPr>
              <w:spacing w:before="0" w:after="0" w:line="240" w:lineRule="auto"/>
            </w:pPr>
            <w:r/>
            <w:r>
              <w:rPr>
                <w:rFonts w:ascii="Consolas" w:hAnsi="Consolas" w:eastAsia="Microsoft YaHei"/>
                <w:color w:val="333333"/>
                <w:sz w:val="15"/>
              </w:rPr>
              <w:t>{</w:t>
            </w:r>
            <w:r>
              <w:br/>
            </w:r>
            <w:r>
              <w:rPr>
                <w:rFonts w:ascii="Consolas" w:hAnsi="Consolas" w:eastAsia="Microsoft YaHei"/>
                <w:color w:val="333333"/>
                <w:sz w:val="15"/>
              </w:rPr>
              <w:t xml:space="preserve">  "engine_code": "postgresql",</w:t>
            </w:r>
            <w:r>
              <w:br/>
            </w:r>
            <w:r>
              <w:rPr>
                <w:rFonts w:ascii="Consolas" w:hAnsi="Consolas" w:eastAsia="Microsoft YaHei"/>
                <w:color w:val="333333"/>
                <w:sz w:val="15"/>
              </w:rPr>
              <w:t xml:space="preserve">  "engine_version": "15",</w:t>
            </w:r>
            <w:r>
              <w:br/>
            </w:r>
            <w:r>
              <w:rPr>
                <w:rFonts w:ascii="Consolas" w:hAnsi="Consolas" w:eastAsia="Microsoft YaHei"/>
                <w:color w:val="333333"/>
                <w:sz w:val="15"/>
              </w:rPr>
              <w:t xml:space="preserve">  "default_schema": "analytics",</w:t>
            </w:r>
            <w:r>
              <w:br/>
            </w:r>
            <w:r>
              <w:rPr>
                <w:rFonts w:ascii="Consolas" w:hAnsi="Consolas" w:eastAsia="Microsoft YaHei"/>
                <w:color w:val="333333"/>
                <w:sz w:val="15"/>
              </w:rPr>
              <w:t xml:space="preserve">  "capabilities": {</w:t>
            </w:r>
            <w:r>
              <w:br/>
            </w:r>
            <w:r>
              <w:rPr>
                <w:rFonts w:ascii="Consolas" w:hAnsi="Consolas" w:eastAsia="Microsoft YaHei"/>
                <w:color w:val="333333"/>
                <w:sz w:val="15"/>
              </w:rPr>
              <w:t xml:space="preserve">    "supports_primary_key": true,</w:t>
            </w:r>
            <w:r>
              <w:br/>
            </w:r>
            <w:r>
              <w:rPr>
                <w:rFonts w:ascii="Consolas" w:hAnsi="Consolas" w:eastAsia="Microsoft YaHei"/>
                <w:color w:val="333333"/>
                <w:sz w:val="15"/>
              </w:rPr>
              <w:t xml:space="preserve">    "supports_foreign_key": true,</w:t>
            </w:r>
            <w:r>
              <w:br/>
            </w:r>
            <w:r>
              <w:rPr>
                <w:rFonts w:ascii="Consolas" w:hAnsi="Consolas" w:eastAsia="Microsoft YaHei"/>
                <w:color w:val="333333"/>
                <w:sz w:val="15"/>
              </w:rPr>
              <w:t xml:space="preserve">    "supports_partitioning": true,</w:t>
            </w:r>
            <w:r>
              <w:br/>
            </w:r>
            <w:r>
              <w:rPr>
                <w:rFonts w:ascii="Consolas" w:hAnsi="Consolas" w:eastAsia="Microsoft YaHei"/>
                <w:color w:val="333333"/>
                <w:sz w:val="15"/>
              </w:rPr>
              <w:t xml:space="preserve">    "supports_comment": true,</w:t>
            </w:r>
            <w:r>
              <w:br/>
            </w:r>
            <w:r>
              <w:rPr>
                <w:rFonts w:ascii="Consolas" w:hAnsi="Consolas" w:eastAsia="Microsoft YaHei"/>
                <w:color w:val="333333"/>
                <w:sz w:val="15"/>
              </w:rPr>
              <w:t xml:space="preserve">    "supports_alter_column_type": true</w:t>
            </w:r>
            <w:r>
              <w:br/>
            </w:r>
            <w:r>
              <w:rPr>
                <w:rFonts w:ascii="Consolas" w:hAnsi="Consolas" w:eastAsia="Microsoft YaHei"/>
                <w:color w:val="333333"/>
                <w:sz w:val="15"/>
              </w:rPr>
              <w:t xml:space="preserve">  },</w:t>
            </w:r>
            <w:r>
              <w:br/>
            </w:r>
            <w:r>
              <w:rPr>
                <w:rFonts w:ascii="Consolas" w:hAnsi="Consolas" w:eastAsia="Microsoft YaHei"/>
                <w:color w:val="333333"/>
                <w:sz w:val="15"/>
              </w:rPr>
              <w:t xml:space="preserve">  "type_mappings": {</w:t>
            </w:r>
            <w:r>
              <w:br/>
            </w:r>
            <w:r>
              <w:rPr>
                <w:rFonts w:ascii="Consolas" w:hAnsi="Consolas" w:eastAsia="Microsoft YaHei"/>
                <w:color w:val="333333"/>
                <w:sz w:val="15"/>
              </w:rPr>
              <w:t xml:space="preserve">    "STRING": {"default": "VARCHAR", "requires_length": true},</w:t>
            </w:r>
            <w:r>
              <w:br/>
            </w:r>
            <w:r>
              <w:rPr>
                <w:rFonts w:ascii="Consolas" w:hAnsi="Consolas" w:eastAsia="Microsoft YaHei"/>
                <w:color w:val="333333"/>
                <w:sz w:val="15"/>
              </w:rPr>
              <w:t xml:space="preserve">    "LONG": {"default": "BIGINT"},</w:t>
            </w:r>
            <w:r>
              <w:br/>
            </w:r>
            <w:r>
              <w:rPr>
                <w:rFonts w:ascii="Consolas" w:hAnsi="Consolas" w:eastAsia="Microsoft YaHei"/>
                <w:color w:val="333333"/>
                <w:sz w:val="15"/>
              </w:rPr>
              <w:t xml:space="preserve">    "DECIMAL": {"default": "NUMERIC", "requires_precision_scale": true}</w:t>
            </w:r>
            <w:r>
              <w:br/>
            </w:r>
            <w:r>
              <w:rPr>
                <w:rFonts w:ascii="Consolas" w:hAnsi="Consolas" w:eastAsia="Microsoft YaHei"/>
                <w:color w:val="333333"/>
                <w:sz w:val="15"/>
              </w:rPr>
              <w:t xml:space="preserve">  },</w:t>
            </w:r>
            <w:r>
              <w:br/>
            </w:r>
            <w:r>
              <w:rPr>
                <w:rFonts w:ascii="Consolas" w:hAnsi="Consolas" w:eastAsia="Microsoft YaHei"/>
                <w:color w:val="333333"/>
                <w:sz w:val="15"/>
              </w:rPr>
              <w:t xml:space="preserve">  "identifier_rules": {</w:t>
            </w:r>
            <w:r>
              <w:br/>
            </w:r>
            <w:r>
              <w:rPr>
                <w:rFonts w:ascii="Consolas" w:hAnsi="Consolas" w:eastAsia="Microsoft YaHei"/>
                <w:color w:val="333333"/>
                <w:sz w:val="15"/>
              </w:rPr>
              <w:t xml:space="preserve">    "max_length": 63,</w:t>
            </w:r>
            <w:r>
              <w:br/>
            </w:r>
            <w:r>
              <w:rPr>
                <w:rFonts w:ascii="Consolas" w:hAnsi="Consolas" w:eastAsia="Microsoft YaHei"/>
                <w:color w:val="333333"/>
                <w:sz w:val="15"/>
              </w:rPr>
              <w:t xml:space="preserve">    "case_policy": "lowercase",</w:t>
            </w:r>
            <w:r>
              <w:br/>
            </w:r>
            <w:r>
              <w:rPr>
                <w:rFonts w:ascii="Consolas" w:hAnsi="Consolas" w:eastAsia="Microsoft YaHei"/>
                <w:color w:val="333333"/>
                <w:sz w:val="15"/>
              </w:rPr>
              <w:t xml:space="preserve">    "quote_style": "double_quote"</w:t>
            </w:r>
            <w:r>
              <w:br/>
            </w:r>
            <w:r>
              <w:rPr>
                <w:rFonts w:ascii="Consolas" w:hAnsi="Consolas" w:eastAsia="Microsoft YaHei"/>
                <w:color w:val="333333"/>
                <w:sz w:val="15"/>
              </w:rPr>
              <w:t xml:space="preserve">  }</w:t>
            </w:r>
            <w:r>
              <w:br/>
            </w:r>
            <w:r>
              <w:rPr>
                <w:rFonts w:ascii="Consolas" w:hAnsi="Consolas" w:eastAsia="Microsoft YaHei"/>
                <w:color w:val="333333"/>
                <w:sz w:val="15"/>
              </w:rPr>
              <w:t>}</w:t>
            </w:r>
          </w:p>
        </w:tc>
      </w:tr>
    </w:tbl>
    <w:p>
      <w:pPr>
        <w:spacing w:before="0" w:after="40" w:line="269" w:lineRule="auto"/>
      </w:pPr>
    </w:p>
    <w:p>
      <w:pPr>
        <w:pStyle w:val="Heading2"/>
        <w:keepNext/>
        <w:spacing w:before="160" w:after="100" w:line="252" w:lineRule="auto"/>
      </w:pPr>
      <w:r>
        <w:rPr>
          <w:rFonts w:ascii="Microsoft YaHei" w:hAnsi="Microsoft YaHei" w:eastAsia="Microsoft YaHei"/>
          <w:b/>
          <w:color w:val="2F75B5"/>
          <w:sz w:val="25"/>
        </w:rPr>
        <w:t>19.4 DDL 生成流水线</w:t>
      </w:r>
    </w:p>
    <w:p>
      <w:pPr>
        <w:pStyle w:val="ListNumber"/>
        <w:spacing w:before="0" w:after="40" w:line="259" w:lineRule="auto"/>
      </w:pPr>
      <w:r>
        <w:rPr>
          <w:rFonts w:ascii="Microsoft YaHei" w:hAnsi="Microsoft YaHei" w:eastAsia="Microsoft YaHei"/>
          <w:sz w:val="18"/>
        </w:rPr>
        <w:t>读取指定 model_version 的不可变 snapshot，拒绝使用尚未保存或未通过必要规则的临时前端状态。</w:t>
      </w:r>
    </w:p>
    <w:p>
      <w:pPr>
        <w:pStyle w:val="ListNumber"/>
        <w:spacing w:before="0" w:after="40" w:line="259" w:lineRule="auto"/>
      </w:pPr>
      <w:r>
        <w:rPr>
          <w:rFonts w:ascii="Microsoft YaHei" w:hAnsi="Microsoft YaHei" w:eastAsia="Microsoft YaHei"/>
          <w:sz w:val="18"/>
        </w:rPr>
        <w:t>加载明确选定的 engine_profile、类型映射版本、能力声明和生成器版本；如果 profile 无法追溯到版本，生成物可能无法复现。</w:t>
      </w:r>
    </w:p>
    <w:p>
      <w:pPr>
        <w:pStyle w:val="ListNumber"/>
        <w:spacing w:before="0" w:after="40" w:line="259" w:lineRule="auto"/>
      </w:pPr>
      <w:r>
        <w:rPr>
          <w:rFonts w:ascii="Microsoft YaHei" w:hAnsi="Microsoft YaHei" w:eastAsia="Microsoft YaHei"/>
          <w:sz w:val="18"/>
        </w:rPr>
        <w:t>执行目标引擎预检：类型支持、字段长度/精度、标识符长度/保留字、主键/分区能力、必填属性。</w:t>
      </w:r>
    </w:p>
    <w:p>
      <w:pPr>
        <w:pStyle w:val="ListNumber"/>
        <w:spacing w:before="0" w:after="40" w:line="259" w:lineRule="auto"/>
      </w:pPr>
      <w:r>
        <w:rPr>
          <w:rFonts w:ascii="Microsoft YaHei" w:hAnsi="Microsoft YaHei" w:eastAsia="Microsoft YaHei"/>
          <w:sz w:val="18"/>
        </w:rPr>
        <w:t>构建中间 DDL AST 或受控渲染模板；用户输入全部作为标识符/类型参数校验，不拼接未经校验的 SQL 片段。</w:t>
      </w:r>
    </w:p>
    <w:p>
      <w:pPr>
        <w:pStyle w:val="ListNumber"/>
        <w:spacing w:before="0" w:after="40" w:line="259" w:lineRule="auto"/>
      </w:pPr>
      <w:r>
        <w:rPr>
          <w:rFonts w:ascii="Microsoft YaHei" w:hAnsi="Microsoft YaHei" w:eastAsia="Microsoft YaHei"/>
          <w:sz w:val="18"/>
        </w:rPr>
        <w:t>生成 DDL 文本、内容 SHA-256、生成器版本、校验摘要，并写入 ddl_artifacts；默认仅预览/下载。</w:t>
      </w:r>
    </w:p>
    <w:p>
      <w:pPr>
        <w:pStyle w:val="ListNumber"/>
        <w:spacing w:before="0" w:after="40" w:line="259" w:lineRule="auto"/>
      </w:pPr>
      <w:r>
        <w:rPr>
          <w:rFonts w:ascii="Microsoft YaHei" w:hAnsi="Microsoft YaHei" w:eastAsia="Microsoft YaHei"/>
          <w:sz w:val="18"/>
        </w:rPr>
        <w:t>若未来增加 DDL 执行，必须单独增加变更申请、环境绑定、差异审批、执行前检查、回滚/补偿方案和执行审计。</w:t>
      </w:r>
    </w:p>
    <w:tbl>
      <w:tblPr>
        <w:tblStyle w:val="TableGrid"/>
        <w:tblW w:type="auto" w:w="0"/>
        <w:tblLook w:firstColumn="1" w:firstRow="1" w:lastColumn="0" w:lastRow="0" w:noHBand="0" w:noVBand="1" w:val="04A0"/>
      </w:tblPr>
      <w:tblGrid>
        <w:gridCol w:w="9994"/>
      </w:tblGrid>
      <w:tr>
        <w:tc>
          <w:tcPr>
            <w:tcW w:type="dxa" w:w="9994"/>
            <w:tcMar>
              <w:top w:w="120" w:type="dxa"/>
              <w:start w:w="150" w:type="dxa"/>
              <w:bottom w:w="120" w:type="dxa"/>
              <w:end w:w="150" w:type="dxa"/>
            </w:tcMar>
            <w:shd w:fill="FCE4D6"/>
          </w:tcPr>
          <w:p>
            <w:pPr>
              <w:spacing w:before="0" w:after="40" w:line="259" w:lineRule="auto"/>
            </w:pPr>
            <w:r/>
            <w:r>
              <w:rPr>
                <w:rFonts w:ascii="Microsoft YaHei" w:hAnsi="Microsoft YaHei" w:eastAsia="Microsoft YaHei"/>
                <w:b/>
                <w:color w:val="17365D"/>
                <w:sz w:val="19"/>
              </w:rPr>
              <w:t>对 SQL 转换工具的定位</w:t>
            </w:r>
          </w:p>
          <w:p>
            <w:pPr>
              <w:spacing w:before="0" w:after="0" w:line="264" w:lineRule="auto"/>
            </w:pPr>
            <w:r>
              <w:rPr>
                <w:rFonts w:ascii="Microsoft YaHei" w:hAnsi="Microsoft YaHei" w:eastAsia="Microsoft YaHei"/>
                <w:color w:val="222222"/>
                <w:sz w:val="17"/>
              </w:rPr>
              <w:t>SQL 解析/格式化库可以辅助方言处理，但不能替代产品自身的类型映射、引擎能力声明与真实目标引擎测试。对不支持或语义不等价的特性，应返回明确错误，而不是静默“降级成功”。</w:t>
            </w:r>
          </w:p>
        </w:tc>
      </w:tr>
    </w:tbl>
    <w:p>
      <w:pPr>
        <w:spacing w:before="0" w:after="40" w:line="269" w:lineRule="auto"/>
      </w:pPr>
    </w:p>
    <w:p>
      <w:pPr>
        <w:pStyle w:val="Heading1"/>
        <w:keepNext/>
        <w:spacing w:before="240" w:after="100" w:line="252" w:lineRule="auto"/>
      </w:pPr>
      <w:r>
        <w:rPr>
          <w:rFonts w:ascii="Microsoft YaHei" w:hAnsi="Microsoft YaHei" w:eastAsia="Microsoft YaHei"/>
          <w:b/>
          <w:color w:val="17365D"/>
          <w:sz w:val="31"/>
        </w:rPr>
        <w:t>20. 安全、权限与审计细则</w:t>
      </w:r>
    </w:p>
    <w:p>
      <w:pPr>
        <w:pStyle w:val="Heading2"/>
        <w:keepNext/>
        <w:spacing w:before="160" w:after="100" w:line="252" w:lineRule="auto"/>
      </w:pPr>
      <w:r>
        <w:rPr>
          <w:rFonts w:ascii="Microsoft YaHei" w:hAnsi="Microsoft YaHei" w:eastAsia="Microsoft YaHei"/>
          <w:b/>
          <w:color w:val="2F75B5"/>
          <w:sz w:val="25"/>
        </w:rPr>
        <w:t>20.1 权限判定模型</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角色/项目成员角色</w:t>
            </w:r>
          </w:p>
        </w:tc>
        <w:tc>
          <w:tcPr>
            <w:tcW w:type="dxa" w:w="468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可做事项（建议基线）</w:t>
            </w:r>
          </w:p>
        </w:tc>
        <w:tc>
          <w:tcPr>
            <w:tcW w:type="dxa" w:w="331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限制</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平台管理员</w:t>
            </w:r>
          </w:p>
        </w:tc>
        <w:tc>
          <w:tcPr>
            <w:tcW w:type="dxa" w:w="468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用户、角色、全局规则、系统配置、全局审计。</w:t>
            </w:r>
          </w:p>
        </w:tc>
        <w:tc>
          <w:tcPr>
            <w:tcW w:type="dxa" w:w="33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高危管理动作必须写审计并建议二次确认。</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项目 Owner/Admin</w:t>
            </w:r>
          </w:p>
        </w:tc>
        <w:tc>
          <w:tcPr>
            <w:tcW w:type="dxa" w:w="468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项目配置、成员授权、项目内模型和需求管理。</w:t>
            </w:r>
          </w:p>
        </w:tc>
        <w:tc>
          <w:tcPr>
            <w:tcW w:type="dxa" w:w="33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不得绕过版本冻结规则，不能直接篡改正式版本。</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架构师</w:t>
            </w:r>
          </w:p>
        </w:tc>
        <w:tc>
          <w:tcPr>
            <w:tcW w:type="dxa" w:w="468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管理建模规范、查看项目模型、执行技术评审。</w:t>
            </w:r>
          </w:p>
        </w:tc>
        <w:tc>
          <w:tcPr>
            <w:tcW w:type="dxa" w:w="33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只有被授权的项目范围有效。</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建模开发人员</w:t>
            </w:r>
          </w:p>
        </w:tc>
        <w:tc>
          <w:tcPr>
            <w:tcW w:type="dxa" w:w="468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创建/维护需求、创建模型、编辑草稿、运行校验、提交评审。</w:t>
            </w:r>
          </w:p>
        </w:tc>
        <w:tc>
          <w:tcPr>
            <w:tcW w:type="dxa" w:w="33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不可审批自己的模型，除非组织明确允许并形成例外策略。</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业务评审人</w:t>
            </w:r>
          </w:p>
        </w:tc>
        <w:tc>
          <w:tcPr>
            <w:tcW w:type="dxa" w:w="468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查看需求/模型并提交业务评审结论。</w:t>
            </w:r>
          </w:p>
        </w:tc>
        <w:tc>
          <w:tcPr>
            <w:tcW w:type="dxa" w:w="33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默认只读模型定义，不直接编辑草稿。</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技术评审人</w:t>
            </w:r>
          </w:p>
        </w:tc>
        <w:tc>
          <w:tcPr>
            <w:tcW w:type="dxa" w:w="468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检查模型设计、规范、引擎适配和变更影响。</w:t>
            </w:r>
          </w:p>
        </w:tc>
        <w:tc>
          <w:tcPr>
            <w:tcW w:type="dxa" w:w="331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只能对分配给自己的评审任务决议。</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只读用户</w:t>
            </w:r>
          </w:p>
        </w:tc>
        <w:tc>
          <w:tcPr>
            <w:tcW w:type="dxa" w:w="468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查看其有权限项目内的已授权模型与发布物。</w:t>
            </w:r>
          </w:p>
        </w:tc>
        <w:tc>
          <w:tcPr>
            <w:tcW w:type="dxa" w:w="331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不能读取审计中的敏感前后值或其他项目数据。</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20.2 必须实施的安全控制</w:t>
      </w:r>
    </w:p>
    <w:p>
      <w:pPr>
        <w:pStyle w:val="ListBullet"/>
        <w:spacing w:before="0" w:after="40" w:line="259" w:lineRule="auto"/>
      </w:pPr>
      <w:r>
        <w:rPr>
          <w:rFonts w:ascii="Microsoft YaHei" w:hAnsi="Microsoft YaHei" w:eastAsia="Microsoft YaHei"/>
          <w:sz w:val="18"/>
        </w:rPr>
        <w:t>所有 API 在服务端进行认证、项目成员校验和对象级授权；不能依赖前端菜单/按钮是否显示。</w:t>
      </w:r>
    </w:p>
    <w:p>
      <w:pPr>
        <w:pStyle w:val="ListBullet"/>
        <w:spacing w:before="0" w:after="40" w:line="259" w:lineRule="auto"/>
      </w:pPr>
      <w:r>
        <w:rPr>
          <w:rFonts w:ascii="Microsoft YaHei" w:hAnsi="Microsoft YaHei" w:eastAsia="Microsoft YaHei"/>
          <w:sz w:val="18"/>
        </w:rPr>
        <w:t>防止跨项目 IDOR：查询、读取、写入、评审、导出和下载均需验证资源的 project_id。</w:t>
      </w:r>
    </w:p>
    <w:p>
      <w:pPr>
        <w:pStyle w:val="ListBullet"/>
        <w:spacing w:before="0" w:after="40" w:line="259" w:lineRule="auto"/>
      </w:pPr>
      <w:r>
        <w:rPr>
          <w:rFonts w:ascii="Microsoft YaHei" w:hAnsi="Microsoft YaHei" w:eastAsia="Microsoft YaHei"/>
          <w:sz w:val="18"/>
        </w:rPr>
        <w:t>模型描述、字段描述和转换表达式属于不可信输入；展示时防 XSS，生成 SQL 时严禁直接拼接未经验证的表达式。</w:t>
      </w:r>
    </w:p>
    <w:p>
      <w:pPr>
        <w:pStyle w:val="ListBullet"/>
        <w:spacing w:before="0" w:after="40" w:line="259" w:lineRule="auto"/>
      </w:pPr>
      <w:r>
        <w:rPr>
          <w:rFonts w:ascii="Microsoft YaHei" w:hAnsi="Microsoft YaHei" w:eastAsia="Microsoft YaHei"/>
          <w:sz w:val="18"/>
        </w:rPr>
        <w:t>身份认证优先接企业 SSO/OIDC；如保留本地账号，密码使用成熟算法哈希，实施登录限速、锁定和重置流程。</w:t>
      </w:r>
    </w:p>
    <w:p>
      <w:pPr>
        <w:pStyle w:val="ListBullet"/>
        <w:spacing w:before="0" w:after="40" w:line="259" w:lineRule="auto"/>
      </w:pPr>
      <w:r>
        <w:rPr>
          <w:rFonts w:ascii="Microsoft YaHei" w:hAnsi="Microsoft YaHei" w:eastAsia="Microsoft YaHei"/>
          <w:sz w:val="18"/>
        </w:rPr>
        <w:t>审计日志追加写入；普通应用角色不能修改/删除审计记录。生产环境应配置保留周期、备份和异常告警。</w:t>
      </w:r>
    </w:p>
    <w:p>
      <w:pPr>
        <w:pStyle w:val="ListBullet"/>
        <w:spacing w:before="0" w:after="40" w:line="259" w:lineRule="auto"/>
      </w:pPr>
      <w:r>
        <w:rPr>
          <w:rFonts w:ascii="Microsoft YaHei" w:hAnsi="Microsoft YaHei" w:eastAsia="Microsoft YaHei"/>
          <w:sz w:val="18"/>
        </w:rPr>
        <w:t>敏感字段分类不能替代真实的数据访问控制；V0.2 先登记标签，后续再扩展到脱敏、访问审批和数据权限联动。</w:t>
      </w:r>
    </w:p>
    <w:p>
      <w:pPr>
        <w:pStyle w:val="ListBullet"/>
        <w:spacing w:before="0" w:after="40" w:line="259" w:lineRule="auto"/>
      </w:pPr>
      <w:r>
        <w:rPr>
          <w:rFonts w:ascii="Microsoft YaHei" w:hAnsi="Microsoft YaHei" w:eastAsia="Microsoft YaHei"/>
          <w:sz w:val="18"/>
        </w:rPr>
        <w:t>引擎 Profile 不保存明文账号口令、Token 或连接串秘密；仅存密钥引用，秘密由部署平台管理。</w:t>
      </w:r>
    </w:p>
    <w:p>
      <w:pPr>
        <w:pStyle w:val="Heading2"/>
        <w:keepNext/>
        <w:spacing w:before="160" w:after="100" w:line="252" w:lineRule="auto"/>
      </w:pPr>
      <w:r>
        <w:rPr>
          <w:rFonts w:ascii="Microsoft YaHei" w:hAnsi="Microsoft YaHei" w:eastAsia="Microsoft YaHei"/>
          <w:b/>
          <w:color w:val="2F75B5"/>
          <w:sz w:val="25"/>
        </w:rPr>
        <w:t>20.3 审计事件最低集合</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事件</w:t>
            </w:r>
          </w:p>
        </w:tc>
        <w:tc>
          <w:tcPr>
            <w:tcW w:type="dxa" w:w="590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必须记录的内容</w:t>
            </w:r>
          </w:p>
        </w:tc>
      </w:tr>
      <w:tr>
        <w:trPr>
          <w:cantSplit/>
        </w:trPr>
        <w:tc>
          <w:tcPr>
            <w:tcW w:type="dxa" w:w="35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model.created / model.updated</w:t>
            </w:r>
          </w:p>
        </w:tc>
        <w:tc>
          <w:tcPr>
            <w:tcW w:type="dxa" w:w="590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用户、项目、模型 ID、版本 ID、变更摘要、时间、request_id。</w:t>
            </w:r>
          </w:p>
        </w:tc>
      </w:tr>
      <w:tr>
        <w:trPr>
          <w:cantSplit/>
        </w:trPr>
        <w:tc>
          <w:tcPr>
            <w:tcW w:type="dxa" w:w="35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version.submitted / version.rejected / version.approved / version.published</w:t>
            </w:r>
          </w:p>
        </w:tc>
        <w:tc>
          <w:tcPr>
            <w:tcW w:type="dxa" w:w="590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版本 ID、操作人、状态前后值、意见/原因、关联评审任务、快照摘要。</w:t>
            </w:r>
          </w:p>
        </w:tc>
      </w:tr>
      <w:tr>
        <w:trPr>
          <w:cantSplit/>
        </w:trPr>
        <w:tc>
          <w:tcPr>
            <w:tcW w:type="dxa" w:w="35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validation.completed</w:t>
            </w:r>
          </w:p>
        </w:tc>
        <w:tc>
          <w:tcPr>
            <w:tcW w:type="dxa" w:w="590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版本、规则版本、引擎 Profile、错误/警告数量、结果状态。</w:t>
            </w:r>
          </w:p>
        </w:tc>
      </w:tr>
      <w:tr>
        <w:trPr>
          <w:cantSplit/>
        </w:trPr>
        <w:tc>
          <w:tcPr>
            <w:tcW w:type="dxa" w:w="35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ddl.generated / ddl.downloaded</w:t>
            </w:r>
          </w:p>
        </w:tc>
        <w:tc>
          <w:tcPr>
            <w:tcW w:type="dxa" w:w="590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版本、引擎 Profile、生成器版本、工件 checksum、下载主体和时间。</w:t>
            </w:r>
          </w:p>
        </w:tc>
      </w:tr>
      <w:tr>
        <w:trPr>
          <w:cantSplit/>
        </w:trPr>
        <w:tc>
          <w:tcPr>
            <w:tcW w:type="dxa" w:w="35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permission.changed / engine_profile.changed / rule.changed</w:t>
            </w:r>
          </w:p>
        </w:tc>
        <w:tc>
          <w:tcPr>
            <w:tcW w:type="dxa" w:w="590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操作者、授权对象/配置对象、变更前后值、结果。</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21. 研发任务拆分与 Definition of Done</w:t>
      </w:r>
    </w:p>
    <w:p>
      <w:pPr>
        <w:pStyle w:val="Heading2"/>
        <w:keepNext/>
        <w:spacing w:before="160" w:after="100" w:line="252" w:lineRule="auto"/>
      </w:pPr>
      <w:r>
        <w:rPr>
          <w:rFonts w:ascii="Microsoft YaHei" w:hAnsi="Microsoft YaHei" w:eastAsia="Microsoft YaHei"/>
          <w:b/>
          <w:color w:val="2F75B5"/>
          <w:sz w:val="25"/>
        </w:rPr>
        <w:t>21.1 建议 Epic 与交付边界</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Epic</w:t>
            </w:r>
          </w:p>
        </w:tc>
        <w:tc>
          <w:tcPr>
            <w:tcW w:type="dxa" w:w="453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主要任务</w:t>
            </w:r>
          </w:p>
        </w:tc>
        <w:tc>
          <w:tcPr>
            <w:tcW w:type="dxa" w:w="324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完成标志</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E1 基础工程</w:t>
            </w:r>
          </w:p>
        </w:tc>
        <w:tc>
          <w:tcPr>
            <w:tcW w:type="dxa" w:w="45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前端工程、API 工程、配置管理、数据库迁移、容器编排、健康检查。</w:t>
            </w:r>
          </w:p>
        </w:tc>
        <w:tc>
          <w:tcPr>
            <w:tcW w:type="dxa" w:w="32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开发环境一键启动；CI 可运行格式检查、单元测试与迁移校验。</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E2 用户/项目权限</w:t>
            </w:r>
          </w:p>
        </w:tc>
        <w:tc>
          <w:tcPr>
            <w:tcW w:type="dxa" w:w="45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用户来源、平台角色、项目成员、项目隔离中间件和权限测试。</w:t>
            </w:r>
          </w:p>
        </w:tc>
        <w:tc>
          <w:tcPr>
            <w:tcW w:type="dxa" w:w="32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跨项目访问负例全部被拦截；权限拒绝可审计。</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E3 业务需求</w:t>
            </w:r>
          </w:p>
        </w:tc>
        <w:tc>
          <w:tcPr>
            <w:tcW w:type="dxa" w:w="45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需求单 CRUD、状态、调研摘要、需求与模型关联。</w:t>
            </w:r>
          </w:p>
        </w:tc>
        <w:tc>
          <w:tcPr>
            <w:tcW w:type="dxa" w:w="32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需求可以完整创建、更新、确认并关联到模型。</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E4 模型设计</w:t>
            </w:r>
          </w:p>
        </w:tc>
        <w:tc>
          <w:tcPr>
            <w:tcW w:type="dxa" w:w="45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模型身份、版本、表/字段/关系编辑、批量字段导入、乐观锁。</w:t>
            </w:r>
          </w:p>
        </w:tc>
        <w:tc>
          <w:tcPr>
            <w:tcW w:type="dxa" w:w="32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支持 100 字段模型编辑；保存和并发冲突行为可验证。</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E5 规则校验</w:t>
            </w:r>
          </w:p>
        </w:tc>
        <w:tc>
          <w:tcPr>
            <w:tcW w:type="dxa" w:w="45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规则字典、模型/表/字段校验、运行记录和问题定位。</w:t>
            </w:r>
          </w:p>
        </w:tc>
        <w:tc>
          <w:tcPr>
            <w:tcW w:type="dxa" w:w="32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阻断错误与警告分级正确，可点击问题定位到对象。</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E6 评审与发布</w:t>
            </w:r>
          </w:p>
        </w:tc>
        <w:tc>
          <w:tcPr>
            <w:tcW w:type="dxa" w:w="45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提交冻结、评审分配、通过/驳回、版本派生、发布动作和审计。</w:t>
            </w:r>
          </w:p>
        </w:tc>
        <w:tc>
          <w:tcPr>
            <w:tcW w:type="dxa" w:w="32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状态机禁止越权/跳步；发布版本只读且可追溯。</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E7 引擎/DDL</w:t>
            </w:r>
          </w:p>
        </w:tc>
        <w:tc>
          <w:tcPr>
            <w:tcW w:type="dxa" w:w="45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先实现 PostgreSQL 适配器，验证接口抽象；再按优先级增加其他引擎。</w:t>
            </w:r>
          </w:p>
        </w:tc>
        <w:tc>
          <w:tcPr>
            <w:tcW w:type="dxa" w:w="32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类型映射、标识符规则和 DDL 黄金样例通过自动测试。</w:t>
            </w:r>
          </w:p>
        </w:tc>
      </w:tr>
      <w:tr>
        <w:trPr>
          <w:cantSplit/>
        </w:trPr>
        <w:tc>
          <w:tcPr>
            <w:tcW w:type="dxa" w:w="172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E8 交付物与差异</w:t>
            </w:r>
          </w:p>
        </w:tc>
        <w:tc>
          <w:tcPr>
            <w:tcW w:type="dxa" w:w="45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DDL 预览/下载、数据字典导出、版本差异展示。</w:t>
            </w:r>
          </w:p>
        </w:tc>
        <w:tc>
          <w:tcPr>
            <w:tcW w:type="dxa" w:w="324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工件可复现、checksum 一致；差异能显示表/字段新增修改删除。</w:t>
            </w:r>
          </w:p>
        </w:tc>
      </w:tr>
      <w:tr>
        <w:trPr>
          <w:cantSplit/>
        </w:trPr>
        <w:tc>
          <w:tcPr>
            <w:tcW w:type="dxa" w:w="172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E9 可观测性与上线</w:t>
            </w:r>
          </w:p>
        </w:tc>
        <w:tc>
          <w:tcPr>
            <w:tcW w:type="dxa" w:w="45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结构化日志、审计查询、备份恢复、部署文档、安全检查。</w:t>
            </w:r>
          </w:p>
        </w:tc>
        <w:tc>
          <w:tcPr>
            <w:tcW w:type="dxa" w:w="324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部署、回滚、备份恢复和核心链路验收形成记录。</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21.2 每个故事的 Definition of Done（DoD）</w:t>
      </w:r>
    </w:p>
    <w:p>
      <w:pPr>
        <w:pStyle w:val="ListBullet"/>
        <w:spacing w:before="0" w:after="40" w:line="259" w:lineRule="auto"/>
      </w:pPr>
      <w:r>
        <w:rPr>
          <w:rFonts w:ascii="Microsoft YaHei" w:hAnsi="Microsoft YaHei" w:eastAsia="Microsoft YaHei"/>
          <w:sz w:val="18"/>
        </w:rPr>
        <w:t>需求有可验证的验收条件，至少覆盖正常路径、无权限路径、非法状态路径和异常路径。</w:t>
      </w:r>
    </w:p>
    <w:p>
      <w:pPr>
        <w:pStyle w:val="ListBullet"/>
        <w:spacing w:before="0" w:after="40" w:line="259" w:lineRule="auto"/>
      </w:pPr>
      <w:r>
        <w:rPr>
          <w:rFonts w:ascii="Microsoft YaHei" w:hAnsi="Microsoft YaHei" w:eastAsia="Microsoft YaHei"/>
          <w:sz w:val="18"/>
        </w:rPr>
        <w:t>接口有请求/响应模型、校验规则、错误码、幂等约定和 API 文档。</w:t>
      </w:r>
    </w:p>
    <w:p>
      <w:pPr>
        <w:pStyle w:val="ListBullet"/>
        <w:spacing w:before="0" w:after="40" w:line="259" w:lineRule="auto"/>
      </w:pPr>
      <w:r>
        <w:rPr>
          <w:rFonts w:ascii="Microsoft YaHei" w:hAnsi="Microsoft YaHei" w:eastAsia="Microsoft YaHei"/>
          <w:sz w:val="18"/>
        </w:rPr>
        <w:t>持久化变更有迁移脚本、回滚策略（若不可逆则明确补偿方案）和测试数据。</w:t>
      </w:r>
    </w:p>
    <w:p>
      <w:pPr>
        <w:pStyle w:val="ListBullet"/>
        <w:spacing w:before="0" w:after="40" w:line="259" w:lineRule="auto"/>
      </w:pPr>
      <w:r>
        <w:rPr>
          <w:rFonts w:ascii="Microsoft YaHei" w:hAnsi="Microsoft YaHei" w:eastAsia="Microsoft YaHei"/>
          <w:sz w:val="18"/>
        </w:rPr>
        <w:t>关键业务规则有自动化测试；版本状态机和复合外键相关逻辑必须覆盖负例。</w:t>
      </w:r>
    </w:p>
    <w:p>
      <w:pPr>
        <w:pStyle w:val="ListBullet"/>
        <w:spacing w:before="0" w:after="40" w:line="259" w:lineRule="auto"/>
      </w:pPr>
      <w:r>
        <w:rPr>
          <w:rFonts w:ascii="Microsoft YaHei" w:hAnsi="Microsoft YaHei" w:eastAsia="Microsoft YaHei"/>
          <w:sz w:val="18"/>
        </w:rPr>
        <w:t>涉及写操作的服务有授权校验、审计事件和可追踪 request_id。</w:t>
      </w:r>
    </w:p>
    <w:p>
      <w:pPr>
        <w:pStyle w:val="ListBullet"/>
        <w:spacing w:before="0" w:after="40" w:line="259" w:lineRule="auto"/>
      </w:pPr>
      <w:r>
        <w:rPr>
          <w:rFonts w:ascii="Microsoft YaHei" w:hAnsi="Microsoft YaHei" w:eastAsia="Microsoft YaHei"/>
          <w:sz w:val="18"/>
        </w:rPr>
        <w:t>UI 具备加载、空状态、保存失败、并发冲突、权限拒绝和校验失败的反馈。</w:t>
      </w:r>
    </w:p>
    <w:p>
      <w:pPr>
        <w:pStyle w:val="ListBullet"/>
        <w:spacing w:before="0" w:after="40" w:line="259" w:lineRule="auto"/>
      </w:pPr>
      <w:r>
        <w:rPr>
          <w:rFonts w:ascii="Microsoft YaHei" w:hAnsi="Microsoft YaHei" w:eastAsia="Microsoft YaHei"/>
          <w:sz w:val="18"/>
        </w:rPr>
        <w:t>交付说明、配置项、升级/回滚步骤和已知限制更新到文档。</w:t>
      </w:r>
    </w:p>
    <w:p>
      <w:pPr>
        <w:pStyle w:val="Heading2"/>
        <w:keepNext/>
        <w:spacing w:before="160" w:after="100" w:line="252" w:lineRule="auto"/>
      </w:pPr>
      <w:r>
        <w:rPr>
          <w:rFonts w:ascii="Microsoft YaHei" w:hAnsi="Microsoft YaHei" w:eastAsia="Microsoft YaHei"/>
          <w:b/>
          <w:color w:val="2F75B5"/>
          <w:sz w:val="25"/>
        </w:rPr>
        <w:t>21.3 MVP 验收场景（端到端）</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步骤</w:t>
            </w:r>
          </w:p>
        </w:tc>
        <w:tc>
          <w:tcPr>
            <w:tcW w:type="dxa" w:w="489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操作</w:t>
            </w:r>
          </w:p>
        </w:tc>
        <w:tc>
          <w:tcPr>
            <w:tcW w:type="dxa" w:w="381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4"/>
              </w:rPr>
              <w:t>通过标准</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1</w:t>
            </w:r>
          </w:p>
        </w:tc>
        <w:tc>
          <w:tcPr>
            <w:tcW w:type="dxa" w:w="489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管理员创建项目并授予建模人员、业务评审人和技术评审人权限。</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角色范围清晰；无项目权限用户无法读取该项目。</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2</w:t>
            </w:r>
          </w:p>
        </w:tc>
        <w:tc>
          <w:tcPr>
            <w:tcW w:type="dxa" w:w="489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建模人员创建业务需求，补充场景、目标、来源系统和验收标准。</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需求状态、操作者和更新时间可追溯。</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3</w:t>
            </w:r>
          </w:p>
        </w:tc>
        <w:tc>
          <w:tcPr>
            <w:tcW w:type="dxa" w:w="489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基于需求创建模型，设计一张 DWD 合同明细表及字段。</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表/字段属性完整；主键/类型/顺序约束生效。</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4</w:t>
            </w:r>
          </w:p>
        </w:tc>
        <w:tc>
          <w:tcPr>
            <w:tcW w:type="dxa" w:w="489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执行标准规则校验，故意制造主键可空、重复字段编码等问题。</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产生定位明确的错误/警告，错误可以阻断提交。</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5</w:t>
            </w:r>
          </w:p>
        </w:tc>
        <w:tc>
          <w:tcPr>
            <w:tcW w:type="dxa" w:w="489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修复后提交评审，业务和技术评审分别给出意见。</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提交时生成冻结快照和 checksum；非草稿不可修改。</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6</w:t>
            </w:r>
          </w:p>
        </w:tc>
        <w:tc>
          <w:tcPr>
            <w:tcW w:type="dxa" w:w="489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驳回一次并派生新版本，修复后通过评审。</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旧版本保留原意见，新草稿 version_no 递增且记录父版本。</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7</w:t>
            </w:r>
          </w:p>
        </w:tc>
        <w:tc>
          <w:tcPr>
            <w:tcW w:type="dxa" w:w="489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为 PostgreSQL Profile 生成 DDL 预览并导出数据字典。</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DDL 可下载并与该版本 snapshot 对应；没有实际执行目标 DDL。</w:t>
            </w:r>
          </w:p>
        </w:tc>
      </w:tr>
      <w:tr>
        <w:trPr>
          <w:cantSplit/>
        </w:trPr>
        <w:tc>
          <w:tcPr>
            <w:tcW w:type="dxa" w:w="7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8</w:t>
            </w:r>
          </w:p>
        </w:tc>
        <w:tc>
          <w:tcPr>
            <w:tcW w:type="dxa" w:w="489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发布该版本，再尝试修改其字段定义。</w:t>
            </w:r>
          </w:p>
        </w:tc>
        <w:tc>
          <w:tcPr>
            <w:tcW w:type="dxa" w:w="38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4"/>
              </w:rPr>
              <w:t>正式版本只读；变更必须从该版本派生下一草稿。</w:t>
            </w:r>
          </w:p>
        </w:tc>
      </w:tr>
      <w:tr>
        <w:trPr>
          <w:cantSplit/>
        </w:trPr>
        <w:tc>
          <w:tcPr>
            <w:tcW w:type="dxa" w:w="7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9</w:t>
            </w:r>
          </w:p>
        </w:tc>
        <w:tc>
          <w:tcPr>
            <w:tcW w:type="dxa" w:w="489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查询模型版本差异与全程审计。</w:t>
            </w:r>
          </w:p>
        </w:tc>
        <w:tc>
          <w:tcPr>
            <w:tcW w:type="dxa" w:w="38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4"/>
              </w:rPr>
              <w:t>能还原创建、校验、评审、驳回、派生、发布的操作者和时间。</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22. V0.2 待决事项与下一轮设计入口</w:t>
      </w:r>
    </w:p>
    <w:p>
      <w:pPr>
        <w:spacing w:before="0" w:after="80" w:line="269" w:lineRule="auto"/>
      </w:pPr>
      <w:r>
        <w:rPr>
          <w:rFonts w:ascii="Microsoft YaHei" w:hAnsi="Microsoft YaHei" w:eastAsia="Microsoft YaHei"/>
          <w:b w:val="0"/>
          <w:i w:val="0"/>
          <w:sz w:val="18"/>
        </w:rPr>
        <w:t>以下事项不阻塞元数据结构和 MVP 技术验证，但应在正式开发排期前明确。</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待决事项</w:t>
            </w:r>
          </w:p>
        </w:tc>
        <w:tc>
          <w:tcPr>
            <w:tcW w:type="dxa" w:w="460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建议默认值</w:t>
            </w:r>
          </w:p>
        </w:tc>
        <w:tc>
          <w:tcPr>
            <w:tcW w:type="dxa" w:w="2592"/>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需要谁确认/何时确认</w:t>
            </w:r>
          </w:p>
        </w:tc>
      </w:tr>
      <w:tr>
        <w:trPr>
          <w:cantSplit/>
        </w:trPr>
        <w:tc>
          <w:tcPr>
            <w:tcW w:type="dxa" w:w="21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首批真实目标引擎</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先把 PostgreSQL 适配器和类型系统接口跑通；再选一到两个业务真实引擎。</w:t>
            </w:r>
          </w:p>
        </w:tc>
        <w:tc>
          <w:tcPr>
            <w:tcW w:type="dxa" w:w="25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数仓架构师/平台负责人；开发 Sprint 1 前。</w:t>
            </w:r>
          </w:p>
        </w:tc>
      </w:tr>
      <w:tr>
        <w:trPr>
          <w:cantSplit/>
        </w:trPr>
        <w:tc>
          <w:tcPr>
            <w:tcW w:type="dxa" w:w="21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用户认证来源</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开发环境先本地账号；企业部署接入 OIDC/LDAP/现有统一身份平台。</w:t>
            </w:r>
          </w:p>
        </w:tc>
        <w:tc>
          <w:tcPr>
            <w:tcW w:type="dxa" w:w="25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信息安全/基础架构团队；联调前。</w:t>
            </w:r>
          </w:p>
        </w:tc>
      </w:tr>
      <w:tr>
        <w:trPr>
          <w:cantSplit/>
        </w:trPr>
        <w:tc>
          <w:tcPr>
            <w:tcW w:type="dxa" w:w="21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首期建模范围</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优先物理模型及表/字段/关系；概念/逻辑模型保留共用元数据接口，先实现基本对象。</w:t>
            </w:r>
          </w:p>
        </w:tc>
        <w:tc>
          <w:tcPr>
            <w:tcW w:type="dxa" w:w="25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业务和建模负责人；需求冻结前。</w:t>
            </w:r>
          </w:p>
        </w:tc>
      </w:tr>
      <w:tr>
        <w:trPr>
          <w:cantSplit/>
        </w:trPr>
        <w:tc>
          <w:tcPr>
            <w:tcW w:type="dxa" w:w="21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评审门禁</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技术评审为必需；业务评审是否必需按模型类型/业务域配置。</w:t>
            </w:r>
          </w:p>
        </w:tc>
        <w:tc>
          <w:tcPr>
            <w:tcW w:type="dxa" w:w="25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数据治理/业务负责人；审批流开发前。</w:t>
            </w:r>
          </w:p>
        </w:tc>
      </w:tr>
      <w:tr>
        <w:trPr>
          <w:cantSplit/>
        </w:trPr>
        <w:tc>
          <w:tcPr>
            <w:tcW w:type="dxa" w:w="21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附件与导入模板</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先支持 CSV/Excel 字段清单导入和模型字典导出；附件存对象存储或受控文件服务。</w:t>
            </w:r>
          </w:p>
        </w:tc>
        <w:tc>
          <w:tcPr>
            <w:tcW w:type="dxa" w:w="25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产品与研发；原型评审前。</w:t>
            </w:r>
          </w:p>
        </w:tc>
      </w:tr>
      <w:tr>
        <w:trPr>
          <w:cantSplit/>
        </w:trPr>
        <w:tc>
          <w:tcPr>
            <w:tcW w:type="dxa" w:w="21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模型编码规范</w:t>
            </w:r>
          </w:p>
        </w:tc>
        <w:tc>
          <w:tcPr>
            <w:tcW w:type="dxa" w:w="46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项目级规则可配置；物理名称长度/保留字由目标引擎适配器提供。</w:t>
            </w:r>
          </w:p>
        </w:tc>
        <w:tc>
          <w:tcPr>
            <w:tcW w:type="dxa" w:w="2592"/>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数据架构师；首批引擎确定后。</w:t>
            </w:r>
          </w:p>
        </w:tc>
      </w:tr>
      <w:tr>
        <w:trPr>
          <w:cantSplit/>
        </w:trPr>
        <w:tc>
          <w:tcPr>
            <w:tcW w:type="dxa" w:w="21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数据留存</w:t>
            </w:r>
          </w:p>
        </w:tc>
        <w:tc>
          <w:tcPr>
            <w:tcW w:type="dxa" w:w="46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审计、评审、发布版本默认长期保留；附件和临时导出配置保留周期。</w:t>
            </w:r>
          </w:p>
        </w:tc>
        <w:tc>
          <w:tcPr>
            <w:tcW w:type="dxa" w:w="2592"/>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合规/运维；上线评审前。</w:t>
            </w:r>
          </w:p>
        </w:tc>
      </w:tr>
    </w:tbl>
    <w:p>
      <w:pPr>
        <w:spacing w:before="0" w:after="20" w:line="269" w:lineRule="auto"/>
      </w:pPr>
    </w:p>
    <w:tbl>
      <w:tblPr>
        <w:tblStyle w:val="TableGrid"/>
        <w:tblW w:type="auto" w:w="0"/>
        <w:tblLook w:firstColumn="1" w:firstRow="1" w:lastColumn="0" w:lastRow="0" w:noHBand="0" w:noVBand="1" w:val="04A0"/>
      </w:tblPr>
      <w:tblGrid>
        <w:gridCol w:w="9994"/>
      </w:tblGrid>
      <w:tr>
        <w:tc>
          <w:tcPr>
            <w:tcW w:type="dxa" w:w="9994"/>
            <w:tcMar>
              <w:top w:w="120" w:type="dxa"/>
              <w:start w:w="150" w:type="dxa"/>
              <w:bottom w:w="120" w:type="dxa"/>
              <w:end w:w="150" w:type="dxa"/>
            </w:tcMar>
            <w:shd w:fill="E2F0D9"/>
          </w:tcPr>
          <w:p>
            <w:pPr>
              <w:spacing w:before="0" w:after="40" w:line="259" w:lineRule="auto"/>
            </w:pPr>
            <w:r/>
            <w:r>
              <w:rPr>
                <w:rFonts w:ascii="Microsoft YaHei" w:hAnsi="Microsoft YaHei" w:eastAsia="Microsoft YaHei"/>
                <w:b/>
                <w:color w:val="17365D"/>
                <w:sz w:val="19"/>
              </w:rPr>
              <w:t>建议下一步</w:t>
            </w:r>
          </w:p>
          <w:p>
            <w:pPr>
              <w:spacing w:before="0" w:after="0" w:line="264" w:lineRule="auto"/>
            </w:pPr>
            <w:r>
              <w:rPr>
                <w:rFonts w:ascii="Microsoft YaHei" w:hAnsi="Microsoft YaHei" w:eastAsia="Microsoft YaHei"/>
                <w:color w:val="222222"/>
                <w:sz w:val="17"/>
              </w:rPr>
              <w:t>下一轮优先做“开发原型与数据库迁移验证”：先在本地启动 PostgreSQL + FastAPI + Vue 3，跑通项目/需求/模型/版本 CRUD，再用一条真实业务模型验证校验、评审、版本冻结和 DDL 预览。只有当这条垂直切片跑通，再扩展大批量建模功能。</w:t>
            </w:r>
          </w:p>
        </w:tc>
      </w:tr>
    </w:tbl>
    <w:p>
      <w:pPr>
        <w:spacing w:before="0" w:after="40" w:line="269" w:lineRule="auto"/>
      </w:pPr>
    </w:p>
    <w:p>
      <w:pPr>
        <w:pStyle w:val="Heading1"/>
        <w:keepNext/>
        <w:spacing w:before="240" w:after="100" w:line="252" w:lineRule="auto"/>
      </w:pPr>
      <w:r>
        <w:rPr>
          <w:rFonts w:ascii="Microsoft YaHei" w:hAnsi="Microsoft YaHei" w:eastAsia="Microsoft YaHei"/>
          <w:b/>
          <w:color w:val="17365D"/>
          <w:sz w:val="31"/>
        </w:rPr>
        <w:t>附录 C. 数据库初始化脚本说明</w:t>
      </w:r>
    </w:p>
    <w:p>
      <w:pPr>
        <w:spacing w:before="0" w:after="80" w:line="269" w:lineRule="auto"/>
      </w:pPr>
      <w:r>
        <w:rPr>
          <w:rFonts w:ascii="Microsoft YaHei" w:hAnsi="Microsoft YaHei" w:eastAsia="Microsoft YaHei"/>
          <w:b w:val="0"/>
          <w:i w:val="0"/>
          <w:sz w:val="18"/>
        </w:rPr>
        <w:t>配套文件：schema_v02.sql。该脚本是可供开发环境试建的 PostgreSQL 初始化基线，包含表、约束、索引、初始角色和基础规则。不应在未核对环境、备份与变更流程前直接用于生产。</w:t>
      </w:r>
    </w:p>
    <w:p>
      <w:pPr>
        <w:pStyle w:val="Heading2"/>
        <w:keepNext/>
        <w:spacing w:before="160" w:after="100" w:line="252" w:lineRule="auto"/>
      </w:pPr>
      <w:r>
        <w:rPr>
          <w:rFonts w:ascii="Microsoft YaHei" w:hAnsi="Microsoft YaHei" w:eastAsia="Microsoft YaHei"/>
          <w:b/>
          <w:color w:val="2F75B5"/>
          <w:sz w:val="25"/>
        </w:rPr>
        <w:t>C.1 执行前检查</w:t>
      </w:r>
    </w:p>
    <w:p>
      <w:pPr>
        <w:pStyle w:val="ListBullet"/>
        <w:spacing w:before="0" w:after="40" w:line="259" w:lineRule="auto"/>
      </w:pPr>
      <w:r>
        <w:rPr>
          <w:rFonts w:ascii="Microsoft YaHei" w:hAnsi="Microsoft YaHei" w:eastAsia="Microsoft YaHei"/>
          <w:sz w:val="18"/>
        </w:rPr>
        <w:t>目标版本为 PostgreSQL 15+；确认数据库编码、时区策略、备份策略和迁移用户权限。</w:t>
      </w:r>
    </w:p>
    <w:p>
      <w:pPr>
        <w:pStyle w:val="ListBullet"/>
        <w:spacing w:before="0" w:after="40" w:line="259" w:lineRule="auto"/>
      </w:pPr>
      <w:r>
        <w:rPr>
          <w:rFonts w:ascii="Microsoft YaHei" w:hAnsi="Microsoft YaHei" w:eastAsia="Microsoft YaHei"/>
          <w:sz w:val="18"/>
        </w:rPr>
        <w:t>在隔离开发库执行并检查所有 CREATE TABLE / INDEX / INSERT 结果。</w:t>
      </w:r>
    </w:p>
    <w:p>
      <w:pPr>
        <w:pStyle w:val="ListBullet"/>
        <w:spacing w:before="0" w:after="40" w:line="259" w:lineRule="auto"/>
      </w:pPr>
      <w:r>
        <w:rPr>
          <w:rFonts w:ascii="Microsoft YaHei" w:hAnsi="Microsoft YaHei" w:eastAsia="Microsoft YaHei"/>
          <w:sz w:val="18"/>
        </w:rPr>
        <w:t>运行 schema migration 测试、FK 约束负例测试、部分唯一索引测试和重复执行测试。</w:t>
      </w:r>
    </w:p>
    <w:p>
      <w:pPr>
        <w:pStyle w:val="ListBullet"/>
        <w:spacing w:before="0" w:after="40" w:line="259" w:lineRule="auto"/>
      </w:pPr>
      <w:r>
        <w:rPr>
          <w:rFonts w:ascii="Microsoft YaHei" w:hAnsi="Microsoft YaHei" w:eastAsia="Microsoft YaHei"/>
          <w:sz w:val="18"/>
        </w:rPr>
        <w:t>本文件使用 CREATE TABLE/INDEX IF NOT EXISTS，适合初始化重复保护，但并不等于完整的版本化迁移工具；进入团队协作后建议使用 Alembic 管理 schema version。</w:t>
      </w:r>
    </w:p>
    <w:p>
      <w:pPr>
        <w:pStyle w:val="ListBullet"/>
        <w:spacing w:before="0" w:after="40" w:line="259" w:lineRule="auto"/>
      </w:pPr>
      <w:r>
        <w:rPr>
          <w:rFonts w:ascii="Microsoft YaHei" w:hAnsi="Microsoft YaHei" w:eastAsia="Microsoft YaHei"/>
          <w:sz w:val="18"/>
        </w:rPr>
        <w:t>应用层必须落实文档第 17 章的冻结、快照、事务和审计规则；单靠 SQL 表结构不能自动保证所有业务状态迁移合法。</w:t>
      </w:r>
    </w:p>
    <w:p>
      <w:pPr>
        <w:pStyle w:val="Heading2"/>
        <w:keepNext/>
        <w:spacing w:before="160" w:after="100" w:line="252" w:lineRule="auto"/>
      </w:pPr>
      <w:r>
        <w:rPr>
          <w:rFonts w:ascii="Microsoft YaHei" w:hAnsi="Microsoft YaHei" w:eastAsia="Microsoft YaHei"/>
          <w:b/>
          <w:color w:val="2F75B5"/>
          <w:sz w:val="25"/>
        </w:rPr>
        <w:t>C.2 首批应创建的规则代码</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73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规则代码</w:t>
            </w:r>
          </w:p>
        </w:tc>
        <w:tc>
          <w:tcPr>
            <w:tcW w:type="dxa" w:w="1944"/>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级别/阻断</w:t>
            </w:r>
          </w:p>
        </w:tc>
        <w:tc>
          <w:tcPr>
            <w:tcW w:type="dxa" w:w="2016"/>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判断对象</w:t>
            </w:r>
          </w:p>
        </w:tc>
        <w:tc>
          <w:tcPr>
            <w:tcW w:type="dxa" w:w="2808"/>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5"/>
              </w:rPr>
              <w:t>说明</w:t>
            </w:r>
          </w:p>
        </w:tc>
      </w:tr>
      <w:tr>
        <w:trPr>
          <w:cantSplit/>
        </w:trPr>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MODEL_NAME_REQUIRED</w:t>
            </w:r>
          </w:p>
        </w:tc>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error / 阻断</w:t>
            </w:r>
          </w:p>
        </w:tc>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w:t>
            </w:r>
          </w:p>
        </w:tc>
        <w:tc>
          <w:tcPr>
            <w:tcW w:type="dxa" w:w="28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模型名称不能为空。</w:t>
            </w:r>
          </w:p>
        </w:tc>
      </w:tr>
      <w:tr>
        <w:trPr>
          <w:cantSplit/>
        </w:trPr>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TABLE_CODE_UNIQUE</w:t>
            </w:r>
          </w:p>
        </w:tc>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error / 阻断</w:t>
            </w:r>
          </w:p>
        </w:tc>
        <w:tc>
          <w:tcPr>
            <w:tcW w:type="dxa" w:w="20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同版本表</w:t>
            </w:r>
          </w:p>
        </w:tc>
        <w:tc>
          <w:tcPr>
            <w:tcW w:type="dxa" w:w="28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表编码在同一个模型版本内唯一。</w:t>
            </w:r>
          </w:p>
        </w:tc>
      </w:tr>
      <w:tr>
        <w:trPr>
          <w:cantSplit/>
        </w:trPr>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TABLE_GRAIN_REQUIRED</w:t>
            </w:r>
          </w:p>
        </w:tc>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warning / 非阻断</w:t>
            </w:r>
          </w:p>
        </w:tc>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事实/明细表</w:t>
            </w:r>
          </w:p>
        </w:tc>
        <w:tc>
          <w:tcPr>
            <w:tcW w:type="dxa" w:w="28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要求说明一行数据代表什么。</w:t>
            </w:r>
          </w:p>
        </w:tc>
      </w:tr>
      <w:tr>
        <w:trPr>
          <w:cantSplit/>
        </w:trPr>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COLUMN_CODE_REQUIRED</w:t>
            </w:r>
          </w:p>
        </w:tc>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error / 阻断</w:t>
            </w:r>
          </w:p>
        </w:tc>
        <w:tc>
          <w:tcPr>
            <w:tcW w:type="dxa" w:w="20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字段</w:t>
            </w:r>
          </w:p>
        </w:tc>
        <w:tc>
          <w:tcPr>
            <w:tcW w:type="dxa" w:w="28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字段物理编码必填。</w:t>
            </w:r>
          </w:p>
        </w:tc>
      </w:tr>
      <w:tr>
        <w:trPr>
          <w:cantSplit/>
        </w:trPr>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COLUMN_DESCRIPTION_REQUIRED</w:t>
            </w:r>
          </w:p>
        </w:tc>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warning / 非阻断</w:t>
            </w:r>
          </w:p>
        </w:tc>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字段</w:t>
            </w:r>
          </w:p>
        </w:tc>
        <w:tc>
          <w:tcPr>
            <w:tcW w:type="dxa" w:w="28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建议提供业务定义。</w:t>
            </w:r>
          </w:p>
        </w:tc>
      </w:tr>
      <w:tr>
        <w:trPr>
          <w:cantSplit/>
        </w:trPr>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PRIMARY_KEY_NOT_NULL</w:t>
            </w:r>
          </w:p>
        </w:tc>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error / 阻断</w:t>
            </w:r>
          </w:p>
        </w:tc>
        <w:tc>
          <w:tcPr>
            <w:tcW w:type="dxa" w:w="20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主键字段</w:t>
            </w:r>
          </w:p>
        </w:tc>
        <w:tc>
          <w:tcPr>
            <w:tcW w:type="dxa" w:w="28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主键字段 nullable 必须为 false。</w:t>
            </w:r>
          </w:p>
        </w:tc>
      </w:tr>
      <w:tr>
        <w:trPr>
          <w:cantSplit/>
        </w:trPr>
        <w:tc>
          <w:tcPr>
            <w:tcW w:type="dxa" w:w="273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PHYSICAL_TYPE_REQUIRED</w:t>
            </w:r>
          </w:p>
        </w:tc>
        <w:tc>
          <w:tcPr>
            <w:tcW w:type="dxa" w:w="1944"/>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error / 阻断</w:t>
            </w:r>
          </w:p>
        </w:tc>
        <w:tc>
          <w:tcPr>
            <w:tcW w:type="dxa" w:w="2016"/>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物理模型字段</w:t>
            </w:r>
          </w:p>
        </w:tc>
        <w:tc>
          <w:tcPr>
            <w:tcW w:type="dxa" w:w="2808"/>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5"/>
              </w:rPr>
              <w:t>物理模型发布前必须有物理类型。</w:t>
            </w:r>
          </w:p>
        </w:tc>
      </w:tr>
      <w:tr>
        <w:trPr>
          <w:cantSplit/>
        </w:trPr>
        <w:tc>
          <w:tcPr>
            <w:tcW w:type="dxa" w:w="273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SENSITIVITY_SET</w:t>
            </w:r>
          </w:p>
        </w:tc>
        <w:tc>
          <w:tcPr>
            <w:tcW w:type="dxa" w:w="1944"/>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info / 非阻断</w:t>
            </w:r>
          </w:p>
        </w:tc>
        <w:tc>
          <w:tcPr>
            <w:tcW w:type="dxa" w:w="2016"/>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字段</w:t>
            </w:r>
          </w:p>
        </w:tc>
        <w:tc>
          <w:tcPr>
            <w:tcW w:type="dxa" w:w="2808"/>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5"/>
              </w:rPr>
              <w:t>引导完成字段敏感等级标记。</w:t>
            </w:r>
          </w:p>
        </w:tc>
      </w:tr>
    </w:tbl>
    <w:p>
      <w:pPr>
        <w:spacing w:before="0" w:after="20" w:line="269" w:lineRule="auto"/>
      </w:pPr>
    </w:p>
    <w:p>
      <w:pPr>
        <w:pStyle w:val="Heading1"/>
        <w:keepNext/>
        <w:spacing w:before="240" w:after="100" w:line="252" w:lineRule="auto"/>
      </w:pPr>
      <w:r>
        <w:rPr>
          <w:rFonts w:ascii="Microsoft YaHei" w:hAnsi="Microsoft YaHei" w:eastAsia="Microsoft YaHei"/>
          <w:b/>
          <w:color w:val="17365D"/>
          <w:sz w:val="31"/>
        </w:rPr>
        <w:t>附录 D. 核心业务链路验收脚本</w:t>
      </w:r>
    </w:p>
    <w:p>
      <w:pPr>
        <w:pStyle w:val="Heading2"/>
        <w:keepNext/>
        <w:spacing w:before="160" w:after="100" w:line="252" w:lineRule="auto"/>
      </w:pPr>
      <w:r>
        <w:rPr>
          <w:rFonts w:ascii="Microsoft YaHei" w:hAnsi="Microsoft YaHei" w:eastAsia="Microsoft YaHei"/>
          <w:b/>
          <w:color w:val="2F75B5"/>
          <w:sz w:val="25"/>
        </w:rPr>
        <w:t>D.1 测试准备数据</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对象</w:t>
            </w:r>
          </w:p>
        </w:tc>
        <w:tc>
          <w:tcPr>
            <w:tcW w:type="dxa" w:w="7560"/>
            <w:tcMar>
              <w:top w:w="75" w:type="dxa"/>
              <w:start w:w="90" w:type="dxa"/>
              <w:bottom w:w="75" w:type="dxa"/>
              <w:end w:w="90" w:type="dxa"/>
            </w:tcMar>
            <w:vAlign w:val="center"/>
            <w:shd w:fill="17365D"/>
          </w:tcPr>
          <w:p>
            <w:pPr>
              <w:spacing w:before="0" w:after="0" w:line="240" w:lineRule="auto"/>
            </w:pPr>
            <w:r/>
            <w:r>
              <w:rPr>
                <w:rFonts w:ascii="Microsoft YaHei" w:hAnsi="Microsoft YaHei" w:eastAsia="Microsoft YaHei"/>
                <w:b/>
                <w:color w:val="FFFFFF"/>
                <w:sz w:val="16"/>
              </w:rPr>
              <w:t>建议测试值</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项目</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PRJ-RETAIL：零售数据平台试点项目。</w:t>
            </w:r>
          </w:p>
        </w:tc>
      </w:tr>
      <w:tr>
        <w:trPr>
          <w:cantSplit/>
        </w:trPr>
        <w:tc>
          <w:tcPr>
            <w:tcW w:type="dxa" w:w="18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主题域</w:t>
            </w:r>
          </w:p>
        </w:tc>
        <w:tc>
          <w:tcPr>
            <w:tcW w:type="dxa" w:w="75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CONTRACT：合同主题域。</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业务需求</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REQ-CONTRACT-001：分析合同签订量、合同金额和履约状态；必须明确统计口径与数据粒度。</w:t>
            </w:r>
          </w:p>
        </w:tc>
      </w:tr>
      <w:tr>
        <w:trPr>
          <w:cantSplit/>
        </w:trPr>
        <w:tc>
          <w:tcPr>
            <w:tcW w:type="dxa" w:w="18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模型</w:t>
            </w:r>
          </w:p>
        </w:tc>
        <w:tc>
          <w:tcPr>
            <w:tcW w:type="dxa" w:w="75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MDL-DWD-CONTRACT：合同明细逻辑/物理模型。</w:t>
            </w:r>
          </w:p>
        </w:tc>
      </w:tr>
      <w:tr>
        <w:trPr>
          <w:cantSplit/>
        </w:trPr>
        <w:tc>
          <w:tcPr>
            <w:tcW w:type="dxa" w:w="180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目标表</w:t>
            </w:r>
          </w:p>
        </w:tc>
        <w:tc>
          <w:tcPr>
            <w:tcW w:type="dxa" w:w="7560"/>
            <w:tcMar>
              <w:top w:w="75" w:type="dxa"/>
              <w:start w:w="90" w:type="dxa"/>
              <w:bottom w:w="75" w:type="dxa"/>
              <w:end w:w="90" w:type="dxa"/>
            </w:tcMar>
            <w:vAlign w:val="center"/>
          </w:tcPr>
          <w:p>
            <w:pPr>
              <w:spacing w:before="0" w:after="0" w:line="247" w:lineRule="auto"/>
            </w:pPr>
            <w:r/>
            <w:r>
              <w:rPr>
                <w:rFonts w:ascii="Microsoft YaHei" w:hAnsi="Microsoft YaHei" w:eastAsia="Microsoft YaHei"/>
                <w:color w:val="222222"/>
                <w:sz w:val="16"/>
              </w:rPr>
              <w:t>dwd_contract；粒度为“每行代表一份合同的一个当前版本”（若真实业务有合同变更历史，应重新定义粒度）。</w:t>
            </w:r>
          </w:p>
        </w:tc>
      </w:tr>
      <w:tr>
        <w:trPr>
          <w:cantSplit/>
        </w:trPr>
        <w:tc>
          <w:tcPr>
            <w:tcW w:type="dxa" w:w="180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字段</w:t>
            </w:r>
          </w:p>
        </w:tc>
        <w:tc>
          <w:tcPr>
            <w:tcW w:type="dxa" w:w="7560"/>
            <w:tcMar>
              <w:top w:w="75" w:type="dxa"/>
              <w:start w:w="90" w:type="dxa"/>
              <w:bottom w:w="75" w:type="dxa"/>
              <w:end w:w="90" w:type="dxa"/>
            </w:tcMar>
            <w:vAlign w:val="center"/>
            <w:shd w:fill="F4F7FA"/>
          </w:tcPr>
          <w:p>
            <w:pPr>
              <w:spacing w:before="0" w:after="0" w:line="247" w:lineRule="auto"/>
            </w:pPr>
            <w:r/>
            <w:r>
              <w:rPr>
                <w:rFonts w:ascii="Microsoft YaHei" w:hAnsi="Microsoft YaHei" w:eastAsia="Microsoft YaHei"/>
                <w:color w:val="222222"/>
                <w:sz w:val="16"/>
              </w:rPr>
              <w:t>contract_id（主键，不可空）、contract_no（业务键）、project_id、contract_amount（DECIMAL）、contract_status、signed_at、created_at。</w:t>
            </w:r>
          </w:p>
        </w:tc>
      </w:tr>
    </w:tbl>
    <w:p>
      <w:pPr>
        <w:spacing w:before="0" w:after="20" w:line="269" w:lineRule="auto"/>
      </w:pPr>
    </w:p>
    <w:p>
      <w:pPr>
        <w:pStyle w:val="Heading2"/>
        <w:keepNext/>
        <w:spacing w:before="160" w:after="100" w:line="252" w:lineRule="auto"/>
      </w:pPr>
      <w:r>
        <w:rPr>
          <w:rFonts w:ascii="Microsoft YaHei" w:hAnsi="Microsoft YaHei" w:eastAsia="Microsoft YaHei"/>
          <w:b/>
          <w:color w:val="2F75B5"/>
          <w:sz w:val="25"/>
        </w:rPr>
        <w:t>D.2 测试断言</w:t>
      </w:r>
    </w:p>
    <w:p>
      <w:pPr>
        <w:pStyle w:val="ListBullet"/>
        <w:spacing w:before="0" w:after="40" w:line="259" w:lineRule="auto"/>
      </w:pPr>
      <w:r>
        <w:rPr>
          <w:rFonts w:ascii="Microsoft YaHei" w:hAnsi="Microsoft YaHei" w:eastAsia="Microsoft YaHei"/>
          <w:sz w:val="18"/>
        </w:rPr>
        <w:t>相同项目重复创建 model_code 时返回业务冲突，不产生第二个模型身份。</w:t>
      </w:r>
    </w:p>
    <w:p>
      <w:pPr>
        <w:pStyle w:val="ListBullet"/>
        <w:spacing w:before="0" w:after="40" w:line="259" w:lineRule="auto"/>
      </w:pPr>
      <w:r>
        <w:rPr>
          <w:rFonts w:ascii="Microsoft YaHei" w:hAnsi="Microsoft YaHei" w:eastAsia="Microsoft YaHei"/>
          <w:sz w:val="18"/>
        </w:rPr>
        <w:t>模型字段列表中重复 column_code 时保存失败或被校验规则阻断，不能静默丢弃。</w:t>
      </w:r>
    </w:p>
    <w:p>
      <w:pPr>
        <w:pStyle w:val="ListBullet"/>
        <w:spacing w:before="0" w:after="40" w:line="259" w:lineRule="auto"/>
      </w:pPr>
      <w:r>
        <w:rPr>
          <w:rFonts w:ascii="Microsoft YaHei" w:hAnsi="Microsoft YaHei" w:eastAsia="Microsoft YaHei"/>
          <w:sz w:val="18"/>
        </w:rPr>
        <w:t>将 is_primary_key=true 且 nullable=true 的字段保存为草稿应被数据库约束或服务层规则拒绝。</w:t>
      </w:r>
    </w:p>
    <w:p>
      <w:pPr>
        <w:pStyle w:val="ListBullet"/>
        <w:spacing w:before="0" w:after="40" w:line="259" w:lineRule="auto"/>
      </w:pPr>
      <w:r>
        <w:rPr>
          <w:rFonts w:ascii="Microsoft YaHei" w:hAnsi="Microsoft YaHei" w:eastAsia="Microsoft YaHei"/>
          <w:sz w:val="18"/>
        </w:rPr>
        <w:t>从 draft 提交后，版本状态变为 in_review，definition_snapshot 和 definition_checksum 非空，并生成本轮评审任务。</w:t>
      </w:r>
    </w:p>
    <w:p>
      <w:pPr>
        <w:pStyle w:val="ListBullet"/>
        <w:spacing w:before="0" w:after="40" w:line="259" w:lineRule="auto"/>
      </w:pPr>
      <w:r>
        <w:rPr>
          <w:rFonts w:ascii="Microsoft YaHei" w:hAnsi="Microsoft YaHei" w:eastAsia="Microsoft YaHei"/>
          <w:sz w:val="18"/>
        </w:rPr>
        <w:t>对 in_review / approved / published 版本调用通用保存接口必须失败，错误码为 INVALID_STATE_TRANSITION 或 FORBIDDEN。</w:t>
      </w:r>
    </w:p>
    <w:p>
      <w:pPr>
        <w:pStyle w:val="ListBullet"/>
        <w:spacing w:before="0" w:after="40" w:line="259" w:lineRule="auto"/>
      </w:pPr>
      <w:r>
        <w:rPr>
          <w:rFonts w:ascii="Microsoft YaHei" w:hAnsi="Microsoft YaHei" w:eastAsia="Microsoft YaHei"/>
          <w:sz w:val="18"/>
        </w:rPr>
        <w:t>评审驳回后基于被驳回版本创建新草稿，旧版本仍保持 rejected 且快照未变化。</w:t>
      </w:r>
    </w:p>
    <w:p>
      <w:pPr>
        <w:pStyle w:val="ListBullet"/>
        <w:spacing w:before="0" w:after="40" w:line="259" w:lineRule="auto"/>
      </w:pPr>
      <w:r>
        <w:rPr>
          <w:rFonts w:ascii="Microsoft YaHei" w:hAnsi="Microsoft YaHei" w:eastAsia="Microsoft YaHei"/>
          <w:sz w:val="18"/>
        </w:rPr>
        <w:t>在尚有阻断校验问题时调用发布接口必须失败；修复、复校验并完成必要评审后才能发布。</w:t>
      </w:r>
    </w:p>
    <w:p>
      <w:pPr>
        <w:pStyle w:val="ListBullet"/>
        <w:spacing w:before="0" w:after="40" w:line="259" w:lineRule="auto"/>
      </w:pPr>
      <w:r>
        <w:rPr>
          <w:rFonts w:ascii="Microsoft YaHei" w:hAnsi="Microsoft YaHei" w:eastAsia="Microsoft YaHei"/>
          <w:sz w:val="18"/>
        </w:rPr>
        <w:t>同版本同一引擎同一生成器配置生成相同内容时 checksum 应一致；配置变化时必须能够定位采用的 Profile 和生成器版本。</w:t>
      </w:r>
    </w:p>
    <w:p>
      <w:pPr>
        <w:pStyle w:val="ListBullet"/>
        <w:spacing w:before="0" w:after="40" w:line="259" w:lineRule="auto"/>
      </w:pPr>
      <w:r>
        <w:rPr>
          <w:rFonts w:ascii="Microsoft YaHei" w:hAnsi="Microsoft YaHei" w:eastAsia="Microsoft YaHei"/>
          <w:sz w:val="18"/>
        </w:rPr>
        <w:t>项目 A 用户请求项目 B 的模型、需求、DDL 工件或审计日志时，应返回无权限/不可见错误且写入安全审计。</w:t>
      </w:r>
    </w:p>
    <w:p>
      <w:r>
        <w:br w:type="page"/>
      </w:r>
    </w:p>
    <w:p>
      <w:pPr>
        <w:pStyle w:val="Heading1"/>
        <w:keepNext/>
      </w:pPr>
      <w:r>
        <w:t>23. 交互体验原则与信息架构</w:t>
      </w:r>
    </w:p>
    <w:p>
      <w:pPr>
        <w:keepLines w:val="0"/>
      </w:pPr>
      <w:r>
        <w:t>V0.3 将交互便捷性作为核心产品质量，而不是页面美化工作。设计目标是在保证模型定义正确、版本可追溯和权限边界清晰的前提下，减少重复输入、等待、上下文切换和误操作。以下数值均为首期建议目标，应在试点使用后基于真实数据校准。</w:t>
      </w:r>
    </w:p>
    <w:p>
      <w:pPr>
        <w:pStyle w:val="Heading2"/>
        <w:keepNext/>
      </w:pPr>
      <w:r>
        <w:t>23.1 交互设计目标</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目标</w:t>
            </w:r>
          </w:p>
        </w:tc>
        <w:tc>
          <w:tcPr>
            <w:tcW w:type="dxa" w:w="475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设计策略</w:t>
            </w:r>
          </w:p>
        </w:tc>
        <w:tc>
          <w:tcPr>
            <w:tcW w:type="dxa" w:w="259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建议度量</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减少重复录入</w:t>
            </w:r>
          </w:p>
        </w:tc>
        <w:tc>
          <w:tcPr>
            <w:tcW w:type="dxa" w:w="4752"/>
            <w:vAlign w:val="center"/>
            <w:tcMar>
              <w:top w:w="90" w:type="dxa"/>
              <w:start w:w="100" w:type="dxa"/>
              <w:bottom w:w="90" w:type="dxa"/>
              <w:end w:w="100" w:type="dxa"/>
            </w:tcMar>
          </w:tcPr>
          <w:p>
            <w:pPr>
              <w:spacing w:before="0" w:after="20"/>
            </w:pPr>
            <w:r>
              <w:rPr>
                <w:rFonts w:ascii="Microsoft YaHei" w:hAnsi="Microsoft YaHei" w:eastAsia="Microsoft YaHei"/>
                <w:sz w:val="17"/>
              </w:rPr>
              <w:t>模板、字段复制、Excel/TSV 粘贴、批量修改、公共字段模板</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7"/>
              </w:rPr>
              <w:t>创建相似模型的平均耗时；字段重复录入次数</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减少往返跳转</w:t>
            </w:r>
          </w:p>
        </w:tc>
        <w:tc>
          <w:tcPr>
            <w:tcW w:type="dxa" w:w="475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模型编辑区内可查看校验、需求关联、来源映射、版本记录</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完成一次建模流程所需页面切换次数</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让状态透明</w:t>
            </w:r>
          </w:p>
        </w:tc>
        <w:tc>
          <w:tcPr>
            <w:tcW w:type="dxa" w:w="4752"/>
            <w:vAlign w:val="center"/>
            <w:tcMar>
              <w:top w:w="90" w:type="dxa"/>
              <w:start w:w="100" w:type="dxa"/>
              <w:bottom w:w="90" w:type="dxa"/>
              <w:end w:w="100" w:type="dxa"/>
            </w:tcMar>
          </w:tcPr>
          <w:p>
            <w:pPr>
              <w:spacing w:before="0" w:after="20"/>
            </w:pPr>
            <w:r>
              <w:rPr>
                <w:rFonts w:ascii="Microsoft YaHei" w:hAnsi="Microsoft YaHei" w:eastAsia="Microsoft YaHei"/>
                <w:sz w:val="17"/>
              </w:rPr>
              <w:t>清晰展示保存状态、校验状态、当前版本、评审状态和发布状态</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7"/>
              </w:rPr>
              <w:t>因状态不明导致的支持请求数</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降低误操作风险</w:t>
            </w:r>
          </w:p>
        </w:tc>
        <w:tc>
          <w:tcPr>
            <w:tcW w:type="dxa" w:w="475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破坏性操作二次确认、删除前展示影响、版本冻结、撤销与重做</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误删除恢复事件；并发冲突率</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快速定位问题</w:t>
            </w:r>
          </w:p>
        </w:tc>
        <w:tc>
          <w:tcPr>
            <w:tcW w:type="dxa" w:w="4752"/>
            <w:vAlign w:val="center"/>
            <w:tcMar>
              <w:top w:w="90" w:type="dxa"/>
              <w:start w:w="100" w:type="dxa"/>
              <w:bottom w:w="90" w:type="dxa"/>
              <w:end w:w="100" w:type="dxa"/>
            </w:tcMar>
          </w:tcPr>
          <w:p>
            <w:pPr>
              <w:spacing w:before="0" w:after="20"/>
            </w:pPr>
            <w:r>
              <w:rPr>
                <w:rFonts w:ascii="Microsoft YaHei" w:hAnsi="Microsoft YaHei" w:eastAsia="Microsoft YaHei"/>
                <w:sz w:val="17"/>
              </w:rPr>
              <w:t>校验项点击后定位到具体表/字段/属性并展示修复建议</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7"/>
              </w:rPr>
              <w:t>从提示到定位的时间；校验问题平均修复耗时</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支持熟练用户高效操作</w:t>
            </w:r>
          </w:p>
        </w:tc>
        <w:tc>
          <w:tcPr>
            <w:tcW w:type="dxa" w:w="475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键盘快捷键、批量编辑、列设置、筛选和保存视图</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快捷操作使用率；高频任务中位耗时</w:t>
            </w:r>
          </w:p>
        </w:tc>
      </w:tr>
    </w:tbl>
    <w:p>
      <w:pPr>
        <w:spacing w:after="0"/>
      </w:pPr>
    </w:p>
    <w:p>
      <w:pPr>
        <w:pStyle w:val="Heading2"/>
        <w:keepNext/>
      </w:pPr>
      <w:r>
        <w:t>23.2 全局交互原则</w:t>
      </w:r>
    </w:p>
    <w:p>
      <w:pPr>
        <w:pStyle w:val="ListBullet"/>
        <w:spacing w:after="60"/>
      </w:pPr>
      <w:r>
        <w:t>主操作唯一清晰：每个页面只设置一个视觉优先级最高的主操作，例如“保存草稿”“提交评审”或“发布版本”；不同状态下显示符合状态机的动作，不能同时提供互相矛盾的按钮。</w:t>
      </w:r>
    </w:p>
    <w:p>
      <w:pPr>
        <w:pStyle w:val="ListBullet"/>
        <w:spacing w:after="60"/>
      </w:pPr>
      <w:r>
        <w:t>上下文始终可见：顶部保留项目、主题域、模型编码、当前版本、保存状态和生命周期状态；离开页面后返回时恢复合理的筛选与滚动位置。</w:t>
      </w:r>
    </w:p>
    <w:p>
      <w:pPr>
        <w:pStyle w:val="ListBullet"/>
        <w:spacing w:after="60"/>
      </w:pPr>
      <w:r>
        <w:t>渐进式披露：默认展示高频字段；高级属性（分区、排序键、分桶、压缩、引擎专属参数）折叠到“高级设置”，并明确其引擎适用范围。</w:t>
      </w:r>
    </w:p>
    <w:p>
      <w:pPr>
        <w:pStyle w:val="ListBullet"/>
        <w:spacing w:after="60"/>
      </w:pPr>
      <w:r>
        <w:t>就地反馈、就地修复：错误尽量贴近发生位置展示；全局摘要提供问题数量和严重等级；每条校验可定位对象、说明规则、展示建议并支持一键跳转。</w:t>
      </w:r>
    </w:p>
    <w:p>
      <w:pPr>
        <w:pStyle w:val="ListBullet"/>
        <w:spacing w:after="60"/>
      </w:pPr>
      <w:r>
        <w:t>可逆优先：字段删除先进入待删除/撤销窗口或在未提交版本中可撤销；正式发布版本不可直接编辑，必须创建新版本。</w:t>
      </w:r>
    </w:p>
    <w:p>
      <w:pPr>
        <w:pStyle w:val="ListBullet"/>
        <w:spacing w:after="60"/>
      </w:pPr>
      <w:r>
        <w:t>不以颜色作为唯一状态表达：同时使用图标、文字和色彩，例如“阻断错误 2 项”，并支持键盘操作和可访问的焦点顺序。</w:t>
      </w:r>
    </w:p>
    <w:p>
      <w:pPr>
        <w:pStyle w:val="ListBullet"/>
        <w:spacing w:after="60"/>
      </w:pPr>
      <w:r>
        <w:t>先安全后便利：浏览器端缓存仅存放未提交的编辑草稿且需配置保留时长；不在日志中记录真实数据样例、密码、令牌或完整敏感请求体。</w:t>
      </w:r>
    </w:p>
    <w:p>
      <w:pPr>
        <w:pStyle w:val="Heading2"/>
        <w:keepNext/>
      </w:pPr>
      <w:r>
        <w:t>23.3 信息架构与全局导航</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72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区域</w:t>
            </w:r>
          </w:p>
        </w:tc>
        <w:tc>
          <w:tcPr>
            <w:tcW w:type="dxa" w:w="446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内容与交互</w:t>
            </w:r>
          </w:p>
        </w:tc>
        <w:tc>
          <w:tcPr>
            <w:tcW w:type="dxa" w:w="302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实现要求</w:t>
            </w:r>
          </w:p>
        </w:tc>
      </w:tr>
      <w:tr>
        <w:trPr>
          <w:cantSplit/>
        </w:trPr>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7"/>
              </w:rPr>
              <w:t>全局导航</w:t>
            </w:r>
          </w:p>
        </w:tc>
        <w:tc>
          <w:tcPr>
            <w:tcW w:type="dxa" w:w="4464"/>
            <w:vAlign w:val="center"/>
            <w:tcMar>
              <w:top w:w="90" w:type="dxa"/>
              <w:start w:w="100" w:type="dxa"/>
              <w:bottom w:w="90" w:type="dxa"/>
              <w:end w:w="100" w:type="dxa"/>
            </w:tcMar>
          </w:tcPr>
          <w:p>
            <w:pPr>
              <w:spacing w:before="0" w:after="20"/>
            </w:pPr>
            <w:r>
              <w:rPr>
                <w:rFonts w:ascii="Microsoft YaHei" w:hAnsi="Microsoft YaHei" w:eastAsia="Microsoft YaHei"/>
                <w:sz w:val="17"/>
              </w:rPr>
              <w:t>工作台、业务需求、模型中心、评审中心、规范中心、引擎配置、运行与审计</w:t>
            </w:r>
          </w:p>
        </w:tc>
        <w:tc>
          <w:tcPr>
            <w:tcW w:type="dxa" w:w="3024"/>
            <w:vAlign w:val="center"/>
            <w:tcMar>
              <w:top w:w="90" w:type="dxa"/>
              <w:start w:w="100" w:type="dxa"/>
              <w:bottom w:w="90" w:type="dxa"/>
              <w:end w:w="100" w:type="dxa"/>
            </w:tcMar>
          </w:tcPr>
          <w:p>
            <w:pPr>
              <w:spacing w:before="0" w:after="20"/>
            </w:pPr>
            <w:r>
              <w:rPr>
                <w:rFonts w:ascii="Microsoft YaHei" w:hAnsi="Microsoft YaHei" w:eastAsia="Microsoft YaHei"/>
                <w:sz w:val="17"/>
              </w:rPr>
              <w:t>按角色控制菜单与操作权限；菜单隐藏不替代后端鉴权。</w:t>
            </w:r>
          </w:p>
        </w:tc>
      </w:tr>
      <w:tr>
        <w:trPr>
          <w:cantSplit/>
        </w:trPr>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全局搜索</w:t>
            </w:r>
          </w:p>
        </w:tc>
        <w:tc>
          <w:tcPr>
            <w:tcW w:type="dxa" w:w="4464"/>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按模型编码/名称、表名、字段名、需求编号搜索；允许按项目缩小范围</w:t>
            </w:r>
          </w:p>
        </w:tc>
        <w:tc>
          <w:tcPr>
            <w:tcW w:type="dxa" w:w="3024"/>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搜索结果显示对象类型、项目、状态、负责人和最近更新时间。</w:t>
            </w:r>
          </w:p>
        </w:tc>
      </w:tr>
      <w:tr>
        <w:trPr>
          <w:cantSplit/>
        </w:trPr>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7"/>
              </w:rPr>
              <w:t>最近访问</w:t>
            </w:r>
          </w:p>
        </w:tc>
        <w:tc>
          <w:tcPr>
            <w:tcW w:type="dxa" w:w="4464"/>
            <w:vAlign w:val="center"/>
            <w:tcMar>
              <w:top w:w="90" w:type="dxa"/>
              <w:start w:w="100" w:type="dxa"/>
              <w:bottom w:w="90" w:type="dxa"/>
              <w:end w:w="100" w:type="dxa"/>
            </w:tcMar>
          </w:tcPr>
          <w:p>
            <w:pPr>
              <w:spacing w:before="0" w:after="20"/>
            </w:pPr>
            <w:r>
              <w:rPr>
                <w:rFonts w:ascii="Microsoft YaHei" w:hAnsi="Microsoft YaHei" w:eastAsia="Microsoft YaHei"/>
                <w:sz w:val="17"/>
              </w:rPr>
              <w:t>当前用户最近访问的模型和需求；支持固定常用项目</w:t>
            </w:r>
          </w:p>
        </w:tc>
        <w:tc>
          <w:tcPr>
            <w:tcW w:type="dxa" w:w="3024"/>
            <w:vAlign w:val="center"/>
            <w:tcMar>
              <w:top w:w="90" w:type="dxa"/>
              <w:start w:w="100" w:type="dxa"/>
              <w:bottom w:w="90" w:type="dxa"/>
              <w:end w:w="100" w:type="dxa"/>
            </w:tcMar>
          </w:tcPr>
          <w:p>
            <w:pPr>
              <w:spacing w:before="0" w:after="20"/>
            </w:pPr>
            <w:r>
              <w:rPr>
                <w:rFonts w:ascii="Microsoft YaHei" w:hAnsi="Microsoft YaHei" w:eastAsia="Microsoft YaHei"/>
                <w:sz w:val="17"/>
              </w:rPr>
              <w:t>最近访问失败不得阻断主流程；项目权限变化后重新鉴权。</w:t>
            </w:r>
          </w:p>
        </w:tc>
      </w:tr>
      <w:tr>
        <w:trPr>
          <w:cantSplit/>
        </w:trPr>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任务通知</w:t>
            </w:r>
          </w:p>
        </w:tc>
        <w:tc>
          <w:tcPr>
            <w:tcW w:type="dxa" w:w="4464"/>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待评审、被退回、评审完成、发布完成、保存冲突、校验失败摘要</w:t>
            </w:r>
          </w:p>
        </w:tc>
        <w:tc>
          <w:tcPr>
            <w:tcW w:type="dxa" w:w="3024"/>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通知可跳转到具体对象和上下文；支持已读/未读及频率控制。</w:t>
            </w:r>
          </w:p>
        </w:tc>
      </w:tr>
      <w:tr>
        <w:trPr>
          <w:cantSplit/>
        </w:trPr>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7"/>
              </w:rPr>
              <w:t>页面上下文</w:t>
            </w:r>
          </w:p>
        </w:tc>
        <w:tc>
          <w:tcPr>
            <w:tcW w:type="dxa" w:w="4464"/>
            <w:vAlign w:val="center"/>
            <w:tcMar>
              <w:top w:w="90" w:type="dxa"/>
              <w:start w:w="100" w:type="dxa"/>
              <w:bottom w:w="90" w:type="dxa"/>
              <w:end w:w="100" w:type="dxa"/>
            </w:tcMar>
          </w:tcPr>
          <w:p>
            <w:pPr>
              <w:spacing w:before="0" w:after="20"/>
            </w:pPr>
            <w:r>
              <w:rPr>
                <w:rFonts w:ascii="Microsoft YaHei" w:hAnsi="Microsoft YaHei" w:eastAsia="Microsoft YaHei"/>
                <w:sz w:val="17"/>
              </w:rPr>
              <w:t>项目/主题域/模型层级面包屑、当前版本和生命周期状态</w:t>
            </w:r>
          </w:p>
        </w:tc>
        <w:tc>
          <w:tcPr>
            <w:tcW w:type="dxa" w:w="3024"/>
            <w:vAlign w:val="center"/>
            <w:tcMar>
              <w:top w:w="90" w:type="dxa"/>
              <w:start w:w="100" w:type="dxa"/>
              <w:bottom w:w="90" w:type="dxa"/>
              <w:end w:w="100" w:type="dxa"/>
            </w:tcMar>
          </w:tcPr>
          <w:p>
            <w:pPr>
              <w:spacing w:before="0" w:after="20"/>
            </w:pPr>
            <w:r>
              <w:rPr>
                <w:rFonts w:ascii="Microsoft YaHei" w:hAnsi="Microsoft YaHei" w:eastAsia="Microsoft YaHei"/>
                <w:sz w:val="17"/>
              </w:rPr>
              <w:t>面包屑中的上级对象必须可访问；状态用文字+图标表示。</w:t>
            </w:r>
          </w:p>
        </w:tc>
      </w:tr>
    </w:tbl>
    <w:p>
      <w:pPr>
        <w:spacing w:after="0"/>
      </w:pPr>
    </w:p>
    <w:p>
      <w:pPr>
        <w:pStyle w:val="Heading2"/>
        <w:keepNext/>
      </w:pPr>
      <w:r>
        <w:t>23.4 模型设计器的推荐布局</w:t>
      </w:r>
    </w:p>
    <w:p>
      <w:pPr>
        <w:keepLines w:val="0"/>
      </w:pPr>
      <w:r>
        <w:t>推荐采用“左侧对象树 + 中间字段网格/ERD 画布 + 右侧属性检查器 + 底部校验/操作面板”的工作区。高频编辑不要求用户频繁打开弹窗；低频高级设置使用右侧属性面板或折叠区。布局草图如下，供产品和 UI 设计评审使用。</w:t>
      </w:r>
    </w:p>
    <w:p>
      <w:pPr>
        <w:jc w:val="center"/>
      </w:pPr>
      <w:r>
        <w:drawing>
          <wp:inline xmlns:a="http://schemas.openxmlformats.org/drawingml/2006/main" xmlns:pic="http://schemas.openxmlformats.org/drawingml/2006/picture">
            <wp:extent cx="6080760" cy="3648456"/>
            <wp:docPr id="2" name="Picture 2"/>
            <wp:cNvGraphicFramePr>
              <a:graphicFrameLocks noChangeAspect="1"/>
            </wp:cNvGraphicFramePr>
            <a:graphic>
              <a:graphicData uri="http://schemas.openxmlformats.org/drawingml/2006/picture">
                <pic:pic>
                  <pic:nvPicPr>
                    <pic:cNvPr id="0" name="model_designer_wireframe_v03.png"/>
                    <pic:cNvPicPr/>
                  </pic:nvPicPr>
                  <pic:blipFill>
                    <a:blip r:embed="rId12"/>
                    <a:stretch>
                      <a:fillRect/>
                    </a:stretch>
                  </pic:blipFill>
                  <pic:spPr>
                    <a:xfrm>
                      <a:off x="0" y="0"/>
                      <a:ext cx="6080760" cy="3648456"/>
                    </a:xfrm>
                    <a:prstGeom prst="rect"/>
                  </pic:spPr>
                </pic:pic>
              </a:graphicData>
            </a:graphic>
          </wp:inline>
        </w:drawing>
      </w:r>
    </w:p>
    <w:p>
      <w:pPr>
        <w:jc w:val="center"/>
      </w:pPr>
      <w:r>
        <w:rPr>
          <w:i/>
          <w:color w:val="5A6676"/>
          <w:sz w:val="16"/>
        </w:rPr>
        <w:t>图 23-1 模型设计器交互布局草图（概念示意，非最终视觉稿）</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72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区域</w:t>
            </w:r>
          </w:p>
        </w:tc>
        <w:tc>
          <w:tcPr>
            <w:tcW w:type="dxa" w:w="54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默认行为</w:t>
            </w:r>
          </w:p>
        </w:tc>
        <w:tc>
          <w:tcPr>
            <w:tcW w:type="dxa" w:w="216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关键捷径</w:t>
            </w:r>
          </w:p>
        </w:tc>
      </w:tr>
      <w:tr>
        <w:trPr>
          <w:cantSplit/>
        </w:trPr>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6"/>
              </w:rPr>
              <w:t>左侧对象树</w:t>
            </w:r>
          </w:p>
        </w:tc>
        <w:tc>
          <w:tcPr>
            <w:tcW w:type="dxa" w:w="5472"/>
            <w:vAlign w:val="center"/>
            <w:tcMar>
              <w:top w:w="90" w:type="dxa"/>
              <w:start w:w="100" w:type="dxa"/>
              <w:bottom w:w="90" w:type="dxa"/>
              <w:end w:w="100" w:type="dxa"/>
            </w:tcMar>
          </w:tcPr>
          <w:p>
            <w:pPr>
              <w:spacing w:before="0" w:after="20"/>
            </w:pPr>
            <w:r>
              <w:rPr>
                <w:rFonts w:ascii="Microsoft YaHei" w:hAnsi="Microsoft YaHei" w:eastAsia="Microsoft YaHei"/>
                <w:sz w:val="16"/>
              </w:rPr>
              <w:t>按表/字段分组；支持搜索、高亮当前对象、显示错误计数；表可折叠</w:t>
            </w:r>
          </w:p>
        </w:tc>
        <w:tc>
          <w:tcPr>
            <w:tcW w:type="dxa" w:w="2160"/>
            <w:vAlign w:val="center"/>
            <w:tcMar>
              <w:top w:w="90" w:type="dxa"/>
              <w:start w:w="100" w:type="dxa"/>
              <w:bottom w:w="90" w:type="dxa"/>
              <w:end w:w="100" w:type="dxa"/>
            </w:tcMar>
          </w:tcPr>
          <w:p>
            <w:pPr>
              <w:spacing w:before="0" w:after="20"/>
            </w:pPr>
            <w:r>
              <w:rPr>
                <w:rFonts w:ascii="Microsoft YaHei" w:hAnsi="Microsoft YaHei" w:eastAsia="Microsoft YaHei"/>
                <w:sz w:val="16"/>
              </w:rPr>
              <w:t>点击校验项可自动展开对应表并选中字段</w:t>
            </w:r>
          </w:p>
        </w:tc>
      </w:tr>
      <w:tr>
        <w:trPr>
          <w:cantSplit/>
        </w:trPr>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中间字段网格</w:t>
            </w:r>
          </w:p>
        </w:tc>
        <w:tc>
          <w:tcPr>
            <w:tcW w:type="dxa" w:w="54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支持行内编辑、列排序、过滤、列显示配置和多行选择；保持表头可见</w:t>
            </w:r>
          </w:p>
        </w:tc>
        <w:tc>
          <w:tcPr>
            <w:tcW w:type="dxa" w:w="216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Tab/Shift+Tab 切换单元格；Ctrl+S 保存；Ctrl+Z/Y 撤销/重做</w:t>
            </w:r>
          </w:p>
        </w:tc>
      </w:tr>
      <w:tr>
        <w:trPr>
          <w:cantSplit/>
        </w:trPr>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6"/>
              </w:rPr>
              <w:t>右侧属性检查器</w:t>
            </w:r>
          </w:p>
        </w:tc>
        <w:tc>
          <w:tcPr>
            <w:tcW w:type="dxa" w:w="5472"/>
            <w:vAlign w:val="center"/>
            <w:tcMar>
              <w:top w:w="90" w:type="dxa"/>
              <w:start w:w="100" w:type="dxa"/>
              <w:bottom w:w="90" w:type="dxa"/>
              <w:end w:w="100" w:type="dxa"/>
            </w:tcMar>
          </w:tcPr>
          <w:p>
            <w:pPr>
              <w:spacing w:before="0" w:after="20"/>
            </w:pPr>
            <w:r>
              <w:rPr>
                <w:rFonts w:ascii="Microsoft YaHei" w:hAnsi="Microsoft YaHei" w:eastAsia="Microsoft YaHei"/>
                <w:sz w:val="16"/>
              </w:rPr>
              <w:t>跟随当前表/字段选择；展示业务定义、逻辑类型、物理类型、敏感级别、来源映射</w:t>
            </w:r>
          </w:p>
        </w:tc>
        <w:tc>
          <w:tcPr>
            <w:tcW w:type="dxa" w:w="2160"/>
            <w:vAlign w:val="center"/>
            <w:tcMar>
              <w:top w:w="90" w:type="dxa"/>
              <w:start w:w="100" w:type="dxa"/>
              <w:bottom w:w="90" w:type="dxa"/>
              <w:end w:w="100" w:type="dxa"/>
            </w:tcMar>
          </w:tcPr>
          <w:p>
            <w:pPr>
              <w:spacing w:before="0" w:after="20"/>
            </w:pPr>
            <w:r>
              <w:rPr>
                <w:rFonts w:ascii="Microsoft YaHei" w:hAnsi="Microsoft YaHei" w:eastAsia="Microsoft YaHei"/>
                <w:sz w:val="16"/>
              </w:rPr>
              <w:t>切换选择时不清空未提交输入；保存失败时明确标红具体属性</w:t>
            </w:r>
          </w:p>
        </w:tc>
      </w:tr>
      <w:tr>
        <w:trPr>
          <w:cantSplit/>
        </w:trPr>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底部问题与操作面板</w:t>
            </w:r>
          </w:p>
        </w:tc>
        <w:tc>
          <w:tcPr>
            <w:tcW w:type="dxa" w:w="54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汇总错误/警告/提示，展示最新操作结果、任务 ID 和重试入口</w:t>
            </w:r>
          </w:p>
        </w:tc>
        <w:tc>
          <w:tcPr>
            <w:tcW w:type="dxa" w:w="216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点击问题定位字段；可筛选仅看阻断项</w:t>
            </w:r>
          </w:p>
        </w:tc>
      </w:tr>
    </w:tbl>
    <w:p>
      <w:pPr>
        <w:spacing w:after="0"/>
      </w:pPr>
    </w:p>
    <w:p>
      <w:pPr>
        <w:pStyle w:val="Heading1"/>
        <w:keepNext/>
      </w:pPr>
      <w:r>
        <w:t>24. 核心页面交互规格</w:t>
      </w:r>
    </w:p>
    <w:p>
      <w:pPr>
        <w:pStyle w:val="Heading2"/>
        <w:keepNext/>
      </w:pPr>
      <w:r>
        <w:t>24.1 模型中心列表页</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65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元素</w:t>
            </w:r>
          </w:p>
        </w:tc>
        <w:tc>
          <w:tcPr>
            <w:tcW w:type="dxa" w:w="554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详细要求</w:t>
            </w:r>
          </w:p>
        </w:tc>
        <w:tc>
          <w:tcPr>
            <w:tcW w:type="dxa" w:w="216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验收要点</w:t>
            </w:r>
          </w:p>
        </w:tc>
      </w:tr>
      <w:tr>
        <w:trPr>
          <w:cantSplit/>
        </w:trPr>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6"/>
              </w:rPr>
              <w:t>查询栏</w:t>
            </w:r>
          </w:p>
        </w:tc>
        <w:tc>
          <w:tcPr>
            <w:tcW w:type="dxa" w:w="5544"/>
            <w:vAlign w:val="center"/>
            <w:tcMar>
              <w:top w:w="90" w:type="dxa"/>
              <w:start w:w="100" w:type="dxa"/>
              <w:bottom w:w="90" w:type="dxa"/>
              <w:end w:w="100" w:type="dxa"/>
            </w:tcMar>
          </w:tcPr>
          <w:p>
            <w:pPr>
              <w:spacing w:before="0" w:after="20"/>
            </w:pPr>
            <w:r>
              <w:rPr>
                <w:rFonts w:ascii="Microsoft YaHei" w:hAnsi="Microsoft YaHei" w:eastAsia="Microsoft YaHei"/>
                <w:sz w:val="16"/>
              </w:rPr>
              <w:t>支持模型编码/名称模糊查找；项目、主题域、分层、模型类型、生命周期状态、负责人、更新时间组合筛选</w:t>
            </w:r>
          </w:p>
        </w:tc>
        <w:tc>
          <w:tcPr>
            <w:tcW w:type="dxa" w:w="2160"/>
            <w:vAlign w:val="center"/>
            <w:tcMar>
              <w:top w:w="90" w:type="dxa"/>
              <w:start w:w="100" w:type="dxa"/>
              <w:bottom w:w="90" w:type="dxa"/>
              <w:end w:w="100" w:type="dxa"/>
            </w:tcMar>
          </w:tcPr>
          <w:p>
            <w:pPr>
              <w:spacing w:before="0" w:after="20"/>
            </w:pPr>
            <w:r>
              <w:rPr>
                <w:rFonts w:ascii="Microsoft YaHei" w:hAnsi="Microsoft YaHei" w:eastAsia="Microsoft YaHei"/>
                <w:sz w:val="16"/>
              </w:rPr>
              <w:t>筛选组合可以清空；回到列表可保留上次条件。</w:t>
            </w:r>
          </w:p>
        </w:tc>
      </w:tr>
      <w:tr>
        <w:trPr>
          <w:cantSplit/>
        </w:trPr>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结果表格</w:t>
            </w:r>
          </w:p>
        </w:tc>
        <w:tc>
          <w:tcPr>
            <w:tcW w:type="dxa" w:w="554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默认展示模型名/编码、项目、主题域、分层、最新版本、状态、负责人、最近更新、问题数量</w:t>
            </w:r>
          </w:p>
        </w:tc>
        <w:tc>
          <w:tcPr>
            <w:tcW w:type="dxa" w:w="216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列可配置；排序行为确定；状态和问题数可点击。</w:t>
            </w:r>
          </w:p>
        </w:tc>
      </w:tr>
      <w:tr>
        <w:trPr>
          <w:cantSplit/>
        </w:trPr>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6"/>
              </w:rPr>
              <w:t>批量操作</w:t>
            </w:r>
          </w:p>
        </w:tc>
        <w:tc>
          <w:tcPr>
            <w:tcW w:type="dxa" w:w="5544"/>
            <w:vAlign w:val="center"/>
            <w:tcMar>
              <w:top w:w="90" w:type="dxa"/>
              <w:start w:w="100" w:type="dxa"/>
              <w:bottom w:w="90" w:type="dxa"/>
              <w:end w:w="100" w:type="dxa"/>
            </w:tcMar>
          </w:tcPr>
          <w:p>
            <w:pPr>
              <w:spacing w:before="0" w:after="20"/>
            </w:pPr>
            <w:r>
              <w:rPr>
                <w:rFonts w:ascii="Microsoft YaHei" w:hAnsi="Microsoft YaHei" w:eastAsia="Microsoft YaHei"/>
                <w:sz w:val="16"/>
              </w:rPr>
              <w:t>仅对同一权限范围内可操作对象提供批量导出、批量分配负责人、归档等操作</w:t>
            </w:r>
          </w:p>
        </w:tc>
        <w:tc>
          <w:tcPr>
            <w:tcW w:type="dxa" w:w="2160"/>
            <w:vAlign w:val="center"/>
            <w:tcMar>
              <w:top w:w="90" w:type="dxa"/>
              <w:start w:w="100" w:type="dxa"/>
              <w:bottom w:w="90" w:type="dxa"/>
              <w:end w:w="100" w:type="dxa"/>
            </w:tcMar>
          </w:tcPr>
          <w:p>
            <w:pPr>
              <w:spacing w:before="0" w:after="20"/>
            </w:pPr>
            <w:r>
              <w:rPr>
                <w:rFonts w:ascii="Microsoft YaHei" w:hAnsi="Microsoft YaHei" w:eastAsia="Microsoft YaHei"/>
                <w:sz w:val="16"/>
              </w:rPr>
              <w:t>对无法批量执行的对象逐条解释原因；不支持批量发布。</w:t>
            </w:r>
          </w:p>
        </w:tc>
      </w:tr>
      <w:tr>
        <w:trPr>
          <w:cantSplit/>
        </w:trPr>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保存视图</w:t>
            </w:r>
          </w:p>
        </w:tc>
        <w:tc>
          <w:tcPr>
            <w:tcW w:type="dxa" w:w="554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当前筛选条件、排序、列配置可保存为个人视图，支持重命名/设默认/删除</w:t>
            </w:r>
          </w:p>
        </w:tc>
        <w:tc>
          <w:tcPr>
            <w:tcW w:type="dxa" w:w="216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默认视图冲突规则明确；不同项目的数据不能串读。</w:t>
            </w:r>
          </w:p>
        </w:tc>
      </w:tr>
      <w:tr>
        <w:trPr>
          <w:cantSplit/>
        </w:trPr>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6"/>
              </w:rPr>
              <w:t>空/无结果</w:t>
            </w:r>
          </w:p>
        </w:tc>
        <w:tc>
          <w:tcPr>
            <w:tcW w:type="dxa" w:w="5544"/>
            <w:vAlign w:val="center"/>
            <w:tcMar>
              <w:top w:w="90" w:type="dxa"/>
              <w:start w:w="100" w:type="dxa"/>
              <w:bottom w:w="90" w:type="dxa"/>
              <w:end w:w="100" w:type="dxa"/>
            </w:tcMar>
          </w:tcPr>
          <w:p>
            <w:pPr>
              <w:spacing w:before="0" w:after="20"/>
            </w:pPr>
            <w:r>
              <w:rPr>
                <w:rFonts w:ascii="Microsoft YaHei" w:hAnsi="Microsoft YaHei" w:eastAsia="Microsoft YaHei"/>
                <w:sz w:val="16"/>
              </w:rPr>
              <w:t>区分“尚无模型”“筛选无结果”“无查看权限”；提供创建、清除筛选或申请权限提示</w:t>
            </w:r>
          </w:p>
        </w:tc>
        <w:tc>
          <w:tcPr>
            <w:tcW w:type="dxa" w:w="2160"/>
            <w:vAlign w:val="center"/>
            <w:tcMar>
              <w:top w:w="90" w:type="dxa"/>
              <w:start w:w="100" w:type="dxa"/>
              <w:bottom w:w="90" w:type="dxa"/>
              <w:end w:w="100" w:type="dxa"/>
            </w:tcMar>
          </w:tcPr>
          <w:p>
            <w:pPr>
              <w:spacing w:before="0" w:after="20"/>
            </w:pPr>
            <w:r>
              <w:rPr>
                <w:rFonts w:ascii="Microsoft YaHei" w:hAnsi="Microsoft YaHei" w:eastAsia="Microsoft YaHei"/>
                <w:sz w:val="16"/>
              </w:rPr>
              <w:t>不能把权限不足显示成误导性的系统错误。</w:t>
            </w:r>
          </w:p>
        </w:tc>
      </w:tr>
      <w:tr>
        <w:trPr>
          <w:cantSplit/>
        </w:trPr>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导入导出</w:t>
            </w:r>
          </w:p>
        </w:tc>
        <w:tc>
          <w:tcPr>
            <w:tcW w:type="dxa" w:w="554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Excel/CSV 导入先上传再预览字段映射、错误和冲突；导出记录导出范围与操作者</w:t>
            </w:r>
          </w:p>
        </w:tc>
        <w:tc>
          <w:tcPr>
            <w:tcW w:type="dxa" w:w="216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失败行可下载；导入不得绕过服务端校验和权限控制。</w:t>
            </w:r>
          </w:p>
        </w:tc>
      </w:tr>
    </w:tbl>
    <w:p>
      <w:pPr>
        <w:spacing w:after="0"/>
      </w:pPr>
    </w:p>
    <w:p>
      <w:pPr>
        <w:pStyle w:val="Heading2"/>
        <w:keepNext/>
      </w:pPr>
      <w:r>
        <w:t>24.2 字段网格与批量编辑</w:t>
      </w:r>
    </w:p>
    <w:p>
      <w:pPr>
        <w:pStyle w:val="ListBullet"/>
        <w:spacing w:after="60"/>
      </w:pPr>
      <w:r>
        <w:t>粘贴导入：支持从 Excel/CSV 复制的制表符分隔文本；粘贴后先进入预览态，展示新增行、更新行、无效行和重复编码，不直接覆盖当前数据。</w:t>
      </w:r>
    </w:p>
    <w:p>
      <w:pPr>
        <w:pStyle w:val="ListBullet"/>
        <w:spacing w:after="60"/>
      </w:pPr>
      <w:r>
        <w:t>类型化输入：类型、是否可空、主键、敏感级别等枚举属性使用下拉或快捷键；物理类型建议值依据当前引擎 Profile 和逻辑类型映射动态提供。</w:t>
      </w:r>
    </w:p>
    <w:p>
      <w:pPr>
        <w:pStyle w:val="ListBullet"/>
        <w:spacing w:after="60"/>
      </w:pPr>
      <w:r>
        <w:t>批量修改：允许对选中字段批量设置中文描述、敏感级别、可空属性或技术字段标记；批量操作前展示将更改的行数及不适用对象。</w:t>
      </w:r>
    </w:p>
    <w:p>
      <w:pPr>
        <w:pStyle w:val="ListBullet"/>
        <w:spacing w:after="60"/>
      </w:pPr>
      <w:r>
        <w:t>字段复制：复制字段时默认生成新字段草稿，清除字段 ID、物理编码和主键标记；避免复制后形成重复主键或重复编码。</w:t>
      </w:r>
    </w:p>
    <w:p>
      <w:pPr>
        <w:pStyle w:val="ListBullet"/>
        <w:spacing w:after="60"/>
      </w:pPr>
      <w:r>
        <w:t>字段排序：拖拽只改变展示顺序/DDL 顺序，不隐式改变业务依赖；同时提供上移/下移与键盘可操作方式。</w:t>
      </w:r>
    </w:p>
    <w:p>
      <w:pPr>
        <w:pStyle w:val="ListBullet"/>
        <w:spacing w:after="60"/>
      </w:pPr>
      <w:r>
        <w:t>校验联动：当前字段有错误时显示图标和简短文案；点击错误展开规则说明、规则版本、修复建议，并能跳转至对应属性。</w:t>
      </w:r>
    </w:p>
    <w:p>
      <w:pPr>
        <w:pStyle w:val="ListBullet"/>
        <w:spacing w:after="60"/>
      </w:pPr>
      <w:r>
        <w:t>大模型处理：字段数超过建议阈值时启用虚拟滚动、分批校验和局部更新；服务端必须仍然校验完整模型，不以客户端校验代替。</w:t>
      </w:r>
    </w:p>
    <w:p>
      <w:pPr>
        <w:pStyle w:val="Heading2"/>
        <w:keepNext/>
      </w:pPr>
      <w:r>
        <w:t>24.3 ERD 画布与替代操作</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80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交互</w:t>
            </w:r>
          </w:p>
        </w:tc>
        <w:tc>
          <w:tcPr>
            <w:tcW w:type="dxa" w:w="756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要求</w:t>
            </w:r>
          </w:p>
        </w:tc>
      </w:tr>
      <w:tr>
        <w:trPr>
          <w:cantSplit/>
        </w:trPr>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7"/>
              </w:rPr>
              <w:t>定位/导航</w:t>
            </w:r>
          </w:p>
        </w:tc>
        <w:tc>
          <w:tcPr>
            <w:tcW w:type="dxa" w:w="7560"/>
            <w:vAlign w:val="center"/>
            <w:tcMar>
              <w:top w:w="90" w:type="dxa"/>
              <w:start w:w="100" w:type="dxa"/>
              <w:bottom w:w="90" w:type="dxa"/>
              <w:end w:w="100" w:type="dxa"/>
            </w:tcMar>
          </w:tcPr>
          <w:p>
            <w:pPr>
              <w:spacing w:before="0" w:after="20"/>
            </w:pPr>
            <w:r>
              <w:rPr>
                <w:rFonts w:ascii="Microsoft YaHei" w:hAnsi="Microsoft YaHei" w:eastAsia="Microsoft YaHei"/>
                <w:sz w:val="17"/>
              </w:rPr>
              <w:t>支持缩放、平移、适配画布、搜索定位表、显示/隐藏字段、按主题或层级过滤。</w:t>
            </w:r>
          </w:p>
        </w:tc>
      </w:tr>
      <w:tr>
        <w:trPr>
          <w:cantSplit/>
        </w:trPr>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关系创建</w:t>
            </w:r>
          </w:p>
        </w:tc>
        <w:tc>
          <w:tcPr>
            <w:tcW w:type="dxa" w:w="7560"/>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可通过拖拽字段连线，也必须提供选择源表/字段与目标表/字段的表单式创建方式，避免只依赖精细鼠标操作。</w:t>
            </w:r>
          </w:p>
        </w:tc>
      </w:tr>
      <w:tr>
        <w:trPr>
          <w:cantSplit/>
        </w:trPr>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7"/>
              </w:rPr>
              <w:t>关系语义</w:t>
            </w:r>
          </w:p>
        </w:tc>
        <w:tc>
          <w:tcPr>
            <w:tcW w:type="dxa" w:w="7560"/>
            <w:vAlign w:val="center"/>
            <w:tcMar>
              <w:top w:w="90" w:type="dxa"/>
              <w:start w:w="100" w:type="dxa"/>
              <w:bottom w:w="90" w:type="dxa"/>
              <w:end w:w="100" w:type="dxa"/>
            </w:tcMar>
          </w:tcPr>
          <w:p>
            <w:pPr>
              <w:spacing w:before="0" w:after="20"/>
            </w:pPr>
            <w:r>
              <w:rPr>
                <w:rFonts w:ascii="Microsoft YaHei" w:hAnsi="Microsoft YaHei" w:eastAsia="Microsoft YaHei"/>
                <w:sz w:val="17"/>
              </w:rPr>
              <w:t>明确标识一对一/一对多/多对多及关系依据；物理外键和逻辑关联须区分，不能默认把数仓逻辑关联生成物理外键。</w:t>
            </w:r>
          </w:p>
        </w:tc>
      </w:tr>
      <w:tr>
        <w:trPr>
          <w:cantSplit/>
        </w:trPr>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防拥挤</w:t>
            </w:r>
          </w:p>
        </w:tc>
        <w:tc>
          <w:tcPr>
            <w:tcW w:type="dxa" w:w="7560"/>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大型模型支持自动布局、折叠字段、聚焦邻接对象与全图缩略导航；用户手工布局可保存到个人偏好，不影响模型业务定义。</w:t>
            </w:r>
          </w:p>
        </w:tc>
      </w:tr>
      <w:tr>
        <w:trPr>
          <w:cantSplit/>
        </w:trPr>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7"/>
              </w:rPr>
              <w:t>可访问性</w:t>
            </w:r>
          </w:p>
        </w:tc>
        <w:tc>
          <w:tcPr>
            <w:tcW w:type="dxa" w:w="7560"/>
            <w:vAlign w:val="center"/>
            <w:tcMar>
              <w:top w:w="90" w:type="dxa"/>
              <w:start w:w="100" w:type="dxa"/>
              <w:bottom w:w="90" w:type="dxa"/>
              <w:end w:w="100" w:type="dxa"/>
            </w:tcMar>
          </w:tcPr>
          <w:p>
            <w:pPr>
              <w:spacing w:before="0" w:after="20"/>
            </w:pPr>
            <w:r>
              <w:rPr>
                <w:rFonts w:ascii="Microsoft YaHei" w:hAnsi="Microsoft YaHei" w:eastAsia="Microsoft YaHei"/>
                <w:sz w:val="17"/>
              </w:rPr>
              <w:t>画布对象有可读标签；提供对应的表/关系列表视图，所有关键关系操作可通过键盘和表单完成。</w:t>
            </w:r>
          </w:p>
        </w:tc>
      </w:tr>
    </w:tbl>
    <w:p>
      <w:pPr>
        <w:spacing w:after="0"/>
      </w:pPr>
    </w:p>
    <w:p>
      <w:pPr>
        <w:pStyle w:val="Heading2"/>
        <w:keepNext/>
      </w:pPr>
      <w:r>
        <w:t>24.4 评审与版本差异页</w:t>
      </w:r>
    </w:p>
    <w:p>
      <w:pPr>
        <w:pStyle w:val="ListBullet"/>
        <w:spacing w:after="60"/>
      </w:pPr>
      <w:r>
        <w:t>评审页默认展示“本次版本 vs 上一个基线版本”的差异摘要：新增/修改/删除表、字段，类型变化、主键变化、关系变化及规范变化。</w:t>
      </w:r>
    </w:p>
    <w:p>
      <w:pPr>
        <w:pStyle w:val="ListBullet"/>
        <w:spacing w:after="60"/>
      </w:pPr>
      <w:r>
        <w:t>差异颜色之外必须有文字标签：新增、修改、删除、风险；危险变更（删列、缩窄类型、主键变化）需显示影响提示。</w:t>
      </w:r>
    </w:p>
    <w:p>
      <w:pPr>
        <w:pStyle w:val="ListBullet"/>
        <w:spacing w:after="60"/>
      </w:pPr>
      <w:r>
        <w:t>评审意见可锚定到模型/表/字段属性；每条意见有提出人、时间、状态、处理说明，已解决意见保留历史。</w:t>
      </w:r>
    </w:p>
    <w:p>
      <w:pPr>
        <w:pStyle w:val="ListBullet"/>
        <w:spacing w:after="60"/>
      </w:pPr>
      <w:r>
        <w:t>评审者可按“通过/驳回/需修改”给出决策；未解决阻断问题是否允许通过由项目策略决定，MVP 默认不允许发布阻断项非零的版本。</w:t>
      </w:r>
    </w:p>
    <w:p>
      <w:pPr>
        <w:pStyle w:val="ListBullet"/>
        <w:spacing w:after="60"/>
      </w:pPr>
      <w:r>
        <w:t>发布前显示不可变发布摘要：版本号、目标引擎、规则集版本、DDL 工件 checksum、警告数、评审结论及发布人。</w:t>
      </w:r>
    </w:p>
    <w:p>
      <w:pPr>
        <w:pStyle w:val="Heading2"/>
        <w:keepNext/>
      </w:pPr>
      <w:r>
        <w:t>24.5 DDL 预览与交付页</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8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能力</w:t>
            </w:r>
          </w:p>
        </w:tc>
        <w:tc>
          <w:tcPr>
            <w:tcW w:type="dxa" w:w="748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要求</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生成前选择</w:t>
            </w:r>
          </w:p>
        </w:tc>
        <w:tc>
          <w:tcPr>
            <w:tcW w:type="dxa" w:w="7488"/>
            <w:vAlign w:val="center"/>
            <w:tcMar>
              <w:top w:w="90" w:type="dxa"/>
              <w:start w:w="100" w:type="dxa"/>
              <w:bottom w:w="90" w:type="dxa"/>
              <w:end w:w="100" w:type="dxa"/>
            </w:tcMar>
          </w:tcPr>
          <w:p>
            <w:pPr>
              <w:spacing w:before="0" w:after="20"/>
            </w:pPr>
            <w:r>
              <w:rPr>
                <w:rFonts w:ascii="Microsoft YaHei" w:hAnsi="Microsoft YaHei" w:eastAsia="Microsoft YaHei"/>
                <w:sz w:val="17"/>
              </w:rPr>
              <w:t>明确目标引擎/版本、Schema/Database、命名策略、表选项；显示 Profile 生效状态和最后校验时间。</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代码预览</w:t>
            </w:r>
          </w:p>
        </w:tc>
        <w:tc>
          <w:tcPr>
            <w:tcW w:type="dxa" w:w="748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语法高亮、只读/可复制、按表分段、显示生成器版本与配置摘要；不得将预览等同于已在目标引擎执行。</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结果说明</w:t>
            </w:r>
          </w:p>
        </w:tc>
        <w:tc>
          <w:tcPr>
            <w:tcW w:type="dxa" w:w="7488"/>
            <w:vAlign w:val="center"/>
            <w:tcMar>
              <w:top w:w="90" w:type="dxa"/>
              <w:start w:w="100" w:type="dxa"/>
              <w:bottom w:w="90" w:type="dxa"/>
              <w:end w:w="100" w:type="dxa"/>
            </w:tcMar>
          </w:tcPr>
          <w:p>
            <w:pPr>
              <w:spacing w:before="0" w:after="20"/>
            </w:pPr>
            <w:r>
              <w:rPr>
                <w:rFonts w:ascii="Microsoft YaHei" w:hAnsi="Microsoft YaHei" w:eastAsia="Microsoft YaHei"/>
                <w:sz w:val="17"/>
              </w:rPr>
              <w:t>将错误、警告和不支持的特性分开；对不支持特性不得静默丢弃，必须阻断或明确降级策略。</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可追溯工件</w:t>
            </w:r>
          </w:p>
        </w:tc>
        <w:tc>
          <w:tcPr>
            <w:tcW w:type="dxa" w:w="748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存储生成内容、checksum、目标引擎 Profile 快照、生成器版本、生成者和生成时间。</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下载与复用</w:t>
            </w:r>
          </w:p>
        </w:tc>
        <w:tc>
          <w:tcPr>
            <w:tcW w:type="dxa" w:w="7488"/>
            <w:vAlign w:val="center"/>
            <w:tcMar>
              <w:top w:w="90" w:type="dxa"/>
              <w:start w:w="100" w:type="dxa"/>
              <w:bottom w:w="90" w:type="dxa"/>
              <w:end w:w="100" w:type="dxa"/>
            </w:tcMar>
          </w:tcPr>
          <w:p>
            <w:pPr>
              <w:spacing w:before="0" w:after="20"/>
            </w:pPr>
            <w:r>
              <w:rPr>
                <w:rFonts w:ascii="Microsoft YaHei" w:hAnsi="Microsoft YaHei" w:eastAsia="Microsoft YaHei"/>
                <w:sz w:val="17"/>
              </w:rPr>
              <w:t>允许下载 SQL、数据字典与设计说明；导出文件中包含版本标识和生成时间，避免拿错版本。</w:t>
            </w:r>
          </w:p>
        </w:tc>
      </w:tr>
    </w:tbl>
    <w:p>
      <w:pPr>
        <w:spacing w:after="0"/>
      </w:pPr>
    </w:p>
    <w:p>
      <w:pPr>
        <w:pStyle w:val="Heading1"/>
        <w:keepNext/>
      </w:pPr>
      <w:r>
        <w:t>25. 交互状态、错误恢复与快捷操作</w:t>
      </w:r>
    </w:p>
    <w:p>
      <w:pPr>
        <w:pStyle w:val="Heading2"/>
        <w:keepNext/>
      </w:pPr>
      <w:r>
        <w:t>25.1 自动保存与冲突控制</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场景</w:t>
            </w:r>
          </w:p>
        </w:tc>
        <w:tc>
          <w:tcPr>
            <w:tcW w:type="dxa" w:w="403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产品表现</w:t>
            </w:r>
          </w:p>
        </w:tc>
        <w:tc>
          <w:tcPr>
            <w:tcW w:type="dxa" w:w="345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服务端规则</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6"/>
              </w:rPr>
              <w:t>有未保存更改</w:t>
            </w:r>
          </w:p>
        </w:tc>
        <w:tc>
          <w:tcPr>
            <w:tcW w:type="dxa" w:w="4032"/>
            <w:vAlign w:val="center"/>
            <w:tcMar>
              <w:top w:w="90" w:type="dxa"/>
              <w:start w:w="100" w:type="dxa"/>
              <w:bottom w:w="90" w:type="dxa"/>
              <w:end w:w="100" w:type="dxa"/>
            </w:tcMar>
          </w:tcPr>
          <w:p>
            <w:pPr>
              <w:spacing w:before="0" w:after="20"/>
            </w:pPr>
            <w:r>
              <w:rPr>
                <w:rFonts w:ascii="Microsoft YaHei" w:hAnsi="Microsoft YaHei" w:eastAsia="Microsoft YaHei"/>
                <w:sz w:val="16"/>
              </w:rPr>
              <w:t>状态显示“有未保存更改”；页面离开时提醒；手动保存和 Ctrl+S 均可用</w:t>
            </w:r>
          </w:p>
        </w:tc>
        <w:tc>
          <w:tcPr>
            <w:tcW w:type="dxa" w:w="3456"/>
            <w:vAlign w:val="center"/>
            <w:tcMar>
              <w:top w:w="90" w:type="dxa"/>
              <w:start w:w="100" w:type="dxa"/>
              <w:bottom w:w="90" w:type="dxa"/>
              <w:end w:w="100" w:type="dxa"/>
            </w:tcMar>
          </w:tcPr>
          <w:p>
            <w:pPr>
              <w:spacing w:before="0" w:after="20"/>
            </w:pPr>
            <w:r>
              <w:rPr>
                <w:rFonts w:ascii="Microsoft YaHei" w:hAnsi="Microsoft YaHei" w:eastAsia="Microsoft YaHei"/>
                <w:sz w:val="16"/>
              </w:rPr>
              <w:t>只允许更新草稿版本；保存采用 version_no/ETag 乐观并发控制。</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自动保存</w:t>
            </w:r>
          </w:p>
        </w:tc>
        <w:tc>
          <w:tcPr>
            <w:tcW w:type="dxa" w:w="40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用户停止输入约 800ms 后提交；长时间持续输入每 3 秒最多提交一次；显示“保存中/已保存于时间”</w:t>
            </w:r>
          </w:p>
        </w:tc>
        <w:tc>
          <w:tcPr>
            <w:tcW w:type="dxa" w:w="34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合并同一草稿短时间内的变更；请求携带幂等键或变更 ID。</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6"/>
              </w:rPr>
              <w:t>保存失败</w:t>
            </w:r>
          </w:p>
        </w:tc>
        <w:tc>
          <w:tcPr>
            <w:tcW w:type="dxa" w:w="4032"/>
            <w:vAlign w:val="center"/>
            <w:tcMar>
              <w:top w:w="90" w:type="dxa"/>
              <w:start w:w="100" w:type="dxa"/>
              <w:bottom w:w="90" w:type="dxa"/>
              <w:end w:w="100" w:type="dxa"/>
            </w:tcMar>
          </w:tcPr>
          <w:p>
            <w:pPr>
              <w:spacing w:before="0" w:after="20"/>
            </w:pPr>
            <w:r>
              <w:rPr>
                <w:rFonts w:ascii="Microsoft YaHei" w:hAnsi="Microsoft YaHei" w:eastAsia="Microsoft YaHei"/>
                <w:sz w:val="16"/>
              </w:rPr>
              <w:t>保留页面内编辑内容，说明失败原因并提供重试；不显示虚假的“已保存”</w:t>
            </w:r>
          </w:p>
        </w:tc>
        <w:tc>
          <w:tcPr>
            <w:tcW w:type="dxa" w:w="3456"/>
            <w:vAlign w:val="center"/>
            <w:tcMar>
              <w:top w:w="90" w:type="dxa"/>
              <w:start w:w="100" w:type="dxa"/>
              <w:bottom w:w="90" w:type="dxa"/>
              <w:end w:w="100" w:type="dxa"/>
            </w:tcMar>
          </w:tcPr>
          <w:p>
            <w:pPr>
              <w:spacing w:before="0" w:after="20"/>
            </w:pPr>
            <w:r>
              <w:rPr>
                <w:rFonts w:ascii="Microsoft YaHei" w:hAnsi="Microsoft YaHei" w:eastAsia="Microsoft YaHei"/>
                <w:sz w:val="16"/>
              </w:rPr>
              <w:t>错误返回 request_id、冲突版本号和可重试属性；日志记录失败事件。</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版本冲突</w:t>
            </w:r>
          </w:p>
        </w:tc>
        <w:tc>
          <w:tcPr>
            <w:tcW w:type="dxa" w:w="40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显示“服务器版本已更新”，提供查看差异、重新加载、复制当前改动等选项</w:t>
            </w:r>
          </w:p>
        </w:tc>
        <w:tc>
          <w:tcPr>
            <w:tcW w:type="dxa" w:w="34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返回 409 VERSION_CONFLICT；不允许静默覆盖另一个用户的修改。</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6"/>
              </w:rPr>
              <w:t>登录过期/无权限</w:t>
            </w:r>
          </w:p>
        </w:tc>
        <w:tc>
          <w:tcPr>
            <w:tcW w:type="dxa" w:w="4032"/>
            <w:vAlign w:val="center"/>
            <w:tcMar>
              <w:top w:w="90" w:type="dxa"/>
              <w:start w:w="100" w:type="dxa"/>
              <w:bottom w:w="90" w:type="dxa"/>
              <w:end w:w="100" w:type="dxa"/>
            </w:tcMar>
          </w:tcPr>
          <w:p>
            <w:pPr>
              <w:spacing w:before="0" w:after="20"/>
            </w:pPr>
            <w:r>
              <w:rPr>
                <w:rFonts w:ascii="Microsoft YaHei" w:hAnsi="Microsoft YaHei" w:eastAsia="Microsoft YaHei"/>
                <w:sz w:val="16"/>
              </w:rPr>
              <w:t>提示重新登录或权限已变化；保留当前页面未提交内容但禁止继续提交</w:t>
            </w:r>
          </w:p>
        </w:tc>
        <w:tc>
          <w:tcPr>
            <w:tcW w:type="dxa" w:w="3456"/>
            <w:vAlign w:val="center"/>
            <w:tcMar>
              <w:top w:w="90" w:type="dxa"/>
              <w:start w:w="100" w:type="dxa"/>
              <w:bottom w:w="90" w:type="dxa"/>
              <w:end w:w="100" w:type="dxa"/>
            </w:tcMar>
          </w:tcPr>
          <w:p>
            <w:pPr>
              <w:spacing w:before="0" w:after="20"/>
            </w:pPr>
            <w:r>
              <w:rPr>
                <w:rFonts w:ascii="Microsoft YaHei" w:hAnsi="Microsoft YaHei" w:eastAsia="Microsoft YaHei"/>
                <w:sz w:val="16"/>
              </w:rPr>
              <w:t>鉴权失败不得重试为成功；不暴露其他项目对象的存在信息。</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提交评审/发布中</w:t>
            </w:r>
          </w:p>
        </w:tc>
        <w:tc>
          <w:tcPr>
            <w:tcW w:type="dxa" w:w="40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按钮进入忙碌态并禁用重复点击；显示可查询的操作 ID</w:t>
            </w:r>
          </w:p>
        </w:tc>
        <w:tc>
          <w:tcPr>
            <w:tcW w:type="dxa" w:w="34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接口确保状态迁移原子性；重复请求返回同一结果或明确冲突。</w:t>
            </w:r>
          </w:p>
        </w:tc>
      </w:tr>
    </w:tbl>
    <w:p>
      <w:pPr>
        <w:spacing w:after="0"/>
      </w:pPr>
    </w:p>
    <w:p>
      <w:pPr>
        <w:pStyle w:val="Heading2"/>
        <w:keepNext/>
      </w:pPr>
      <w:r>
        <w:t>25.2 建议快捷操作</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1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快捷键</w:t>
            </w:r>
          </w:p>
        </w:tc>
        <w:tc>
          <w:tcPr>
            <w:tcW w:type="dxa" w:w="403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行为</w:t>
            </w:r>
          </w:p>
        </w:tc>
        <w:tc>
          <w:tcPr>
            <w:tcW w:type="dxa" w:w="331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边界</w:t>
            </w:r>
          </w:p>
        </w:tc>
      </w:tr>
      <w:tr>
        <w:trPr>
          <w:cantSplit/>
        </w:trPr>
        <w:tc>
          <w:tcPr>
            <w:tcW w:type="dxa" w:w="2016"/>
            <w:vAlign w:val="center"/>
            <w:tcMar>
              <w:top w:w="90" w:type="dxa"/>
              <w:start w:w="100" w:type="dxa"/>
              <w:bottom w:w="90" w:type="dxa"/>
              <w:end w:w="100" w:type="dxa"/>
            </w:tcMar>
          </w:tcPr>
          <w:p>
            <w:pPr>
              <w:spacing w:before="0" w:after="20"/>
            </w:pPr>
            <w:r>
              <w:rPr>
                <w:rFonts w:ascii="Microsoft YaHei" w:hAnsi="Microsoft YaHei" w:eastAsia="Microsoft YaHei"/>
                <w:sz w:val="16"/>
              </w:rPr>
              <w:t>Ctrl/Cmd + S</w:t>
            </w:r>
          </w:p>
        </w:tc>
        <w:tc>
          <w:tcPr>
            <w:tcW w:type="dxa" w:w="4032"/>
            <w:vAlign w:val="center"/>
            <w:tcMar>
              <w:top w:w="90" w:type="dxa"/>
              <w:start w:w="100" w:type="dxa"/>
              <w:bottom w:w="90" w:type="dxa"/>
              <w:end w:w="100" w:type="dxa"/>
            </w:tcMar>
          </w:tcPr>
          <w:p>
            <w:pPr>
              <w:spacing w:before="0" w:after="20"/>
            </w:pPr>
            <w:r>
              <w:rPr>
                <w:rFonts w:ascii="Microsoft YaHei" w:hAnsi="Microsoft YaHei" w:eastAsia="Microsoft YaHei"/>
                <w:sz w:val="16"/>
              </w:rPr>
              <w:t>保存当前草稿</w:t>
            </w:r>
          </w:p>
        </w:tc>
        <w:tc>
          <w:tcPr>
            <w:tcW w:type="dxa" w:w="3312"/>
            <w:vAlign w:val="center"/>
            <w:tcMar>
              <w:top w:w="90" w:type="dxa"/>
              <w:start w:w="100" w:type="dxa"/>
              <w:bottom w:w="90" w:type="dxa"/>
              <w:end w:w="100" w:type="dxa"/>
            </w:tcMar>
          </w:tcPr>
          <w:p>
            <w:pPr>
              <w:spacing w:before="0" w:after="20"/>
            </w:pPr>
            <w:r>
              <w:rPr>
                <w:rFonts w:ascii="Microsoft YaHei" w:hAnsi="Microsoft YaHei" w:eastAsia="Microsoft YaHei"/>
                <w:sz w:val="16"/>
              </w:rPr>
              <w:t>在输入框原生行为冲突时优先平台约定；显示保存结果。</w:t>
            </w:r>
          </w:p>
        </w:tc>
      </w:tr>
      <w:tr>
        <w:trPr>
          <w:cantSplit/>
        </w:trPr>
        <w:tc>
          <w:tcPr>
            <w:tcW w:type="dxa" w:w="201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Ctrl/Cmd + Z / Y</w:t>
            </w:r>
          </w:p>
        </w:tc>
        <w:tc>
          <w:tcPr>
            <w:tcW w:type="dxa" w:w="40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撤销/重做最近的本地字段编辑</w:t>
            </w:r>
          </w:p>
        </w:tc>
        <w:tc>
          <w:tcPr>
            <w:tcW w:type="dxa" w:w="331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首期至少支持当前编辑会话；撤销不能回滚已发布版本。</w:t>
            </w:r>
          </w:p>
        </w:tc>
      </w:tr>
      <w:tr>
        <w:trPr>
          <w:cantSplit/>
        </w:trPr>
        <w:tc>
          <w:tcPr>
            <w:tcW w:type="dxa" w:w="2016"/>
            <w:vAlign w:val="center"/>
            <w:tcMar>
              <w:top w:w="90" w:type="dxa"/>
              <w:start w:w="100" w:type="dxa"/>
              <w:bottom w:w="90" w:type="dxa"/>
              <w:end w:w="100" w:type="dxa"/>
            </w:tcMar>
          </w:tcPr>
          <w:p>
            <w:pPr>
              <w:spacing w:before="0" w:after="20"/>
            </w:pPr>
            <w:r>
              <w:rPr>
                <w:rFonts w:ascii="Microsoft YaHei" w:hAnsi="Microsoft YaHei" w:eastAsia="Microsoft YaHei"/>
                <w:sz w:val="16"/>
              </w:rPr>
              <w:t>Ctrl/Cmd + F</w:t>
            </w:r>
          </w:p>
        </w:tc>
        <w:tc>
          <w:tcPr>
            <w:tcW w:type="dxa" w:w="4032"/>
            <w:vAlign w:val="center"/>
            <w:tcMar>
              <w:top w:w="90" w:type="dxa"/>
              <w:start w:w="100" w:type="dxa"/>
              <w:bottom w:w="90" w:type="dxa"/>
              <w:end w:w="100" w:type="dxa"/>
            </w:tcMar>
          </w:tcPr>
          <w:p>
            <w:pPr>
              <w:spacing w:before="0" w:after="20"/>
            </w:pPr>
            <w:r>
              <w:rPr>
                <w:rFonts w:ascii="Microsoft YaHei" w:hAnsi="Microsoft YaHei" w:eastAsia="Microsoft YaHei"/>
                <w:sz w:val="16"/>
              </w:rPr>
              <w:t>聚焦当前设计器字段搜索</w:t>
            </w:r>
          </w:p>
        </w:tc>
        <w:tc>
          <w:tcPr>
            <w:tcW w:type="dxa" w:w="3312"/>
            <w:vAlign w:val="center"/>
            <w:tcMar>
              <w:top w:w="90" w:type="dxa"/>
              <w:start w:w="100" w:type="dxa"/>
              <w:bottom w:w="90" w:type="dxa"/>
              <w:end w:w="100" w:type="dxa"/>
            </w:tcMar>
          </w:tcPr>
          <w:p>
            <w:pPr>
              <w:spacing w:before="0" w:after="20"/>
            </w:pPr>
            <w:r>
              <w:rPr>
                <w:rFonts w:ascii="Microsoft YaHei" w:hAnsi="Microsoft YaHei" w:eastAsia="Microsoft YaHei"/>
                <w:sz w:val="16"/>
              </w:rPr>
              <w:t>搜索框支持表名与字段名。</w:t>
            </w:r>
          </w:p>
        </w:tc>
      </w:tr>
      <w:tr>
        <w:trPr>
          <w:cantSplit/>
        </w:trPr>
        <w:tc>
          <w:tcPr>
            <w:tcW w:type="dxa" w:w="201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Tab / Shift+Tab</w:t>
            </w:r>
          </w:p>
        </w:tc>
        <w:tc>
          <w:tcPr>
            <w:tcW w:type="dxa" w:w="40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在可编辑单元格间移动焦点</w:t>
            </w:r>
          </w:p>
        </w:tc>
        <w:tc>
          <w:tcPr>
            <w:tcW w:type="dxa" w:w="331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焦点顺序可预测；表格不吞掉常规键盘操作。</w:t>
            </w:r>
          </w:p>
        </w:tc>
      </w:tr>
      <w:tr>
        <w:trPr>
          <w:cantSplit/>
        </w:trPr>
        <w:tc>
          <w:tcPr>
            <w:tcW w:type="dxa" w:w="2016"/>
            <w:vAlign w:val="center"/>
            <w:tcMar>
              <w:top w:w="90" w:type="dxa"/>
              <w:start w:w="100" w:type="dxa"/>
              <w:bottom w:w="90" w:type="dxa"/>
              <w:end w:w="100" w:type="dxa"/>
            </w:tcMar>
          </w:tcPr>
          <w:p>
            <w:pPr>
              <w:spacing w:before="0" w:after="20"/>
            </w:pPr>
            <w:r>
              <w:rPr>
                <w:rFonts w:ascii="Microsoft YaHei" w:hAnsi="Microsoft YaHei" w:eastAsia="Microsoft YaHei"/>
                <w:sz w:val="16"/>
              </w:rPr>
              <w:t>Enter / Esc</w:t>
            </w:r>
          </w:p>
        </w:tc>
        <w:tc>
          <w:tcPr>
            <w:tcW w:type="dxa" w:w="4032"/>
            <w:vAlign w:val="center"/>
            <w:tcMar>
              <w:top w:w="90" w:type="dxa"/>
              <w:start w:w="100" w:type="dxa"/>
              <w:bottom w:w="90" w:type="dxa"/>
              <w:end w:w="100" w:type="dxa"/>
            </w:tcMar>
          </w:tcPr>
          <w:p>
            <w:pPr>
              <w:spacing w:before="0" w:after="20"/>
            </w:pPr>
            <w:r>
              <w:rPr>
                <w:rFonts w:ascii="Microsoft YaHei" w:hAnsi="Microsoft YaHei" w:eastAsia="Microsoft YaHei"/>
                <w:sz w:val="16"/>
              </w:rPr>
              <w:t>确认/取消当前单元格编辑</w:t>
            </w:r>
          </w:p>
        </w:tc>
        <w:tc>
          <w:tcPr>
            <w:tcW w:type="dxa" w:w="3312"/>
            <w:vAlign w:val="center"/>
            <w:tcMar>
              <w:top w:w="90" w:type="dxa"/>
              <w:start w:w="100" w:type="dxa"/>
              <w:bottom w:w="90" w:type="dxa"/>
              <w:end w:w="100" w:type="dxa"/>
            </w:tcMar>
          </w:tcPr>
          <w:p>
            <w:pPr>
              <w:spacing w:before="0" w:after="20"/>
            </w:pPr>
            <w:r>
              <w:rPr>
                <w:rFonts w:ascii="Microsoft YaHei" w:hAnsi="Microsoft YaHei" w:eastAsia="Microsoft YaHei"/>
                <w:sz w:val="16"/>
              </w:rPr>
              <w:t>未保存输入不得因误按 Esc 静默丢失，可按交互场景明确提示。</w:t>
            </w:r>
          </w:p>
        </w:tc>
      </w:tr>
      <w:tr>
        <w:trPr>
          <w:cantSplit/>
        </w:trPr>
        <w:tc>
          <w:tcPr>
            <w:tcW w:type="dxa" w:w="201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Ctrl/Cmd + Enter</w:t>
            </w:r>
          </w:p>
        </w:tc>
        <w:tc>
          <w:tcPr>
            <w:tcW w:type="dxa" w:w="40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在编辑器内按上下文执行提交/确认</w:t>
            </w:r>
          </w:p>
        </w:tc>
        <w:tc>
          <w:tcPr>
            <w:tcW w:type="dxa" w:w="331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仅用于明确且安全的动作；发布等高影响操作仍需二次确认。</w:t>
            </w:r>
          </w:p>
        </w:tc>
      </w:tr>
    </w:tbl>
    <w:p>
      <w:pPr>
        <w:spacing w:after="0"/>
      </w:pPr>
    </w:p>
    <w:p>
      <w:pPr>
        <w:pStyle w:val="Heading2"/>
        <w:keepNext/>
      </w:pPr>
      <w:r>
        <w:t>25.3 异常、空态、加载态与反馈文案</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8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状态</w:t>
            </w:r>
          </w:p>
        </w:tc>
        <w:tc>
          <w:tcPr>
            <w:tcW w:type="dxa" w:w="748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7"/>
              </w:rPr>
              <w:t>标准行为</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初次加载</w:t>
            </w:r>
          </w:p>
        </w:tc>
        <w:tc>
          <w:tcPr>
            <w:tcW w:type="dxa" w:w="7488"/>
            <w:vAlign w:val="center"/>
            <w:tcMar>
              <w:top w:w="90" w:type="dxa"/>
              <w:start w:w="100" w:type="dxa"/>
              <w:bottom w:w="90" w:type="dxa"/>
              <w:end w:w="100" w:type="dxa"/>
            </w:tcMar>
          </w:tcPr>
          <w:p>
            <w:pPr>
              <w:spacing w:before="0" w:after="20"/>
            </w:pPr>
            <w:r>
              <w:rPr>
                <w:rFonts w:ascii="Microsoft YaHei" w:hAnsi="Microsoft YaHei" w:eastAsia="Microsoft YaHei"/>
                <w:sz w:val="17"/>
              </w:rPr>
              <w:t>骨架屏或局部加载指示；显示正在加载的区域；避免全屏无信息转圈。</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无数据</w:t>
            </w:r>
          </w:p>
        </w:tc>
        <w:tc>
          <w:tcPr>
            <w:tcW w:type="dxa" w:w="748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解释当前状态、原因与下一步主操作；区分无数据和无权限。</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局部错误</w:t>
            </w:r>
          </w:p>
        </w:tc>
        <w:tc>
          <w:tcPr>
            <w:tcW w:type="dxa" w:w="7488"/>
            <w:vAlign w:val="center"/>
            <w:tcMar>
              <w:top w:w="90" w:type="dxa"/>
              <w:start w:w="100" w:type="dxa"/>
              <w:bottom w:w="90" w:type="dxa"/>
              <w:end w:w="100" w:type="dxa"/>
            </w:tcMar>
          </w:tcPr>
          <w:p>
            <w:pPr>
              <w:spacing w:before="0" w:after="20"/>
            </w:pPr>
            <w:r>
              <w:rPr>
                <w:rFonts w:ascii="Microsoft YaHei" w:hAnsi="Microsoft YaHei" w:eastAsia="Microsoft YaHei"/>
                <w:sz w:val="17"/>
              </w:rPr>
              <w:t>错误与受影响组件同位展示，保留其他已加载内容；支持重新加载该区域。</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长任务</w:t>
            </w:r>
          </w:p>
        </w:tc>
        <w:tc>
          <w:tcPr>
            <w:tcW w:type="dxa" w:w="748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超过 2 秒显示持续进度/阶段提示；超过 10 秒提供后台运行与结果通知选项（若任务可异步）。</w:t>
            </w:r>
          </w:p>
        </w:tc>
      </w:tr>
      <w:tr>
        <w:trPr>
          <w:cantSplit/>
        </w:trPr>
        <w:tc>
          <w:tcPr>
            <w:tcW w:type="dxa" w:w="1872"/>
            <w:vAlign w:val="center"/>
            <w:tcMar>
              <w:top w:w="90" w:type="dxa"/>
              <w:start w:w="100" w:type="dxa"/>
              <w:bottom w:w="90" w:type="dxa"/>
              <w:end w:w="100" w:type="dxa"/>
            </w:tcMar>
          </w:tcPr>
          <w:p>
            <w:pPr>
              <w:spacing w:before="0" w:after="20"/>
            </w:pPr>
            <w:r>
              <w:rPr>
                <w:rFonts w:ascii="Microsoft YaHei" w:hAnsi="Microsoft YaHei" w:eastAsia="Microsoft YaHei"/>
                <w:sz w:val="17"/>
              </w:rPr>
              <w:t>操作成功</w:t>
            </w:r>
          </w:p>
        </w:tc>
        <w:tc>
          <w:tcPr>
            <w:tcW w:type="dxa" w:w="7488"/>
            <w:vAlign w:val="center"/>
            <w:tcMar>
              <w:top w:w="90" w:type="dxa"/>
              <w:start w:w="100" w:type="dxa"/>
              <w:bottom w:w="90" w:type="dxa"/>
              <w:end w:w="100" w:type="dxa"/>
            </w:tcMar>
          </w:tcPr>
          <w:p>
            <w:pPr>
              <w:spacing w:before="0" w:after="20"/>
            </w:pPr>
            <w:r>
              <w:rPr>
                <w:rFonts w:ascii="Microsoft YaHei" w:hAnsi="Microsoft YaHei" w:eastAsia="Microsoft YaHei"/>
                <w:sz w:val="17"/>
              </w:rPr>
              <w:t>明确结果及下一步，例如“草稿已保存 10:24:12”，不只显示“成功”。</w:t>
            </w:r>
          </w:p>
        </w:tc>
      </w:tr>
      <w:tr>
        <w:trPr>
          <w:cantSplit/>
        </w:trPr>
        <w:tc>
          <w:tcPr>
            <w:tcW w:type="dxa" w:w="1872"/>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破坏性操作</w:t>
            </w:r>
          </w:p>
        </w:tc>
        <w:tc>
          <w:tcPr>
            <w:tcW w:type="dxa" w:w="7488"/>
            <w:vAlign w:val="center"/>
            <w:tcMar>
              <w:top w:w="90" w:type="dxa"/>
              <w:start w:w="100" w:type="dxa"/>
              <w:bottom w:w="90" w:type="dxa"/>
              <w:end w:w="100" w:type="dxa"/>
            </w:tcMar>
            <w:shd w:fill="F5F8FC"/>
          </w:tcPr>
          <w:p>
            <w:pPr>
              <w:spacing w:before="0" w:after="20"/>
            </w:pPr>
            <w:r>
              <w:rPr>
                <w:rFonts w:ascii="Microsoft YaHei" w:hAnsi="Microsoft YaHei" w:eastAsia="Microsoft YaHei"/>
                <w:sz w:val="17"/>
              </w:rPr>
              <w:t>提供受影响对象清单、风险摘要和确认；危险变更优先走新版本，不直接改变正式版本。</w:t>
            </w:r>
          </w:p>
        </w:tc>
      </w:tr>
    </w:tbl>
    <w:p>
      <w:pPr>
        <w:spacing w:after="0"/>
      </w:pPr>
    </w:p>
    <w:p>
      <w:pPr>
        <w:pStyle w:val="Heading1"/>
        <w:keepNext/>
      </w:pPr>
      <w:r>
        <w:t>26. 可观测性总体设计</w:t>
      </w:r>
    </w:p>
    <w:p>
      <w:pPr>
        <w:keepLines w:val="0"/>
      </w:pPr>
      <w:r>
        <w:t>可观测性既要回答“系统是否健康”，也要回答“业务流程卡在哪里”和“用户为何操作失败”。建议采用轻量化、标准化、可替换的遥测方案：应用输出结构化日志、指标和分布式 Trace；OpenTelemetry 作为采集标准；指标与日志后端可按部署环境选型。模型内容本身仍以业务元数据表和审计记录为准，不能用日志替代业务数据。</w:t>
      </w:r>
    </w:p>
    <w:p>
      <w:pPr>
        <w:jc w:val="center"/>
      </w:pPr>
      <w:r>
        <w:drawing>
          <wp:inline xmlns:a="http://schemas.openxmlformats.org/drawingml/2006/main" xmlns:pic="http://schemas.openxmlformats.org/drawingml/2006/picture">
            <wp:extent cx="6080760" cy="3547110"/>
            <wp:docPr id="3" name="Picture 3"/>
            <wp:cNvGraphicFramePr>
              <a:graphicFrameLocks noChangeAspect="1"/>
            </wp:cNvGraphicFramePr>
            <a:graphic>
              <a:graphicData uri="http://schemas.openxmlformats.org/drawingml/2006/picture">
                <pic:pic>
                  <pic:nvPicPr>
                    <pic:cNvPr id="0" name="observability_architecture_v03.png"/>
                    <pic:cNvPicPr/>
                  </pic:nvPicPr>
                  <pic:blipFill>
                    <a:blip r:embed="rId13"/>
                    <a:stretch>
                      <a:fillRect/>
                    </a:stretch>
                  </pic:blipFill>
                  <pic:spPr>
                    <a:xfrm>
                      <a:off x="0" y="0"/>
                      <a:ext cx="6080760" cy="3547110"/>
                    </a:xfrm>
                    <a:prstGeom prst="rect"/>
                  </pic:spPr>
                </pic:pic>
              </a:graphicData>
            </a:graphic>
          </wp:inline>
        </w:drawing>
      </w:r>
    </w:p>
    <w:p>
      <w:pPr>
        <w:jc w:val="center"/>
      </w:pPr>
      <w:r>
        <w:rPr>
          <w:i/>
          <w:color w:val="5A6676"/>
          <w:sz w:val="16"/>
        </w:rPr>
        <w:t>图 26-1 技术遥测、业务事件与体验看板的分层关系（建议架构）</w:t>
      </w:r>
    </w:p>
    <w:p>
      <w:pPr>
        <w:pStyle w:val="Heading2"/>
        <w:keepNext/>
      </w:pPr>
      <w:r>
        <w:t>26.1 三类观测数据的边界</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94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类别</w:t>
            </w:r>
          </w:p>
        </w:tc>
        <w:tc>
          <w:tcPr>
            <w:tcW w:type="dxa" w:w="295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回答的问题</w:t>
            </w:r>
          </w:p>
        </w:tc>
        <w:tc>
          <w:tcPr>
            <w:tcW w:type="dxa" w:w="302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数据来源</w:t>
            </w:r>
          </w:p>
        </w:tc>
        <w:tc>
          <w:tcPr>
            <w:tcW w:type="dxa" w:w="165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是否可替代审计</w:t>
            </w:r>
          </w:p>
        </w:tc>
      </w:tr>
      <w:tr>
        <w:trPr>
          <w:cantSplit/>
        </w:trPr>
        <w:tc>
          <w:tcPr>
            <w:tcW w:type="dxa" w:w="1944"/>
            <w:vAlign w:val="center"/>
            <w:tcMar>
              <w:top w:w="90" w:type="dxa"/>
              <w:start w:w="100" w:type="dxa"/>
              <w:bottom w:w="90" w:type="dxa"/>
              <w:end w:w="100" w:type="dxa"/>
            </w:tcMar>
          </w:tcPr>
          <w:p>
            <w:pPr>
              <w:spacing w:before="0" w:after="20"/>
            </w:pPr>
            <w:r>
              <w:rPr>
                <w:rFonts w:ascii="Microsoft YaHei" w:hAnsi="Microsoft YaHei" w:eastAsia="Microsoft YaHei"/>
                <w:sz w:val="16"/>
              </w:rPr>
              <w:t>技术遥测（Metrics/Logs/Traces）</w:t>
            </w:r>
          </w:p>
        </w:tc>
        <w:tc>
          <w:tcPr>
            <w:tcW w:type="dxa" w:w="2952"/>
            <w:vAlign w:val="center"/>
            <w:tcMar>
              <w:top w:w="90" w:type="dxa"/>
              <w:start w:w="100" w:type="dxa"/>
              <w:bottom w:w="90" w:type="dxa"/>
              <w:end w:w="100" w:type="dxa"/>
            </w:tcMar>
          </w:tcPr>
          <w:p>
            <w:pPr>
              <w:spacing w:before="0" w:after="20"/>
            </w:pPr>
            <w:r>
              <w:rPr>
                <w:rFonts w:ascii="Microsoft YaHei" w:hAnsi="Microsoft YaHei" w:eastAsia="Microsoft YaHei"/>
                <w:sz w:val="16"/>
              </w:rPr>
              <w:t>请求为何变慢/失败？数据库是否拥堵？哪段代码耗时？</w:t>
            </w:r>
          </w:p>
        </w:tc>
        <w:tc>
          <w:tcPr>
            <w:tcW w:type="dxa" w:w="3024"/>
            <w:vAlign w:val="center"/>
            <w:tcMar>
              <w:top w:w="90" w:type="dxa"/>
              <w:start w:w="100" w:type="dxa"/>
              <w:bottom w:w="90" w:type="dxa"/>
              <w:end w:w="100" w:type="dxa"/>
            </w:tcMar>
          </w:tcPr>
          <w:p>
            <w:pPr>
              <w:spacing w:before="0" w:after="20"/>
            </w:pPr>
            <w:r>
              <w:rPr>
                <w:rFonts w:ascii="Microsoft YaHei" w:hAnsi="Microsoft YaHei" w:eastAsia="Microsoft YaHei"/>
                <w:sz w:val="16"/>
              </w:rPr>
              <w:t>API、中间件、数据库连接池、后台任务、引擎适配器</w:t>
            </w:r>
          </w:p>
        </w:tc>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6"/>
              </w:rPr>
              <w:t>不能；技术日志可能采样、轮转或延迟。</w:t>
            </w:r>
          </w:p>
        </w:tc>
      </w:tr>
      <w:tr>
        <w:trPr>
          <w:cantSplit/>
        </w:trPr>
        <w:tc>
          <w:tcPr>
            <w:tcW w:type="dxa" w:w="194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业务活动事件（Activity Events）</w:t>
            </w:r>
          </w:p>
        </w:tc>
        <w:tc>
          <w:tcPr>
            <w:tcW w:type="dxa" w:w="295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需求何时登记、模型何时提交、评审何时完成、发布何时成功？</w:t>
            </w:r>
          </w:p>
        </w:tc>
        <w:tc>
          <w:tcPr>
            <w:tcW w:type="dxa" w:w="302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关键业务状态迁移的事务内事件</w:t>
            </w:r>
          </w:p>
        </w:tc>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不能；用于流程分析，关键权限操作仍写审计。</w:t>
            </w:r>
          </w:p>
        </w:tc>
      </w:tr>
      <w:tr>
        <w:trPr>
          <w:cantSplit/>
        </w:trPr>
        <w:tc>
          <w:tcPr>
            <w:tcW w:type="dxa" w:w="1944"/>
            <w:vAlign w:val="center"/>
            <w:tcMar>
              <w:top w:w="90" w:type="dxa"/>
              <w:start w:w="100" w:type="dxa"/>
              <w:bottom w:w="90" w:type="dxa"/>
              <w:end w:w="100" w:type="dxa"/>
            </w:tcMar>
          </w:tcPr>
          <w:p>
            <w:pPr>
              <w:spacing w:before="0" w:after="20"/>
            </w:pPr>
            <w:r>
              <w:rPr>
                <w:rFonts w:ascii="Microsoft YaHei" w:hAnsi="Microsoft YaHei" w:eastAsia="Microsoft YaHei"/>
                <w:sz w:val="16"/>
              </w:rPr>
              <w:t>安全审计（Audit Logs）</w:t>
            </w:r>
          </w:p>
        </w:tc>
        <w:tc>
          <w:tcPr>
            <w:tcW w:type="dxa" w:w="2952"/>
            <w:vAlign w:val="center"/>
            <w:tcMar>
              <w:top w:w="90" w:type="dxa"/>
              <w:start w:w="100" w:type="dxa"/>
              <w:bottom w:w="90" w:type="dxa"/>
              <w:end w:w="100" w:type="dxa"/>
            </w:tcMar>
          </w:tcPr>
          <w:p>
            <w:pPr>
              <w:spacing w:before="0" w:after="20"/>
            </w:pPr>
            <w:r>
              <w:rPr>
                <w:rFonts w:ascii="Microsoft YaHei" w:hAnsi="Microsoft YaHei" w:eastAsia="Microsoft YaHei"/>
                <w:sz w:val="16"/>
              </w:rPr>
              <w:t>谁在何时对哪个对象进行了何种关键操作，结果如何？</w:t>
            </w:r>
          </w:p>
        </w:tc>
        <w:tc>
          <w:tcPr>
            <w:tcW w:type="dxa" w:w="3024"/>
            <w:vAlign w:val="center"/>
            <w:tcMar>
              <w:top w:w="90" w:type="dxa"/>
              <w:start w:w="100" w:type="dxa"/>
              <w:bottom w:w="90" w:type="dxa"/>
              <w:end w:w="100" w:type="dxa"/>
            </w:tcMar>
          </w:tcPr>
          <w:p>
            <w:pPr>
              <w:spacing w:before="0" w:after="20"/>
            </w:pPr>
            <w:r>
              <w:rPr>
                <w:rFonts w:ascii="Microsoft YaHei" w:hAnsi="Microsoft YaHei" w:eastAsia="Microsoft YaHei"/>
                <w:sz w:val="16"/>
              </w:rPr>
              <w:t>鉴权、模型变更、权限变更、评审、发布、导出等</w:t>
            </w:r>
          </w:p>
        </w:tc>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6"/>
              </w:rPr>
              <w:t>是专门的审计记录；必须受控访问、保留与防篡改。</w:t>
            </w:r>
          </w:p>
        </w:tc>
      </w:tr>
      <w:tr>
        <w:trPr>
          <w:cantSplit/>
        </w:trPr>
        <w:tc>
          <w:tcPr>
            <w:tcW w:type="dxa" w:w="194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体验信号（UX Signals）</w:t>
            </w:r>
          </w:p>
        </w:tc>
        <w:tc>
          <w:tcPr>
            <w:tcW w:type="dxa" w:w="295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自动保存是否经常失败？批量粘贴是否经常被撤销？流程是否中断？</w:t>
            </w:r>
          </w:p>
        </w:tc>
        <w:tc>
          <w:tcPr>
            <w:tcW w:type="dxa" w:w="302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客户端事件和后端业务事件的汇总统计</w:t>
            </w:r>
          </w:p>
        </w:tc>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不能；默认只收集必要元数据，避免过度跟踪用户。</w:t>
            </w:r>
          </w:p>
        </w:tc>
      </w:tr>
    </w:tbl>
    <w:p>
      <w:pPr>
        <w:spacing w:after="0"/>
      </w:pPr>
    </w:p>
    <w:p>
      <w:pPr>
        <w:pStyle w:val="Heading2"/>
        <w:keepNext/>
      </w:pPr>
      <w:r>
        <w:t>26.2 统一关联字段与日志规范</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字段</w:t>
            </w:r>
          </w:p>
        </w:tc>
        <w:tc>
          <w:tcPr>
            <w:tcW w:type="dxa" w:w="720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要求</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timestamp</w:t>
            </w:r>
          </w:p>
        </w:tc>
        <w:tc>
          <w:tcPr>
            <w:tcW w:type="dxa" w:w="7200"/>
            <w:vAlign w:val="center"/>
            <w:tcMar>
              <w:top w:w="90" w:type="dxa"/>
              <w:start w:w="100" w:type="dxa"/>
              <w:bottom w:w="90" w:type="dxa"/>
              <w:end w:w="100" w:type="dxa"/>
            </w:tcMar>
          </w:tcPr>
          <w:p>
            <w:pPr>
              <w:spacing w:before="0" w:after="20"/>
            </w:pPr>
            <w:r>
              <w:rPr>
                <w:rFonts w:ascii="Microsoft YaHei" w:hAnsi="Microsoft YaHei" w:eastAsia="Microsoft YaHei"/>
                <w:sz w:val="16"/>
              </w:rPr>
              <w:t>统一采用 UTC 或统一 ISO-8601 带时区时间；展示层按用户时区格式化。</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level / service / env / version</w:t>
            </w:r>
          </w:p>
        </w:tc>
        <w:tc>
          <w:tcPr>
            <w:tcW w:type="dxa" w:w="720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所有日志必须包含等级、服务名、环境、应用版本。</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request_id / trace_id / span_id</w:t>
            </w:r>
          </w:p>
        </w:tc>
        <w:tc>
          <w:tcPr>
            <w:tcW w:type="dxa" w:w="7200"/>
            <w:vAlign w:val="center"/>
            <w:tcMar>
              <w:top w:w="90" w:type="dxa"/>
              <w:start w:w="100" w:type="dxa"/>
              <w:bottom w:w="90" w:type="dxa"/>
              <w:end w:w="100" w:type="dxa"/>
            </w:tcMar>
          </w:tcPr>
          <w:p>
            <w:pPr>
              <w:spacing w:before="0" w:after="20"/>
            </w:pPr>
            <w:r>
              <w:rPr>
                <w:rFonts w:ascii="Microsoft YaHei" w:hAnsi="Microsoft YaHei" w:eastAsia="Microsoft YaHei"/>
                <w:sz w:val="16"/>
              </w:rPr>
              <w:t>每个请求产生或接收关联 ID，贯穿 API、中间任务和适配器；返回给前端的 request_id 便于用户反馈问题。</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actor_user_id / project_id</w:t>
            </w:r>
          </w:p>
        </w:tc>
        <w:tc>
          <w:tcPr>
            <w:tcW w:type="dxa" w:w="720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在有权限控制的结构化事件中按需记录；不得将用户 ID、项目 ID 作为 Prometheus 高基数标签。</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operation / object_type / object_id</w:t>
            </w:r>
          </w:p>
        </w:tc>
        <w:tc>
          <w:tcPr>
            <w:tcW w:type="dxa" w:w="7200"/>
            <w:vAlign w:val="center"/>
            <w:tcMar>
              <w:top w:w="90" w:type="dxa"/>
              <w:start w:w="100" w:type="dxa"/>
              <w:bottom w:w="90" w:type="dxa"/>
              <w:end w:w="100" w:type="dxa"/>
            </w:tcMar>
          </w:tcPr>
          <w:p>
            <w:pPr>
              <w:spacing w:before="0" w:after="20"/>
            </w:pPr>
            <w:r>
              <w:rPr>
                <w:rFonts w:ascii="Microsoft YaHei" w:hAnsi="Microsoft YaHei" w:eastAsia="Microsoft YaHei"/>
                <w:sz w:val="16"/>
              </w:rPr>
              <w:t>使用稳定的受控事件代码；对象标识放日志/事件中，不作为指标标签。</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duration_ms / outcome / error_code</w:t>
            </w:r>
          </w:p>
        </w:tc>
        <w:tc>
          <w:tcPr>
            <w:tcW w:type="dxa" w:w="720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记录耗时和标准化结果；error_code 用稳定枚举，错误信息避免包含密钥、SQL 参数值或完整敏感负载。</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payload_redaction</w:t>
            </w:r>
          </w:p>
        </w:tc>
        <w:tc>
          <w:tcPr>
            <w:tcW w:type="dxa" w:w="7200"/>
            <w:vAlign w:val="center"/>
            <w:tcMar>
              <w:top w:w="90" w:type="dxa"/>
              <w:start w:w="100" w:type="dxa"/>
              <w:bottom w:w="90" w:type="dxa"/>
              <w:end w:w="100" w:type="dxa"/>
            </w:tcMar>
          </w:tcPr>
          <w:p>
            <w:pPr>
              <w:spacing w:before="0" w:after="20"/>
            </w:pPr>
            <w:r>
              <w:rPr>
                <w:rFonts w:ascii="Microsoft YaHei" w:hAnsi="Microsoft YaHei" w:eastAsia="Microsoft YaHei"/>
                <w:sz w:val="16"/>
              </w:rPr>
              <w:t>默认不记录请求体/响应体全文；需排障的字段采用白名单、长度限制、脱敏与保留周期。</w:t>
            </w:r>
          </w:p>
        </w:tc>
      </w:tr>
    </w:tbl>
    <w:p>
      <w:pPr>
        <w:spacing w:after="0"/>
      </w:pPr>
    </w:p>
    <w:p>
      <w:pPr>
        <w:pStyle w:val="Heading2"/>
        <w:keepNext/>
      </w:pPr>
      <w:r>
        <w:t>26.3 推荐的技术组件与接口</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66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组件/端点</w:t>
            </w:r>
          </w:p>
        </w:tc>
        <w:tc>
          <w:tcPr>
            <w:tcW w:type="dxa" w:w="36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用途</w:t>
            </w:r>
          </w:p>
        </w:tc>
        <w:tc>
          <w:tcPr>
            <w:tcW w:type="dxa" w:w="309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首期要求</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6"/>
              </w:rPr>
              <w:t>OpenTelemetry SDK / Collector</w:t>
            </w:r>
          </w:p>
        </w:tc>
        <w:tc>
          <w:tcPr>
            <w:tcW w:type="dxa" w:w="3672"/>
            <w:vAlign w:val="center"/>
            <w:tcMar>
              <w:top w:w="90" w:type="dxa"/>
              <w:start w:w="100" w:type="dxa"/>
              <w:bottom w:w="90" w:type="dxa"/>
              <w:end w:w="100" w:type="dxa"/>
            </w:tcMar>
          </w:tcPr>
          <w:p>
            <w:pPr>
              <w:spacing w:before="0" w:after="20"/>
            </w:pPr>
            <w:r>
              <w:rPr>
                <w:rFonts w:ascii="Microsoft YaHei" w:hAnsi="Microsoft YaHei" w:eastAsia="Microsoft YaHei"/>
                <w:sz w:val="16"/>
              </w:rPr>
              <w:t>统一接入 traces、metrics、logs 并允许后端替换</w:t>
            </w:r>
          </w:p>
        </w:tc>
        <w:tc>
          <w:tcPr>
            <w:tcW w:type="dxa" w:w="3096"/>
            <w:vAlign w:val="center"/>
            <w:tcMar>
              <w:top w:w="90" w:type="dxa"/>
              <w:start w:w="100" w:type="dxa"/>
              <w:bottom w:w="90" w:type="dxa"/>
              <w:end w:w="100" w:type="dxa"/>
            </w:tcMar>
          </w:tcPr>
          <w:p>
            <w:pPr>
              <w:spacing w:before="0" w:after="20"/>
            </w:pPr>
            <w:r>
              <w:rPr>
                <w:rFonts w:ascii="Microsoft YaHei" w:hAnsi="Microsoft YaHei" w:eastAsia="Microsoft YaHei"/>
                <w:sz w:val="16"/>
              </w:rPr>
              <w:t>应用至少接入 trace + 结构化日志；metrics 可先通过 Prometheus exporter 暴露。</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/health/live</w:t>
            </w:r>
          </w:p>
        </w:tc>
        <w:tc>
          <w:tcPr>
            <w:tcW w:type="dxa" w:w="36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判断进程是否存活</w:t>
            </w:r>
          </w:p>
        </w:tc>
        <w:tc>
          <w:tcPr>
            <w:tcW w:type="dxa" w:w="309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不得依赖数据库连通性，失败时用于重启策略。</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6"/>
              </w:rPr>
              <w:t>/health/ready</w:t>
            </w:r>
          </w:p>
        </w:tc>
        <w:tc>
          <w:tcPr>
            <w:tcW w:type="dxa" w:w="3672"/>
            <w:vAlign w:val="center"/>
            <w:tcMar>
              <w:top w:w="90" w:type="dxa"/>
              <w:start w:w="100" w:type="dxa"/>
              <w:bottom w:w="90" w:type="dxa"/>
              <w:end w:w="100" w:type="dxa"/>
            </w:tcMar>
          </w:tcPr>
          <w:p>
            <w:pPr>
              <w:spacing w:before="0" w:after="20"/>
            </w:pPr>
            <w:r>
              <w:rPr>
                <w:rFonts w:ascii="Microsoft YaHei" w:hAnsi="Microsoft YaHei" w:eastAsia="Microsoft YaHei"/>
                <w:sz w:val="16"/>
              </w:rPr>
              <w:t>判断服务是否已准备好接收请求</w:t>
            </w:r>
          </w:p>
        </w:tc>
        <w:tc>
          <w:tcPr>
            <w:tcW w:type="dxa" w:w="3096"/>
            <w:vAlign w:val="center"/>
            <w:tcMar>
              <w:top w:w="90" w:type="dxa"/>
              <w:start w:w="100" w:type="dxa"/>
              <w:bottom w:w="90" w:type="dxa"/>
              <w:end w:w="100" w:type="dxa"/>
            </w:tcMar>
          </w:tcPr>
          <w:p>
            <w:pPr>
              <w:spacing w:before="0" w:after="20"/>
            </w:pPr>
            <w:r>
              <w:rPr>
                <w:rFonts w:ascii="Microsoft YaHei" w:hAnsi="Microsoft YaHei" w:eastAsia="Microsoft YaHei"/>
                <w:sz w:val="16"/>
              </w:rPr>
              <w:t>检查数据库连接/迁移版本及关键依赖；返回细节仅限内部探针。</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/metrics</w:t>
            </w:r>
          </w:p>
        </w:tc>
        <w:tc>
          <w:tcPr>
            <w:tcW w:type="dxa" w:w="36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Prometheus 格式运行指标</w:t>
            </w:r>
          </w:p>
        </w:tc>
        <w:tc>
          <w:tcPr>
            <w:tcW w:type="dxa" w:w="309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限制内网访问或加鉴权；禁止暴露敏感业务数据。</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6"/>
              </w:rPr>
              <w:t>/api/v1/observability/summary</w:t>
            </w:r>
          </w:p>
        </w:tc>
        <w:tc>
          <w:tcPr>
            <w:tcW w:type="dxa" w:w="3672"/>
            <w:vAlign w:val="center"/>
            <w:tcMar>
              <w:top w:w="90" w:type="dxa"/>
              <w:start w:w="100" w:type="dxa"/>
              <w:bottom w:w="90" w:type="dxa"/>
              <w:end w:w="100" w:type="dxa"/>
            </w:tcMar>
          </w:tcPr>
          <w:p>
            <w:pPr>
              <w:spacing w:before="0" w:after="20"/>
            </w:pPr>
            <w:r>
              <w:rPr>
                <w:rFonts w:ascii="Microsoft YaHei" w:hAnsi="Microsoft YaHei" w:eastAsia="Microsoft YaHei"/>
                <w:sz w:val="16"/>
              </w:rPr>
              <w:t>为管理员工作台提供有限的业务汇总</w:t>
            </w:r>
          </w:p>
        </w:tc>
        <w:tc>
          <w:tcPr>
            <w:tcW w:type="dxa" w:w="3096"/>
            <w:vAlign w:val="center"/>
            <w:tcMar>
              <w:top w:w="90" w:type="dxa"/>
              <w:start w:w="100" w:type="dxa"/>
              <w:bottom w:w="90" w:type="dxa"/>
              <w:end w:w="100" w:type="dxa"/>
            </w:tcMar>
          </w:tcPr>
          <w:p>
            <w:pPr>
              <w:spacing w:before="0" w:after="20"/>
            </w:pPr>
            <w:r>
              <w:rPr>
                <w:rFonts w:ascii="Microsoft YaHei" w:hAnsi="Microsoft YaHei" w:eastAsia="Microsoft YaHei"/>
                <w:sz w:val="16"/>
              </w:rPr>
              <w:t>后端聚合并执行项目/角色权限过滤；禁止直接暴露任意原始日志。</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/api/v1/models/{id}/activity</w:t>
            </w:r>
          </w:p>
        </w:tc>
        <w:tc>
          <w:tcPr>
            <w:tcW w:type="dxa" w:w="36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查看模型生命周期时间线</w:t>
            </w:r>
          </w:p>
        </w:tc>
        <w:tc>
          <w:tcPr>
            <w:tcW w:type="dxa" w:w="3096"/>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验证对象级权限；事件按时间倒序分页，敏感字段按需脱敏。</w:t>
            </w:r>
          </w:p>
        </w:tc>
      </w:tr>
    </w:tbl>
    <w:p>
      <w:pPr>
        <w:spacing w:after="0"/>
      </w:pPr>
    </w:p>
    <w:p>
      <w:pPr>
        <w:pStyle w:val="Heading1"/>
        <w:keepNext/>
      </w:pPr>
      <w:r>
        <w:t>27. 指标体系、看板与告警规则</w:t>
      </w:r>
    </w:p>
    <w:p>
      <w:pPr>
        <w:pStyle w:val="Heading2"/>
        <w:keepNext/>
      </w:pPr>
      <w:r>
        <w:t>27.1 指标分类与推荐口径</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66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4"/>
              </w:rPr>
              <w:t>指标名（建议）</w:t>
            </w:r>
          </w:p>
        </w:tc>
        <w:tc>
          <w:tcPr>
            <w:tcW w:type="dxa" w:w="374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4"/>
              </w:rPr>
              <w:t>含义/计算方式</w:t>
            </w:r>
          </w:p>
        </w:tc>
        <w:tc>
          <w:tcPr>
            <w:tcW w:type="dxa" w:w="180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4"/>
              </w:rPr>
              <w:t>维度/标签</w:t>
            </w:r>
          </w:p>
        </w:tc>
        <w:tc>
          <w:tcPr>
            <w:tcW w:type="dxa" w:w="158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4"/>
              </w:rPr>
              <w:t>用途</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http_server_requests_total</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HTTP 请求总数，按 outcome 与状态码族计数</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method、route_template、status_class、service</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流量、错误率；禁止带动态 ID 的 route 标签。</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http_server_request_duration_seconds</w:t>
            </w:r>
          </w:p>
        </w:tc>
        <w:tc>
          <w:tcPr>
            <w:tcW w:type="dxa" w:w="374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服务端请求延时直方图</w:t>
            </w:r>
          </w:p>
        </w:tc>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method、route_template、status_class</w:t>
            </w:r>
          </w:p>
        </w:tc>
        <w:tc>
          <w:tcPr>
            <w:tcW w:type="dxa" w:w="158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计算 P50/P95/P99，识别慢接口。</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db_pool_in_use / db_pool_max</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当前占用连接数 / 最大连接数</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service、pool_name</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发现连接池耗尽和容量不足。</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model_autosave_total</w:t>
            </w:r>
          </w:p>
        </w:tc>
        <w:tc>
          <w:tcPr>
            <w:tcW w:type="dxa" w:w="374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自动保存请求总数，按结果统计</w:t>
            </w:r>
          </w:p>
        </w:tc>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outcome、error_code</w:t>
            </w:r>
          </w:p>
        </w:tc>
        <w:tc>
          <w:tcPr>
            <w:tcW w:type="dxa" w:w="158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衡量保存稳定性。</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model_version_conflicts_total</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乐观锁冲突数</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operation</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发现多人并发编辑冲突。</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model_validation_duration_seconds</w:t>
            </w:r>
          </w:p>
        </w:tc>
        <w:tc>
          <w:tcPr>
            <w:tcW w:type="dxa" w:w="374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校验模型耗时分布</w:t>
            </w:r>
          </w:p>
        </w:tc>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rule_scope、result_class</w:t>
            </w:r>
          </w:p>
        </w:tc>
        <w:tc>
          <w:tcPr>
            <w:tcW w:type="dxa" w:w="158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定位全量校验性能瓶颈。</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model_validation_issues_total</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产生的校验问题数量</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severity、blocking、rule_code</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识别规范质量趋势；rule_code 标签需控制基数。</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ddl_generation_duration_seconds</w:t>
            </w:r>
          </w:p>
        </w:tc>
        <w:tc>
          <w:tcPr>
            <w:tcW w:type="dxa" w:w="374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DDL 生成耗时分布</w:t>
            </w:r>
          </w:p>
        </w:tc>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engine_code、result</w:t>
            </w:r>
          </w:p>
        </w:tc>
        <w:tc>
          <w:tcPr>
            <w:tcW w:type="dxa" w:w="158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比较引擎适配器性能。</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ddl_generation_failures_total</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DDL 生成失败累计数</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engine_code、error_class</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发现引擎兼容性或配置错误。</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review_pending_count</w:t>
            </w:r>
          </w:p>
        </w:tc>
        <w:tc>
          <w:tcPr>
            <w:tcW w:type="dxa" w:w="374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当前待评审任务数（业务汇总 Gauge）</w:t>
            </w:r>
          </w:p>
        </w:tc>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project_group 或 workflow_stage（受控维度）</w:t>
            </w:r>
          </w:p>
        </w:tc>
        <w:tc>
          <w:tcPr>
            <w:tcW w:type="dxa" w:w="158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发现评审积压。</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review_pending_age_seconds</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待评审任务的等待时长</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workflow_stage</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识别超期任务。</w:t>
            </w:r>
          </w:p>
        </w:tc>
      </w:tr>
      <w:tr>
        <w:trPr>
          <w:cantSplit/>
        </w:trPr>
        <w:tc>
          <w:tcPr>
            <w:tcW w:type="dxa" w:w="266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business_transition_duration_seconds</w:t>
            </w:r>
          </w:p>
        </w:tc>
        <w:tc>
          <w:tcPr>
            <w:tcW w:type="dxa" w:w="374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需求登记到发布各阶段耗时分布</w:t>
            </w:r>
          </w:p>
        </w:tc>
        <w:tc>
          <w:tcPr>
            <w:tcW w:type="dxa" w:w="1800"/>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from_stage、to_stage</w:t>
            </w:r>
          </w:p>
        </w:tc>
        <w:tc>
          <w:tcPr>
            <w:tcW w:type="dxa" w:w="1584"/>
            <w:vAlign w:val="center"/>
            <w:tcMar>
              <w:top w:w="90" w:type="dxa"/>
              <w:start w:w="100" w:type="dxa"/>
              <w:bottom w:w="90" w:type="dxa"/>
              <w:end w:w="100" w:type="dxa"/>
            </w:tcMar>
            <w:shd w:fill="F5F8FC"/>
          </w:tcPr>
          <w:p>
            <w:pPr>
              <w:spacing w:before="0" w:after="20"/>
            </w:pPr>
            <w:r>
              <w:rPr>
                <w:rFonts w:ascii="Microsoft YaHei" w:hAnsi="Microsoft YaHei" w:eastAsia="Microsoft YaHei"/>
                <w:sz w:val="14"/>
              </w:rPr>
              <w:t>识别流程瓶颈。</w:t>
            </w:r>
          </w:p>
        </w:tc>
      </w:tr>
      <w:tr>
        <w:trPr>
          <w:cantSplit/>
        </w:trPr>
        <w:tc>
          <w:tcPr>
            <w:tcW w:type="dxa" w:w="2664"/>
            <w:vAlign w:val="center"/>
            <w:tcMar>
              <w:top w:w="90" w:type="dxa"/>
              <w:start w:w="100" w:type="dxa"/>
              <w:bottom w:w="90" w:type="dxa"/>
              <w:end w:w="100" w:type="dxa"/>
            </w:tcMar>
          </w:tcPr>
          <w:p>
            <w:pPr>
              <w:spacing w:before="0" w:after="20"/>
            </w:pPr>
            <w:r>
              <w:rPr>
                <w:rFonts w:ascii="Microsoft YaHei" w:hAnsi="Microsoft YaHei" w:eastAsia="Microsoft YaHei"/>
                <w:sz w:val="14"/>
              </w:rPr>
              <w:t>ui_interaction_failure_total</w:t>
            </w:r>
          </w:p>
        </w:tc>
        <w:tc>
          <w:tcPr>
            <w:tcW w:type="dxa" w:w="3744"/>
            <w:vAlign w:val="center"/>
            <w:tcMar>
              <w:top w:w="90" w:type="dxa"/>
              <w:start w:w="100" w:type="dxa"/>
              <w:bottom w:w="90" w:type="dxa"/>
              <w:end w:w="100" w:type="dxa"/>
            </w:tcMar>
          </w:tcPr>
          <w:p>
            <w:pPr>
              <w:spacing w:before="0" w:after="20"/>
            </w:pPr>
            <w:r>
              <w:rPr>
                <w:rFonts w:ascii="Microsoft YaHei" w:hAnsi="Microsoft YaHei" w:eastAsia="Microsoft YaHei"/>
                <w:sz w:val="14"/>
              </w:rPr>
              <w:t>关键交互失败计数（不记录输入内容）</w:t>
            </w:r>
          </w:p>
        </w:tc>
        <w:tc>
          <w:tcPr>
            <w:tcW w:type="dxa" w:w="1800"/>
            <w:vAlign w:val="center"/>
            <w:tcMar>
              <w:top w:w="90" w:type="dxa"/>
              <w:start w:w="100" w:type="dxa"/>
              <w:bottom w:w="90" w:type="dxa"/>
              <w:end w:w="100" w:type="dxa"/>
            </w:tcMar>
          </w:tcPr>
          <w:p>
            <w:pPr>
              <w:spacing w:before="0" w:after="20"/>
            </w:pPr>
            <w:r>
              <w:rPr>
                <w:rFonts w:ascii="Microsoft YaHei" w:hAnsi="Microsoft YaHei" w:eastAsia="Microsoft YaHei"/>
                <w:sz w:val="14"/>
              </w:rPr>
              <w:t>event_code、failure_class</w:t>
            </w:r>
          </w:p>
        </w:tc>
        <w:tc>
          <w:tcPr>
            <w:tcW w:type="dxa" w:w="1584"/>
            <w:vAlign w:val="center"/>
            <w:tcMar>
              <w:top w:w="90" w:type="dxa"/>
              <w:start w:w="100" w:type="dxa"/>
              <w:bottom w:w="90" w:type="dxa"/>
              <w:end w:w="100" w:type="dxa"/>
            </w:tcMar>
          </w:tcPr>
          <w:p>
            <w:pPr>
              <w:spacing w:before="0" w:after="20"/>
            </w:pPr>
            <w:r>
              <w:rPr>
                <w:rFonts w:ascii="Microsoft YaHei" w:hAnsi="Microsoft YaHei" w:eastAsia="Microsoft YaHei"/>
                <w:sz w:val="14"/>
              </w:rPr>
              <w:t>发现用户体验故障。</w:t>
            </w:r>
          </w:p>
        </w:tc>
      </w:tr>
    </w:tbl>
    <w:p>
      <w:pPr>
        <w:spacing w:after="0"/>
      </w:pPr>
    </w:p>
    <w:p>
      <w:pPr>
        <w:keepLines w:val="0"/>
      </w:pPr>
      <w:r>
        <w:t>指标维度必须低基数。model_id、table_id、user_id、request_id、trace_id 不得作为指标标签；需要按具体对象调查时，通过事件/日志/Trace 查询。累计计数器采用 _total 后缀，耗时使用秒为单位的直方图，当前积压量用 Gauge。</w:t>
      </w:r>
    </w:p>
    <w:p>
      <w:pPr>
        <w:pStyle w:val="Heading2"/>
        <w:keepNext/>
      </w:pPr>
      <w:r>
        <w:t>27.2 首期看板设计</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94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看板</w:t>
            </w:r>
          </w:p>
        </w:tc>
        <w:tc>
          <w:tcPr>
            <w:tcW w:type="dxa" w:w="410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关键图表/卡片</w:t>
            </w:r>
          </w:p>
        </w:tc>
        <w:tc>
          <w:tcPr>
            <w:tcW w:type="dxa" w:w="165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主要使用者</w:t>
            </w:r>
          </w:p>
        </w:tc>
        <w:tc>
          <w:tcPr>
            <w:tcW w:type="dxa" w:w="208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典型问题</w:t>
            </w:r>
          </w:p>
        </w:tc>
      </w:tr>
      <w:tr>
        <w:trPr>
          <w:cantSplit/>
        </w:trPr>
        <w:tc>
          <w:tcPr>
            <w:tcW w:type="dxa" w:w="1944"/>
            <w:vAlign w:val="center"/>
            <w:tcMar>
              <w:top w:w="90" w:type="dxa"/>
              <w:start w:w="100" w:type="dxa"/>
              <w:bottom w:w="90" w:type="dxa"/>
              <w:end w:w="100" w:type="dxa"/>
            </w:tcMar>
          </w:tcPr>
          <w:p>
            <w:pPr>
              <w:spacing w:before="0" w:after="20"/>
            </w:pPr>
            <w:r>
              <w:rPr>
                <w:rFonts w:ascii="Microsoft YaHei" w:hAnsi="Microsoft YaHei" w:eastAsia="Microsoft YaHei"/>
                <w:sz w:val="15"/>
              </w:rPr>
              <w:t>平台运行健康</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可用性、请求速率、5xx 率、P95/P99、数据库连接池、查询延时、后台任务失败</w:t>
            </w:r>
          </w:p>
        </w:tc>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5"/>
              </w:rPr>
              <w:t>平台运维/研发</w:t>
            </w:r>
          </w:p>
        </w:tc>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服务整体是否稳定？故障从何时开始？</w:t>
            </w:r>
          </w:p>
        </w:tc>
      </w:tr>
      <w:tr>
        <w:trPr>
          <w:cantSplit/>
        </w:trPr>
        <w:tc>
          <w:tcPr>
            <w:tcW w:type="dxa" w:w="194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建模工作流</w:t>
            </w:r>
          </w:p>
        </w:tc>
        <w:tc>
          <w:tcPr>
            <w:tcW w:type="dxa" w:w="410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草稿数、待评审数、超期任务、校验阻断分布、版本发布量、需求至发布周期</w:t>
            </w:r>
          </w:p>
        </w:tc>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数据架构师/管理者</w:t>
            </w:r>
          </w:p>
        </w:tc>
        <w:tc>
          <w:tcPr>
            <w:tcW w:type="dxa" w:w="208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流程堵在调研、设计、校验还是评审？</w:t>
            </w:r>
          </w:p>
        </w:tc>
      </w:tr>
      <w:tr>
        <w:trPr>
          <w:cantSplit/>
        </w:trPr>
        <w:tc>
          <w:tcPr>
            <w:tcW w:type="dxa" w:w="1944"/>
            <w:vAlign w:val="center"/>
            <w:tcMar>
              <w:top w:w="90" w:type="dxa"/>
              <w:start w:w="100" w:type="dxa"/>
              <w:bottom w:w="90" w:type="dxa"/>
              <w:end w:w="100" w:type="dxa"/>
            </w:tcMar>
          </w:tcPr>
          <w:p>
            <w:pPr>
              <w:spacing w:before="0" w:after="20"/>
            </w:pPr>
            <w:r>
              <w:rPr>
                <w:rFonts w:ascii="Microsoft YaHei" w:hAnsi="Microsoft YaHei" w:eastAsia="Microsoft YaHei"/>
                <w:sz w:val="15"/>
              </w:rPr>
              <w:t>引擎适配质量</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按引擎统计 DDL 生成次数/失败率/耗时、未支持特性、配置版本</w:t>
            </w:r>
          </w:p>
        </w:tc>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5"/>
              </w:rPr>
              <w:t>平台研发/数据架构师</w:t>
            </w:r>
          </w:p>
        </w:tc>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哪类引擎或特性需要补齐？</w:t>
            </w:r>
          </w:p>
        </w:tc>
      </w:tr>
      <w:tr>
        <w:trPr>
          <w:cantSplit/>
        </w:trPr>
        <w:tc>
          <w:tcPr>
            <w:tcW w:type="dxa" w:w="194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交互效率</w:t>
            </w:r>
          </w:p>
        </w:tc>
        <w:tc>
          <w:tcPr>
            <w:tcW w:type="dxa" w:w="410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自动保存失败率、版本冲突、批量粘贴失败行比例、问题定位耗时、任务完成时长分位数</w:t>
            </w:r>
          </w:p>
        </w:tc>
        <w:tc>
          <w:tcPr>
            <w:tcW w:type="dxa" w:w="165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产品/研发</w:t>
            </w:r>
          </w:p>
        </w:tc>
        <w:tc>
          <w:tcPr>
            <w:tcW w:type="dxa" w:w="208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用户的主要摩擦点是什么？</w:t>
            </w:r>
          </w:p>
        </w:tc>
      </w:tr>
      <w:tr>
        <w:trPr>
          <w:cantSplit/>
        </w:trPr>
        <w:tc>
          <w:tcPr>
            <w:tcW w:type="dxa" w:w="1944"/>
            <w:vAlign w:val="center"/>
            <w:tcMar>
              <w:top w:w="90" w:type="dxa"/>
              <w:start w:w="100" w:type="dxa"/>
              <w:bottom w:w="90" w:type="dxa"/>
              <w:end w:w="100" w:type="dxa"/>
            </w:tcMar>
          </w:tcPr>
          <w:p>
            <w:pPr>
              <w:spacing w:before="0" w:after="20"/>
            </w:pPr>
            <w:r>
              <w:rPr>
                <w:rFonts w:ascii="Microsoft YaHei" w:hAnsi="Microsoft YaHei" w:eastAsia="Microsoft YaHei"/>
                <w:sz w:val="15"/>
              </w:rPr>
              <w:t>安全与审计</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拒绝访问事件、权限变更、异常导出、失败登录（来自身份系统时）、审计写入失败</w:t>
            </w:r>
          </w:p>
        </w:tc>
        <w:tc>
          <w:tcPr>
            <w:tcW w:type="dxa" w:w="1656"/>
            <w:vAlign w:val="center"/>
            <w:tcMar>
              <w:top w:w="90" w:type="dxa"/>
              <w:start w:w="100" w:type="dxa"/>
              <w:bottom w:w="90" w:type="dxa"/>
              <w:end w:w="100" w:type="dxa"/>
            </w:tcMar>
          </w:tcPr>
          <w:p>
            <w:pPr>
              <w:spacing w:before="0" w:after="20"/>
            </w:pPr>
            <w:r>
              <w:rPr>
                <w:rFonts w:ascii="Microsoft YaHei" w:hAnsi="Microsoft YaHei" w:eastAsia="Microsoft YaHei"/>
                <w:sz w:val="15"/>
              </w:rPr>
              <w:t>安全/平台管理员</w:t>
            </w:r>
          </w:p>
        </w:tc>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是否存在异常访问和审计缺失？</w:t>
            </w:r>
          </w:p>
        </w:tc>
      </w:tr>
    </w:tbl>
    <w:p>
      <w:pPr>
        <w:spacing w:after="0"/>
      </w:pPr>
    </w:p>
    <w:p>
      <w:pPr>
        <w:pStyle w:val="Heading2"/>
        <w:keepNext/>
      </w:pPr>
      <w:r>
        <w:t>27.3 建议 SLI/SLO 与初始告警</w:t>
      </w:r>
    </w:p>
    <w:p>
      <w:pPr>
        <w:keepLines w:val="0"/>
      </w:pPr>
      <w:r>
        <w:t>以下为 MVP 初始目标，不是对生产环境的最终承诺。应根据部署规模、用户量、引擎耗时和真实基线在试点后调整。</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指标/告警</w:t>
            </w:r>
          </w:p>
        </w:tc>
        <w:tc>
          <w:tcPr>
            <w:tcW w:type="dxa" w:w="360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初始阈值建议</w:t>
            </w:r>
          </w:p>
        </w:tc>
        <w:tc>
          <w:tcPr>
            <w:tcW w:type="dxa" w:w="410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持续条件/行动</w:t>
            </w:r>
          </w:p>
        </w:tc>
      </w:tr>
      <w:tr>
        <w:trPr>
          <w:cantSplit/>
        </w:trPr>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API 可用性 SLO</w:t>
            </w:r>
          </w:p>
        </w:tc>
        <w:tc>
          <w:tcPr>
            <w:tcW w:type="dxa" w:w="3600"/>
            <w:vAlign w:val="center"/>
            <w:tcMar>
              <w:top w:w="90" w:type="dxa"/>
              <w:start w:w="100" w:type="dxa"/>
              <w:bottom w:w="90" w:type="dxa"/>
              <w:end w:w="100" w:type="dxa"/>
            </w:tcMar>
          </w:tcPr>
          <w:p>
            <w:pPr>
              <w:spacing w:before="0" w:after="20"/>
            </w:pPr>
            <w:r>
              <w:rPr>
                <w:rFonts w:ascii="Microsoft YaHei" w:hAnsi="Microsoft YaHei" w:eastAsia="Microsoft YaHei"/>
                <w:sz w:val="15"/>
              </w:rPr>
              <w:t>月度 99.5%（排除经批准的维护窗口需提前定义）</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低于目标时复盘错误预算；计算口径必须在上线前固定。</w:t>
            </w:r>
          </w:p>
        </w:tc>
      </w:tr>
      <w:tr>
        <w:trPr>
          <w:cantSplit/>
        </w:trPr>
        <w:tc>
          <w:tcPr>
            <w:tcW w:type="dxa" w:w="208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核心读接口 P95</w:t>
            </w:r>
          </w:p>
        </w:tc>
        <w:tc>
          <w:tcPr>
            <w:tcW w:type="dxa" w:w="3600"/>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 500 ms</w:t>
            </w:r>
          </w:p>
        </w:tc>
        <w:tc>
          <w:tcPr>
            <w:tcW w:type="dxa" w:w="410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连续 10 分钟超阈值：查看慢查询、缓存/索引和请求分布。</w:t>
            </w:r>
          </w:p>
        </w:tc>
      </w:tr>
      <w:tr>
        <w:trPr>
          <w:cantSplit/>
        </w:trPr>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草稿保存 P95</w:t>
            </w:r>
          </w:p>
        </w:tc>
        <w:tc>
          <w:tcPr>
            <w:tcW w:type="dxa" w:w="3600"/>
            <w:vAlign w:val="center"/>
            <w:tcMar>
              <w:top w:w="90" w:type="dxa"/>
              <w:start w:w="100" w:type="dxa"/>
              <w:bottom w:w="90" w:type="dxa"/>
              <w:end w:w="100" w:type="dxa"/>
            </w:tcMar>
          </w:tcPr>
          <w:p>
            <w:pPr>
              <w:spacing w:before="0" w:after="20"/>
            </w:pPr>
            <w:r>
              <w:rPr>
                <w:rFonts w:ascii="Microsoft YaHei" w:hAnsi="Microsoft YaHei" w:eastAsia="Microsoft YaHei"/>
                <w:sz w:val="15"/>
              </w:rPr>
              <w:t>≤ 800 ms（不含客户端网络与目标引擎执行）</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连续 10 分钟超阈值或失败率异常：检查 DB/锁/序列化。</w:t>
            </w:r>
          </w:p>
        </w:tc>
      </w:tr>
      <w:tr>
        <w:trPr>
          <w:cantSplit/>
        </w:trPr>
        <w:tc>
          <w:tcPr>
            <w:tcW w:type="dxa" w:w="208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自动保存失败率</w:t>
            </w:r>
          </w:p>
        </w:tc>
        <w:tc>
          <w:tcPr>
            <w:tcW w:type="dxa" w:w="3600"/>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5 分钟窗口 &gt; 2% 告警；&gt; 5% 高优先级</w:t>
            </w:r>
          </w:p>
        </w:tc>
        <w:tc>
          <w:tcPr>
            <w:tcW w:type="dxa" w:w="410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按 error_code 分类；若为版本冲突，单独观测不可简单归为系统错误。</w:t>
            </w:r>
          </w:p>
        </w:tc>
      </w:tr>
      <w:tr>
        <w:trPr>
          <w:cantSplit/>
        </w:trPr>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服务端 5xx 比例</w:t>
            </w:r>
          </w:p>
        </w:tc>
        <w:tc>
          <w:tcPr>
            <w:tcW w:type="dxa" w:w="3600"/>
            <w:vAlign w:val="center"/>
            <w:tcMar>
              <w:top w:w="90" w:type="dxa"/>
              <w:start w:w="100" w:type="dxa"/>
              <w:bottom w:w="90" w:type="dxa"/>
              <w:end w:w="100" w:type="dxa"/>
            </w:tcMar>
          </w:tcPr>
          <w:p>
            <w:pPr>
              <w:spacing w:before="0" w:after="20"/>
            </w:pPr>
            <w:r>
              <w:rPr>
                <w:rFonts w:ascii="Microsoft YaHei" w:hAnsi="Microsoft YaHei" w:eastAsia="Microsoft YaHei"/>
                <w:sz w:val="15"/>
              </w:rPr>
              <w:t>5 分钟窗口 &gt; 3% 告警，&gt; 5% 高优先级</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按 route_template 和服务版本定位，告警消息附仪表盘链接。</w:t>
            </w:r>
          </w:p>
        </w:tc>
      </w:tr>
      <w:tr>
        <w:trPr>
          <w:cantSplit/>
        </w:trPr>
        <w:tc>
          <w:tcPr>
            <w:tcW w:type="dxa" w:w="208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DB 连接池使用率</w:t>
            </w:r>
          </w:p>
        </w:tc>
        <w:tc>
          <w:tcPr>
            <w:tcW w:type="dxa" w:w="3600"/>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&gt; 80% 持续 10 分钟预警；&gt; 95% 高优先级</w:t>
            </w:r>
          </w:p>
        </w:tc>
        <w:tc>
          <w:tcPr>
            <w:tcW w:type="dxa" w:w="410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联合检查连接泄漏、慢事务与容量，不单纯提高连接上限。</w:t>
            </w:r>
          </w:p>
        </w:tc>
      </w:tr>
      <w:tr>
        <w:trPr>
          <w:cantSplit/>
        </w:trPr>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DDL 生成失败率</w:t>
            </w:r>
          </w:p>
        </w:tc>
        <w:tc>
          <w:tcPr>
            <w:tcW w:type="dxa" w:w="3600"/>
            <w:vAlign w:val="center"/>
            <w:tcMar>
              <w:top w:w="90" w:type="dxa"/>
              <w:start w:w="100" w:type="dxa"/>
              <w:bottom w:w="90" w:type="dxa"/>
              <w:end w:w="100" w:type="dxa"/>
            </w:tcMar>
          </w:tcPr>
          <w:p>
            <w:pPr>
              <w:spacing w:before="0" w:after="20"/>
            </w:pPr>
            <w:r>
              <w:rPr>
                <w:rFonts w:ascii="Microsoft YaHei" w:hAnsi="Microsoft YaHei" w:eastAsia="Microsoft YaHei"/>
                <w:sz w:val="15"/>
              </w:rPr>
              <w:t>单引擎 15 分钟窗口 &gt; 5% 或连续失败 5 次</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对引擎分开告警；附 engine_code、profile_version 和错误分类。</w:t>
            </w:r>
          </w:p>
        </w:tc>
      </w:tr>
      <w:tr>
        <w:trPr>
          <w:cantSplit/>
        </w:trPr>
        <w:tc>
          <w:tcPr>
            <w:tcW w:type="dxa" w:w="208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待评审超期</w:t>
            </w:r>
          </w:p>
        </w:tc>
        <w:tc>
          <w:tcPr>
            <w:tcW w:type="dxa" w:w="3600"/>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待评审 &gt; 3 个工作日（可配置）</w:t>
            </w:r>
          </w:p>
        </w:tc>
        <w:tc>
          <w:tcPr>
            <w:tcW w:type="dxa" w:w="410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向评审负责人和工作台发通知；节假日口径需按企业配置。</w:t>
            </w:r>
          </w:p>
        </w:tc>
      </w:tr>
      <w:tr>
        <w:trPr>
          <w:cantSplit/>
        </w:trPr>
        <w:tc>
          <w:tcPr>
            <w:tcW w:type="dxa" w:w="2088"/>
            <w:vAlign w:val="center"/>
            <w:tcMar>
              <w:top w:w="90" w:type="dxa"/>
              <w:start w:w="100" w:type="dxa"/>
              <w:bottom w:w="90" w:type="dxa"/>
              <w:end w:w="100" w:type="dxa"/>
            </w:tcMar>
          </w:tcPr>
          <w:p>
            <w:pPr>
              <w:spacing w:before="0" w:after="20"/>
            </w:pPr>
            <w:r>
              <w:rPr>
                <w:rFonts w:ascii="Microsoft YaHei" w:hAnsi="Microsoft YaHei" w:eastAsia="Microsoft YaHei"/>
                <w:sz w:val="15"/>
              </w:rPr>
              <w:t>审计写入失败</w:t>
            </w:r>
          </w:p>
        </w:tc>
        <w:tc>
          <w:tcPr>
            <w:tcW w:type="dxa" w:w="3600"/>
            <w:vAlign w:val="center"/>
            <w:tcMar>
              <w:top w:w="90" w:type="dxa"/>
              <w:start w:w="100" w:type="dxa"/>
              <w:bottom w:w="90" w:type="dxa"/>
              <w:end w:w="100" w:type="dxa"/>
            </w:tcMar>
          </w:tcPr>
          <w:p>
            <w:pPr>
              <w:spacing w:before="0" w:after="20"/>
            </w:pPr>
            <w:r>
              <w:rPr>
                <w:rFonts w:ascii="Microsoft YaHei" w:hAnsi="Microsoft YaHei" w:eastAsia="Microsoft YaHei"/>
                <w:sz w:val="15"/>
              </w:rPr>
              <w:t>任意关键操作无法完成审计写入</w:t>
            </w:r>
          </w:p>
        </w:tc>
        <w:tc>
          <w:tcPr>
            <w:tcW w:type="dxa" w:w="4104"/>
            <w:vAlign w:val="center"/>
            <w:tcMar>
              <w:top w:w="90" w:type="dxa"/>
              <w:start w:w="100" w:type="dxa"/>
              <w:bottom w:w="90" w:type="dxa"/>
              <w:end w:w="100" w:type="dxa"/>
            </w:tcMar>
          </w:tcPr>
          <w:p>
            <w:pPr>
              <w:spacing w:before="0" w:after="20"/>
            </w:pPr>
            <w:r>
              <w:rPr>
                <w:rFonts w:ascii="Microsoft YaHei" w:hAnsi="Microsoft YaHei" w:eastAsia="Microsoft YaHei"/>
                <w:sz w:val="15"/>
              </w:rPr>
              <w:t>关键安全/发布操作默认失败关闭或进入持久化补偿队列，不能静默丢失审计。</w:t>
            </w:r>
          </w:p>
        </w:tc>
      </w:tr>
    </w:tbl>
    <w:p>
      <w:pPr>
        <w:spacing w:after="0"/>
      </w:pPr>
    </w:p>
    <w:p>
      <w:pPr>
        <w:pStyle w:val="Heading2"/>
        <w:keepNext/>
      </w:pPr>
      <w:r>
        <w:t>27.4 可观测性事件和留存</w:t>
      </w:r>
    </w:p>
    <w:p>
      <w:pPr>
        <w:pStyle w:val="ListBullet"/>
        <w:spacing w:after="60"/>
      </w:pPr>
      <w:r>
        <w:t>建议关键业务事件在与状态变更相同的数据库事务中写入活动事件表，或采用事务性 Outbox；禁止出现“模型已发布但完全没有对应事件”的静默缺口。</w:t>
      </w:r>
    </w:p>
    <w:p>
      <w:pPr>
        <w:pStyle w:val="ListBullet"/>
        <w:spacing w:after="60"/>
      </w:pPr>
      <w:r>
        <w:t>技术指标与 Trace 可按基础设施策略保留；应用日志可先以 30 天作为试点默认值；业务活动事件建议先以 180 天作为可配置默认值；安全审计保留期必须以企业制度/法律要求为准。以上为建议值，不是通用合规结论。</w:t>
      </w:r>
    </w:p>
    <w:p>
      <w:pPr>
        <w:pStyle w:val="ListBullet"/>
        <w:spacing w:after="60"/>
      </w:pPr>
      <w:r>
        <w:t>告警必须指向下一步排查路径：包含环境、服务、时间窗口、影响范围、关联 Trace/日志查询入口和 runbook；不要只发送一条“服务异常”。</w:t>
      </w:r>
    </w:p>
    <w:p>
      <w:pPr>
        <w:pStyle w:val="Heading1"/>
        <w:keepNext/>
      </w:pPr>
      <w:r>
        <w:t>28. 交互效率与可观测性验收标准</w:t>
      </w:r>
    </w:p>
    <w:p>
      <w:pPr>
        <w:pStyle w:val="Heading2"/>
        <w:keepNext/>
      </w:pPr>
      <w:r>
        <w:t>28.1 可用性测试场景</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00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编号</w:t>
            </w:r>
          </w:p>
        </w:tc>
        <w:tc>
          <w:tcPr>
            <w:tcW w:type="dxa" w:w="316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场景</w:t>
            </w:r>
          </w:p>
        </w:tc>
        <w:tc>
          <w:tcPr>
            <w:tcW w:type="dxa" w:w="5616"/>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验收标准</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UX-01</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创建模型并编辑 20 个字段</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无需每个字段打开独立弹窗；支持行内编辑与键盘导航；保存状态持续可见。</w:t>
            </w:r>
          </w:p>
        </w:tc>
      </w:tr>
      <w:tr>
        <w:trPr>
          <w:cantSplit/>
        </w:trPr>
        <w:tc>
          <w:tcPr>
            <w:tcW w:type="dxa" w:w="100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UX-02</w:t>
            </w:r>
          </w:p>
        </w:tc>
        <w:tc>
          <w:tcPr>
            <w:tcW w:type="dxa" w:w="316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从 Excel 粘贴 50 行字段</w:t>
            </w:r>
          </w:p>
        </w:tc>
        <w:tc>
          <w:tcPr>
            <w:tcW w:type="dxa" w:w="561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显示新增/更新/重复/无效统计；用户确认前不提交；失败行可导出或复制。</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UX-03</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有 3 个校验错误和 5 个警告</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按严重程度分组；点击每项能定位到准确对象和属性；错误说明可读且有修复建议。</w:t>
            </w:r>
          </w:p>
        </w:tc>
      </w:tr>
      <w:tr>
        <w:trPr>
          <w:cantSplit/>
        </w:trPr>
        <w:tc>
          <w:tcPr>
            <w:tcW w:type="dxa" w:w="100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UX-04</w:t>
            </w:r>
          </w:p>
        </w:tc>
        <w:tc>
          <w:tcPr>
            <w:tcW w:type="dxa" w:w="316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两名用户同时编辑同一版本</w:t>
            </w:r>
          </w:p>
        </w:tc>
        <w:tc>
          <w:tcPr>
            <w:tcW w:type="dxa" w:w="561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后保存者得到明确冲突信息；页面内容不丢；可以查看服务器版本与本地改动。</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UX-05</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网络短暂中断导致自动保存失败</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保留当前未提交编辑；出现可理解的错误和重试入口；不得误报已保存。</w:t>
            </w:r>
          </w:p>
        </w:tc>
      </w:tr>
      <w:tr>
        <w:trPr>
          <w:cantSplit/>
        </w:trPr>
        <w:tc>
          <w:tcPr>
            <w:tcW w:type="dxa" w:w="100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UX-06</w:t>
            </w:r>
          </w:p>
        </w:tc>
        <w:tc>
          <w:tcPr>
            <w:tcW w:type="dxa" w:w="316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评审者查看版本差异</w:t>
            </w:r>
          </w:p>
        </w:tc>
        <w:tc>
          <w:tcPr>
            <w:tcW w:type="dxa" w:w="561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能识别增加/删除/改动及高风险字段变化；意见可以锚定字段并被追踪处理。</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UX-07</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键盘完成核心任务</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不依赖鼠标完成模型搜索、字段编辑、保存、查看问题和定位错误；焦点状态可见。</w:t>
            </w:r>
          </w:p>
        </w:tc>
      </w:tr>
      <w:tr>
        <w:trPr>
          <w:cantSplit/>
        </w:trPr>
        <w:tc>
          <w:tcPr>
            <w:tcW w:type="dxa" w:w="100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OBS-01</w:t>
            </w:r>
          </w:p>
        </w:tc>
        <w:tc>
          <w:tcPr>
            <w:tcW w:type="dxa" w:w="316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一次保存 API 请求</w:t>
            </w:r>
          </w:p>
        </w:tc>
        <w:tc>
          <w:tcPr>
            <w:tcW w:type="dxa" w:w="561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日志含 request_id/trace_id/outcome/duration/error_code；可通过 trace_id 查询跨服务调用。</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OBS-02</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提交评审与发布</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每次状态迁移都有活动事件和必要的审计记录；事件可按模型查看时间线。</w:t>
            </w:r>
          </w:p>
        </w:tc>
      </w:tr>
      <w:tr>
        <w:trPr>
          <w:cantSplit/>
        </w:trPr>
        <w:tc>
          <w:tcPr>
            <w:tcW w:type="dxa" w:w="100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OBS-03</w:t>
            </w:r>
          </w:p>
        </w:tc>
        <w:tc>
          <w:tcPr>
            <w:tcW w:type="dxa" w:w="316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模拟 DDL 生成失败</w:t>
            </w:r>
          </w:p>
        </w:tc>
        <w:tc>
          <w:tcPr>
            <w:tcW w:type="dxa" w:w="561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失败率指标递增；错误日志不含秘密或请求体全文；告警/看板可按引擎分组。</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OBS-04</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跨项目越权读取</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返回受控错误；记录安全审计；不泄漏对象名称或数据内容。</w:t>
            </w:r>
          </w:p>
        </w:tc>
      </w:tr>
      <w:tr>
        <w:trPr>
          <w:cantSplit/>
        </w:trPr>
        <w:tc>
          <w:tcPr>
            <w:tcW w:type="dxa" w:w="100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OBS-05</w:t>
            </w:r>
          </w:p>
        </w:tc>
        <w:tc>
          <w:tcPr>
            <w:tcW w:type="dxa" w:w="316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关闭事件写入依赖或制造失败</w:t>
            </w:r>
          </w:p>
        </w:tc>
        <w:tc>
          <w:tcPr>
            <w:tcW w:type="dxa" w:w="5616"/>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关键状态迁移不能在无记录情况下静默成功；行为符合事务/Outbox 策略。</w:t>
            </w:r>
          </w:p>
        </w:tc>
      </w:tr>
      <w:tr>
        <w:trPr>
          <w:cantSplit/>
        </w:trPr>
        <w:tc>
          <w:tcPr>
            <w:tcW w:type="dxa" w:w="1008"/>
            <w:vAlign w:val="center"/>
            <w:tcMar>
              <w:top w:w="90" w:type="dxa"/>
              <w:start w:w="100" w:type="dxa"/>
              <w:bottom w:w="90" w:type="dxa"/>
              <w:end w:w="100" w:type="dxa"/>
            </w:tcMar>
          </w:tcPr>
          <w:p>
            <w:pPr>
              <w:spacing w:before="0" w:after="20"/>
            </w:pPr>
            <w:r>
              <w:rPr>
                <w:rFonts w:ascii="Microsoft YaHei" w:hAnsi="Microsoft YaHei" w:eastAsia="Microsoft YaHei"/>
                <w:sz w:val="15"/>
              </w:rPr>
              <w:t>OBS-06</w:t>
            </w:r>
          </w:p>
        </w:tc>
        <w:tc>
          <w:tcPr>
            <w:tcW w:type="dxa" w:w="3168"/>
            <w:vAlign w:val="center"/>
            <w:tcMar>
              <w:top w:w="90" w:type="dxa"/>
              <w:start w:w="100" w:type="dxa"/>
              <w:bottom w:w="90" w:type="dxa"/>
              <w:end w:w="100" w:type="dxa"/>
            </w:tcMar>
          </w:tcPr>
          <w:p>
            <w:pPr>
              <w:spacing w:before="0" w:after="20"/>
            </w:pPr>
            <w:r>
              <w:rPr>
                <w:rFonts w:ascii="Microsoft YaHei" w:hAnsi="Microsoft YaHei" w:eastAsia="Microsoft YaHei"/>
                <w:sz w:val="15"/>
              </w:rPr>
              <w:t>检查 /metrics 与健康端点</w:t>
            </w:r>
          </w:p>
        </w:tc>
        <w:tc>
          <w:tcPr>
            <w:tcW w:type="dxa" w:w="5616"/>
            <w:vAlign w:val="center"/>
            <w:tcMar>
              <w:top w:w="90" w:type="dxa"/>
              <w:start w:w="100" w:type="dxa"/>
              <w:bottom w:w="90" w:type="dxa"/>
              <w:end w:w="100" w:type="dxa"/>
            </w:tcMar>
          </w:tcPr>
          <w:p>
            <w:pPr>
              <w:spacing w:before="0" w:after="20"/>
            </w:pPr>
            <w:r>
              <w:rPr>
                <w:rFonts w:ascii="Microsoft YaHei" w:hAnsi="Microsoft YaHei" w:eastAsia="Microsoft YaHei"/>
                <w:sz w:val="15"/>
              </w:rPr>
              <w:t>指标端点不暴露敏感业务数据；live/readiness 语义区分明确；外部不可未授权访问内部诊断。</w:t>
            </w:r>
          </w:p>
        </w:tc>
      </w:tr>
    </w:tbl>
    <w:p>
      <w:pPr>
        <w:spacing w:after="0"/>
      </w:pPr>
    </w:p>
    <w:p>
      <w:pPr>
        <w:pStyle w:val="Heading2"/>
        <w:keepNext/>
      </w:pPr>
      <w:r>
        <w:t>28.2 推荐的易用性试点方法</w:t>
      </w:r>
    </w:p>
    <w:p>
      <w:pPr>
        <w:keepLines w:val="0"/>
      </w:pPr>
      <w:r>
        <w:t>在全面开发前可进行 5–8 名典型用户的任务测试，覆盖建模开发人员、数据架构师和评审人。记录每个任务的完成率、耗时、错误数、求助次数和主观难度；只观察工作流必要信息，不采集与产品目标无关的个人行为。基线值形成后，再把关键任务中位耗时、失败率和错误恢复耗时纳入迭代目标。</w:t>
      </w:r>
    </w:p>
    <w:p>
      <w:pPr>
        <w:pStyle w:val="Heading2"/>
        <w:keepNext/>
      </w:pPr>
      <w:r>
        <w:t>28.3 Definition of Done 增补</w:t>
      </w:r>
    </w:p>
    <w:p>
      <w:pPr>
        <w:pStyle w:val="ListBullet"/>
        <w:spacing w:after="60"/>
      </w:pPr>
      <w:r>
        <w:t>关键页面包含加载态、空态、无结果态、错误态、权限不足态和成功反馈；主流程不会因为局部组件失败而丢失已编辑内容。</w:t>
      </w:r>
    </w:p>
    <w:p>
      <w:pPr>
        <w:pStyle w:val="ListBullet"/>
        <w:spacing w:after="60"/>
      </w:pPr>
      <w:r>
        <w:t>所有写操作有服务端鉴权、状态迁移校验、并发控制和标准化错误响应；前端隐藏按钮不作为权限控制。</w:t>
      </w:r>
    </w:p>
    <w:p>
      <w:pPr>
        <w:pStyle w:val="ListBullet"/>
        <w:spacing w:after="60"/>
      </w:pPr>
      <w:r>
        <w:t>关键业务状态迁移产生业务事件；安全/发布等操作产生审计；应用日志与 Trace 可用 request_id 关联。</w:t>
      </w:r>
    </w:p>
    <w:p>
      <w:pPr>
        <w:pStyle w:val="ListBullet"/>
        <w:spacing w:after="60"/>
      </w:pPr>
      <w:r>
        <w:t>关键性能指标、初始告警、仪表盘与 runbook 与功能一起交付；告警经过模拟故障验证，不只保证配置文件存在。</w:t>
      </w:r>
    </w:p>
    <w:p>
      <w:pPr>
        <w:pStyle w:val="ListBullet"/>
        <w:spacing w:after="60"/>
      </w:pPr>
      <w:r>
        <w:t>所有交互埋点均有事件代码、触发时机、属性白名单、隐私审查和采样策略；不记录字段值样例或完整用户输入。</w:t>
      </w:r>
    </w:p>
    <w:p>
      <w:pPr>
        <w:pStyle w:val="Heading1"/>
        <w:keepNext/>
      </w:pPr>
      <w:r>
        <w:t>附录 E. 交互事件字典与指标口径</w:t>
      </w:r>
    </w:p>
    <w:p>
      <w:pPr>
        <w:pStyle w:val="Heading2"/>
        <w:keepNext/>
      </w:pPr>
      <w:r>
        <w:t>E.1 业务活动事件代码</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23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事件代码</w:t>
            </w:r>
          </w:p>
        </w:tc>
        <w:tc>
          <w:tcPr>
            <w:tcW w:type="dxa" w:w="259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触发点</w:t>
            </w:r>
          </w:p>
        </w:tc>
        <w:tc>
          <w:tcPr>
            <w:tcW w:type="dxa" w:w="338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必要属性（白名单）</w:t>
            </w:r>
          </w:p>
        </w:tc>
        <w:tc>
          <w:tcPr>
            <w:tcW w:type="dxa" w:w="1728"/>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5"/>
              </w:rPr>
              <w:t>事件目的</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5"/>
              </w:rPr>
              <w:t>requirement.created</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5"/>
              </w:rPr>
              <w:t>业务需求创建事务提交后</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5"/>
              </w:rPr>
              <w:t>project_id、requirement_id、actor_user_id、request_id</w:t>
            </w:r>
          </w:p>
        </w:tc>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5"/>
              </w:rPr>
              <w:t>计算需求量、创建成功率。</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requirement.updated</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需求关键字段更新后</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requirement_id、changed_field_codes（不含值）</w:t>
            </w:r>
          </w:p>
        </w:tc>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追踪需求完善过程。</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5"/>
              </w:rPr>
              <w:t>model.draft.created</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5"/>
              </w:rPr>
              <w:t>模型身份或草稿版本创建后</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5"/>
              </w:rPr>
              <w:t>model_id、version_id、model_kind、project_id</w:t>
            </w:r>
          </w:p>
        </w:tc>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5"/>
              </w:rPr>
              <w:t>统计模型创建漏斗。</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model.draft.saved</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草稿保存成功后</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model_id、version_id、save_source、duration_ms、field_count_bucket</w:t>
            </w:r>
          </w:p>
        </w:tc>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观察自动保存成功率和耗时。</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5"/>
              </w:rPr>
              <w:t>model.version.conflict</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5"/>
              </w:rPr>
              <w:t>并发控制发现版本冲突时</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5"/>
              </w:rPr>
              <w:t>model_id、version_id、conflict_type</w:t>
            </w:r>
          </w:p>
        </w:tc>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5"/>
              </w:rPr>
              <w:t>追踪多人编辑摩擦。</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model.validation.completed</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一次校验完成后</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model_id、version_id、result_count、blocking_count、duration_ms、rule_set_version</w:t>
            </w:r>
          </w:p>
        </w:tc>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观察模型规范质量及校验性能。</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5"/>
              </w:rPr>
              <w:t>review.submitted</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5"/>
              </w:rPr>
              <w:t>版本提交评审成功后</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5"/>
              </w:rPr>
              <w:t>model_id、version_id、review_task_id</w:t>
            </w:r>
          </w:p>
        </w:tc>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5"/>
              </w:rPr>
              <w:t>测量评审等待时间。</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review.decided</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评审决策事务提交后</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model_id、version_id、decision_code、elapsed_seconds</w:t>
            </w:r>
          </w:p>
        </w:tc>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衡量评审周期与驳回情况。</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5"/>
              </w:rPr>
              <w:t>model.version.published</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5"/>
              </w:rPr>
              <w:t>模型版本发布事务提交后</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5"/>
              </w:rPr>
              <w:t>model_id、version_id、publisher、checksum</w:t>
            </w:r>
          </w:p>
        </w:tc>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5"/>
              </w:rPr>
              <w:t>记录发布并计算需求至发布周期。</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ddl.generated</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DDL 工件持久化成功后</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version_id、engine_code、profile_version、generator_version、checksum、duration_ms</w:t>
            </w:r>
          </w:p>
        </w:tc>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评估引擎适配质量。</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5"/>
              </w:rPr>
              <w:t>ddl.generation.failed</w:t>
            </w:r>
          </w:p>
        </w:tc>
        <w:tc>
          <w:tcPr>
            <w:tcW w:type="dxa" w:w="2592"/>
            <w:vAlign w:val="center"/>
            <w:tcMar>
              <w:top w:w="90" w:type="dxa"/>
              <w:start w:w="100" w:type="dxa"/>
              <w:bottom w:w="90" w:type="dxa"/>
              <w:end w:w="100" w:type="dxa"/>
            </w:tcMar>
          </w:tcPr>
          <w:p>
            <w:pPr>
              <w:spacing w:before="0" w:after="20"/>
            </w:pPr>
            <w:r>
              <w:rPr>
                <w:rFonts w:ascii="Microsoft YaHei" w:hAnsi="Microsoft YaHei" w:eastAsia="Microsoft YaHei"/>
                <w:sz w:val="15"/>
              </w:rPr>
              <w:t>DDL 生成失败后</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5"/>
              </w:rPr>
              <w:t>version_id、engine_code、error_class、request_id</w:t>
            </w:r>
          </w:p>
        </w:tc>
        <w:tc>
          <w:tcPr>
            <w:tcW w:type="dxa" w:w="1728"/>
            <w:vAlign w:val="center"/>
            <w:tcMar>
              <w:top w:w="90" w:type="dxa"/>
              <w:start w:w="100" w:type="dxa"/>
              <w:bottom w:w="90" w:type="dxa"/>
              <w:end w:w="100" w:type="dxa"/>
            </w:tcMar>
          </w:tcPr>
          <w:p>
            <w:pPr>
              <w:spacing w:before="0" w:after="20"/>
            </w:pPr>
            <w:r>
              <w:rPr>
                <w:rFonts w:ascii="Microsoft YaHei" w:hAnsi="Microsoft YaHei" w:eastAsia="Microsoft YaHei"/>
                <w:sz w:val="15"/>
              </w:rPr>
              <w:t>分组分析失败，避免写入敏感 SQL 正文。</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export.completed</w:t>
            </w:r>
          </w:p>
        </w:tc>
        <w:tc>
          <w:tcPr>
            <w:tcW w:type="dxa" w:w="2592"/>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文件导出结束后</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project_id、export_type、object_count_bucket、result</w:t>
            </w:r>
          </w:p>
        </w:tc>
        <w:tc>
          <w:tcPr>
            <w:tcW w:type="dxa" w:w="1728"/>
            <w:vAlign w:val="center"/>
            <w:tcMar>
              <w:top w:w="90" w:type="dxa"/>
              <w:start w:w="100" w:type="dxa"/>
              <w:bottom w:w="90" w:type="dxa"/>
              <w:end w:w="100" w:type="dxa"/>
            </w:tcMar>
            <w:shd w:fill="F5F8FC"/>
          </w:tcPr>
          <w:p>
            <w:pPr>
              <w:spacing w:before="0" w:after="20"/>
            </w:pPr>
            <w:r>
              <w:rPr>
                <w:rFonts w:ascii="Microsoft YaHei" w:hAnsi="Microsoft YaHei" w:eastAsia="Microsoft YaHei"/>
                <w:sz w:val="15"/>
              </w:rPr>
              <w:t>审计与观察导出可靠性。</w:t>
            </w:r>
          </w:p>
        </w:tc>
      </w:tr>
    </w:tbl>
    <w:p>
      <w:pPr>
        <w:spacing w:after="0"/>
      </w:pPr>
    </w:p>
    <w:p>
      <w:pPr>
        <w:keepLines w:val="0"/>
      </w:pPr>
      <w:r>
        <w:t>业务事件 payload 只存必要的属性。诸如模型名称、字段名称等人可读信息可以在有权限时按对象 ID 回查；默认不把完整模型快照、字段值或用户自由输入复制进事件表。对于影响审计的关键事件，应用需在同一事务写事件/审计或使用 Outbox，确保一致性。</w:t>
      </w:r>
    </w:p>
    <w:p>
      <w:pPr>
        <w:pStyle w:val="Heading2"/>
        <w:keepNext/>
      </w:pPr>
      <w:r>
        <w:t>E.2 体验指标口径</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指标</w:t>
            </w:r>
          </w:p>
        </w:tc>
        <w:tc>
          <w:tcPr>
            <w:tcW w:type="dxa" w:w="446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口径</w:t>
            </w:r>
          </w:p>
        </w:tc>
        <w:tc>
          <w:tcPr>
            <w:tcW w:type="dxa" w:w="288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注意事项</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自动保存成功率</w:t>
            </w:r>
          </w:p>
        </w:tc>
        <w:tc>
          <w:tcPr>
            <w:tcW w:type="dxa" w:w="4464"/>
            <w:vAlign w:val="center"/>
            <w:tcMar>
              <w:top w:w="90" w:type="dxa"/>
              <w:start w:w="100" w:type="dxa"/>
              <w:bottom w:w="90" w:type="dxa"/>
              <w:end w:w="100" w:type="dxa"/>
            </w:tcMar>
          </w:tcPr>
          <w:p>
            <w:pPr>
              <w:spacing w:before="0" w:after="20"/>
            </w:pPr>
            <w:r>
              <w:rPr>
                <w:rFonts w:ascii="Microsoft YaHei" w:hAnsi="Microsoft YaHei" w:eastAsia="Microsoft YaHei"/>
                <w:sz w:val="16"/>
              </w:rPr>
              <w:t>自动保存成功请求数 / 自动保存总请求数</w:t>
            </w:r>
          </w:p>
        </w:tc>
        <w:tc>
          <w:tcPr>
            <w:tcW w:type="dxa" w:w="2880"/>
            <w:vAlign w:val="center"/>
            <w:tcMar>
              <w:top w:w="90" w:type="dxa"/>
              <w:start w:w="100" w:type="dxa"/>
              <w:bottom w:w="90" w:type="dxa"/>
              <w:end w:w="100" w:type="dxa"/>
            </w:tcMar>
          </w:tcPr>
          <w:p>
            <w:pPr>
              <w:spacing w:before="0" w:after="20"/>
            </w:pPr>
            <w:r>
              <w:rPr>
                <w:rFonts w:ascii="Microsoft YaHei" w:hAnsi="Microsoft YaHei" w:eastAsia="Microsoft YaHei"/>
                <w:sz w:val="16"/>
              </w:rPr>
              <w:t>版本冲突可单列；取消请求不计入服务端失败。</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校验修复耗时</w:t>
            </w:r>
          </w:p>
        </w:tc>
        <w:tc>
          <w:tcPr>
            <w:tcW w:type="dxa" w:w="446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从首次出现某阻断问题到该问题消失的时长</w:t>
            </w:r>
          </w:p>
        </w:tc>
        <w:tc>
          <w:tcPr>
            <w:tcW w:type="dxa" w:w="288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以 rule_code + 对象身份定位问题；需要保留问题首次出现时间。</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评审等待时长</w:t>
            </w:r>
          </w:p>
        </w:tc>
        <w:tc>
          <w:tcPr>
            <w:tcW w:type="dxa" w:w="4464"/>
            <w:vAlign w:val="center"/>
            <w:tcMar>
              <w:top w:w="90" w:type="dxa"/>
              <w:start w:w="100" w:type="dxa"/>
              <w:bottom w:w="90" w:type="dxa"/>
              <w:end w:w="100" w:type="dxa"/>
            </w:tcMar>
          </w:tcPr>
          <w:p>
            <w:pPr>
              <w:spacing w:before="0" w:after="20"/>
            </w:pPr>
            <w:r>
              <w:rPr>
                <w:rFonts w:ascii="Microsoft YaHei" w:hAnsi="Microsoft YaHei" w:eastAsia="Microsoft YaHei"/>
                <w:sz w:val="16"/>
              </w:rPr>
              <w:t>评审任务创建时间至首个有效决策时间</w:t>
            </w:r>
          </w:p>
        </w:tc>
        <w:tc>
          <w:tcPr>
            <w:tcW w:type="dxa" w:w="2880"/>
            <w:vAlign w:val="center"/>
            <w:tcMar>
              <w:top w:w="90" w:type="dxa"/>
              <w:start w:w="100" w:type="dxa"/>
              <w:bottom w:w="90" w:type="dxa"/>
              <w:end w:w="100" w:type="dxa"/>
            </w:tcMar>
          </w:tcPr>
          <w:p>
            <w:pPr>
              <w:spacing w:before="0" w:after="20"/>
            </w:pPr>
            <w:r>
              <w:rPr>
                <w:rFonts w:ascii="Microsoft YaHei" w:hAnsi="Microsoft YaHei" w:eastAsia="Microsoft YaHei"/>
                <w:sz w:val="16"/>
              </w:rPr>
              <w:t>重新提交按新任务或新轮次分别计算。</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需求至发布周期</w:t>
            </w:r>
          </w:p>
        </w:tc>
        <w:tc>
          <w:tcPr>
            <w:tcW w:type="dxa" w:w="446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需求创建时间至关联模型首次正式发布的时长</w:t>
            </w:r>
          </w:p>
        </w:tc>
        <w:tc>
          <w:tcPr>
            <w:tcW w:type="dxa" w:w="288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一条需求多模型时分别统计和汇总分布。</w:t>
            </w:r>
          </w:p>
        </w:tc>
      </w:tr>
      <w:tr>
        <w:trPr>
          <w:cantSplit/>
        </w:trPr>
        <w:tc>
          <w:tcPr>
            <w:tcW w:type="dxa" w:w="2232"/>
            <w:vAlign w:val="center"/>
            <w:tcMar>
              <w:top w:w="90" w:type="dxa"/>
              <w:start w:w="100" w:type="dxa"/>
              <w:bottom w:w="90" w:type="dxa"/>
              <w:end w:w="100" w:type="dxa"/>
            </w:tcMar>
          </w:tcPr>
          <w:p>
            <w:pPr>
              <w:spacing w:before="0" w:after="20"/>
            </w:pPr>
            <w:r>
              <w:rPr>
                <w:rFonts w:ascii="Microsoft YaHei" w:hAnsi="Microsoft YaHei" w:eastAsia="Microsoft YaHei"/>
                <w:sz w:val="16"/>
              </w:rPr>
              <w:t>交互任务放弃率</w:t>
            </w:r>
          </w:p>
        </w:tc>
        <w:tc>
          <w:tcPr>
            <w:tcW w:type="dxa" w:w="4464"/>
            <w:vAlign w:val="center"/>
            <w:tcMar>
              <w:top w:w="90" w:type="dxa"/>
              <w:start w:w="100" w:type="dxa"/>
              <w:bottom w:w="90" w:type="dxa"/>
              <w:end w:w="100" w:type="dxa"/>
            </w:tcMar>
          </w:tcPr>
          <w:p>
            <w:pPr>
              <w:spacing w:before="0" w:after="20"/>
            </w:pPr>
            <w:r>
              <w:rPr>
                <w:rFonts w:ascii="Microsoft YaHei" w:hAnsi="Microsoft YaHei" w:eastAsia="Microsoft YaHei"/>
                <w:sz w:val="16"/>
              </w:rPr>
              <w:t>开始关键任务但在约定窗口内未完成的任务比例</w:t>
            </w:r>
          </w:p>
        </w:tc>
        <w:tc>
          <w:tcPr>
            <w:tcW w:type="dxa" w:w="2880"/>
            <w:vAlign w:val="center"/>
            <w:tcMar>
              <w:top w:w="90" w:type="dxa"/>
              <w:start w:w="100" w:type="dxa"/>
              <w:bottom w:w="90" w:type="dxa"/>
              <w:end w:w="100" w:type="dxa"/>
            </w:tcMar>
          </w:tcPr>
          <w:p>
            <w:pPr>
              <w:spacing w:before="0" w:after="20"/>
            </w:pPr>
            <w:r>
              <w:rPr>
                <w:rFonts w:ascii="Microsoft YaHei" w:hAnsi="Microsoft YaHei" w:eastAsia="Microsoft YaHei"/>
                <w:sz w:val="16"/>
              </w:rPr>
              <w:t>MVP 优先采用明确的业务事件推断，避免过度跟踪页面行为。</w:t>
            </w:r>
          </w:p>
        </w:tc>
      </w:tr>
      <w:tr>
        <w:trPr>
          <w:cantSplit/>
        </w:trPr>
        <w:tc>
          <w:tcPr>
            <w:tcW w:type="dxa" w:w="223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DDL 成功率</w:t>
            </w:r>
          </w:p>
        </w:tc>
        <w:tc>
          <w:tcPr>
            <w:tcW w:type="dxa" w:w="446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生成成功工件数 / 发起生成数</w:t>
            </w:r>
          </w:p>
        </w:tc>
        <w:tc>
          <w:tcPr>
            <w:tcW w:type="dxa" w:w="288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区分用户配置错误、未支持特性、服务端故障和引擎执行失败。</w:t>
            </w:r>
          </w:p>
        </w:tc>
      </w:tr>
    </w:tbl>
    <w:p>
      <w:pPr>
        <w:spacing w:after="0"/>
      </w:pPr>
    </w:p>
    <w:p>
      <w:pPr>
        <w:pStyle w:val="Heading1"/>
        <w:keepNext/>
      </w:pPr>
      <w:r>
        <w:t>附录 F. V0.3 增量数据库脚本说明</w:t>
      </w:r>
    </w:p>
    <w:p>
      <w:pPr>
        <w:keepLines w:val="0"/>
      </w:pPr>
      <w:r>
        <w:t>配套脚本：schema_v03_addendum.sql。脚本在 V0.2 结构之上新增用户保存视图和业务活动事件表，不修改既有模型表结构。技术 Metrics/Logs/Traces 推荐走标准遥测后端，不建议将每次 HTTP 请求原始指标写入业务 PostgreSQL，以免增加业务库负担。</w:t>
      </w:r>
    </w:p>
    <w:p>
      <w:pPr>
        <w:pStyle w:val="Heading2"/>
        <w:keepNext/>
      </w:pPr>
      <w:r>
        <w:t>F.1 新增对象</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20"/>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对象</w:t>
            </w:r>
          </w:p>
        </w:tc>
        <w:tc>
          <w:tcPr>
            <w:tcW w:type="dxa" w:w="3672"/>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用途</w:t>
            </w:r>
          </w:p>
        </w:tc>
        <w:tc>
          <w:tcPr>
            <w:tcW w:type="dxa" w:w="3384"/>
            <w:vAlign w:val="center"/>
            <w:tcMar>
              <w:top w:w="90" w:type="dxa"/>
              <w:start w:w="100" w:type="dxa"/>
              <w:bottom w:w="90" w:type="dxa"/>
              <w:end w:w="100" w:type="dxa"/>
            </w:tcMar>
            <w:shd w:fill="17365D"/>
          </w:tcPr>
          <w:p>
            <w:pPr>
              <w:spacing w:before="0" w:after="20"/>
            </w:pPr>
            <w:r>
              <w:rPr>
                <w:rFonts w:ascii="Microsoft YaHei" w:hAnsi="Microsoft YaHei" w:eastAsia="Microsoft YaHei"/>
                <w:b/>
                <w:color w:val="FFFFFF"/>
                <w:sz w:val="16"/>
              </w:rPr>
              <w:t>关键设计</w:t>
            </w:r>
          </w:p>
        </w:tc>
      </w:tr>
      <w:tr>
        <w:trPr>
          <w:cantSplit/>
        </w:trPr>
        <w:tc>
          <w:tcPr>
            <w:tcW w:type="dxa" w:w="2520"/>
            <w:vAlign w:val="center"/>
            <w:tcMar>
              <w:top w:w="90" w:type="dxa"/>
              <w:start w:w="100" w:type="dxa"/>
              <w:bottom w:w="90" w:type="dxa"/>
              <w:end w:w="100" w:type="dxa"/>
            </w:tcMar>
          </w:tcPr>
          <w:p>
            <w:pPr>
              <w:spacing w:before="0" w:after="20"/>
            </w:pPr>
            <w:r>
              <w:rPr>
                <w:rFonts w:ascii="Microsoft YaHei" w:hAnsi="Microsoft YaHei" w:eastAsia="Microsoft YaHei"/>
                <w:sz w:val="16"/>
              </w:rPr>
              <w:t>user_saved_views</w:t>
            </w:r>
          </w:p>
        </w:tc>
        <w:tc>
          <w:tcPr>
            <w:tcW w:type="dxa" w:w="3672"/>
            <w:vAlign w:val="center"/>
            <w:tcMar>
              <w:top w:w="90" w:type="dxa"/>
              <w:start w:w="100" w:type="dxa"/>
              <w:bottom w:w="90" w:type="dxa"/>
              <w:end w:w="100" w:type="dxa"/>
            </w:tcMar>
          </w:tcPr>
          <w:p>
            <w:pPr>
              <w:spacing w:before="0" w:after="20"/>
            </w:pPr>
            <w:r>
              <w:rPr>
                <w:rFonts w:ascii="Microsoft YaHei" w:hAnsi="Microsoft YaHei" w:eastAsia="Microsoft YaHei"/>
                <w:sz w:val="16"/>
              </w:rPr>
              <w:t>保存模型列表的个人筛选视图</w:t>
            </w:r>
          </w:p>
        </w:tc>
        <w:tc>
          <w:tcPr>
            <w:tcW w:type="dxa" w:w="3384"/>
            <w:vAlign w:val="center"/>
            <w:tcMar>
              <w:top w:w="90" w:type="dxa"/>
              <w:start w:w="100" w:type="dxa"/>
              <w:bottom w:w="90" w:type="dxa"/>
              <w:end w:w="100" w:type="dxa"/>
            </w:tcMar>
          </w:tcPr>
          <w:p>
            <w:pPr>
              <w:spacing w:before="0" w:after="20"/>
            </w:pPr>
            <w:r>
              <w:rPr>
                <w:rFonts w:ascii="Microsoft YaHei" w:hAnsi="Microsoft YaHei" w:eastAsia="Microsoft YaHei"/>
                <w:sz w:val="16"/>
              </w:rPr>
              <w:t>项目 + 用户 + 对象类型 + 视图名唯一；definition JSON 由服务端按 schema 白名单验证。</w:t>
            </w:r>
          </w:p>
        </w:tc>
      </w:tr>
      <w:tr>
        <w:trPr>
          <w:cantSplit/>
        </w:trPr>
        <w:tc>
          <w:tcPr>
            <w:tcW w:type="dxa" w:w="2520"/>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platform_activity_events</w:t>
            </w:r>
          </w:p>
        </w:tc>
        <w:tc>
          <w:tcPr>
            <w:tcW w:type="dxa" w:w="3672"/>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记录需求、模型、评审、发布、DDL 等关键业务事件</w:t>
            </w:r>
          </w:p>
        </w:tc>
        <w:tc>
          <w:tcPr>
            <w:tcW w:type="dxa" w:w="3384"/>
            <w:vAlign w:val="center"/>
            <w:tcMar>
              <w:top w:w="90" w:type="dxa"/>
              <w:start w:w="100" w:type="dxa"/>
              <w:bottom w:w="90" w:type="dxa"/>
              <w:end w:w="100" w:type="dxa"/>
            </w:tcMar>
            <w:shd w:fill="F5F8FC"/>
          </w:tcPr>
          <w:p>
            <w:pPr>
              <w:spacing w:before="0" w:after="20"/>
            </w:pPr>
            <w:r>
              <w:rPr>
                <w:rFonts w:ascii="Microsoft YaHei" w:hAnsi="Microsoft YaHei" w:eastAsia="Microsoft YaHei"/>
                <w:sz w:val="16"/>
              </w:rPr>
              <w:t>追加写入；按项目和时间、对象类型和对象 ID、事件代码建索引。</w:t>
            </w:r>
          </w:p>
        </w:tc>
      </w:tr>
    </w:tbl>
    <w:p>
      <w:pPr>
        <w:spacing w:after="0"/>
      </w:pPr>
    </w:p>
    <w:p>
      <w:pPr>
        <w:pStyle w:val="Heading2"/>
        <w:keepNext/>
      </w:pPr>
      <w:r>
        <w:t>F.2 执行注意事项</w:t>
      </w:r>
    </w:p>
    <w:p>
      <w:pPr>
        <w:pStyle w:val="ListBullet"/>
        <w:spacing w:after="60"/>
      </w:pPr>
      <w:r>
        <w:t>先在开发库执行 V0.2 schema_v02.sql，再执行本增量脚本；不得在未经备份、审查和迁移窗口确认的生产库直接执行。</w:t>
      </w:r>
    </w:p>
    <w:p>
      <w:pPr>
        <w:pStyle w:val="ListBullet"/>
        <w:spacing w:after="60"/>
      </w:pPr>
      <w:r>
        <w:t>脚本使用 IF NOT EXISTS 以降低初始化重复执行风险；团队协作后应由 Alembic 或等价迁移工具管理迁移版本和回滚步骤。</w:t>
      </w:r>
    </w:p>
    <w:p>
      <w:pPr>
        <w:pStyle w:val="ListBullet"/>
        <w:spacing w:after="60"/>
      </w:pPr>
      <w:r>
        <w:t>活动事件为追加写入。应用角色原则上仅授予 INSERT/SELECT 必要权限，不授予普通用户 UPDATE/DELETE；管理员修订通过受控运维流程进行。</w:t>
      </w:r>
    </w:p>
    <w:p>
      <w:pPr>
        <w:pStyle w:val="ListBullet"/>
        <w:spacing w:after="60"/>
      </w:pPr>
      <w:r>
        <w:t>保存视图 JSON 只允许预先定义的过滤字段、运算符、排序列和分页偏好；SQL 查询必须由后端安全构造，禁止将 JSON 内容拼接为任意 SQL。</w:t>
      </w:r>
    </w:p>
    <w:p>
      <w:pPr>
        <w:pStyle w:val="ListBullet"/>
        <w:spacing w:after="60"/>
      </w:pPr>
      <w:r>
        <w:t>活动事件表的保留、分区和归档策略由实际规模决定；初期可按时间索引查询，达到量级阈值后再评估按月分区或外部事件平台。</w:t>
      </w:r>
    </w:p>
    <w:p>
      <w:r>
        <w:br w:type="page"/>
      </w:r>
    </w:p>
    <w:p>
      <w:pPr>
        <w:jc w:val="center"/>
      </w:pPr>
      <w:r>
        <w:rPr>
          <w:b/>
          <w:color w:val="173B63"/>
          <w:sz w:val="46"/>
        </w:rPr>
        <w:t>V0.4 研发实施与可运行原型补充</w:t>
      </w:r>
    </w:p>
    <w:p>
      <w:pPr>
        <w:jc w:val="center"/>
      </w:pPr>
      <w:r>
        <w:rPr>
          <w:color w:val="69788C"/>
          <w:sz w:val="22"/>
        </w:rPr>
        <w:t>把需求规格落到接口、状态机、测试和可启动代码</w:t>
      </w:r>
    </w:p>
    <w:p>
      <w:pPr>
        <w:spacing w:after="100" w:line="269" w:lineRule="auto"/>
      </w:pPr>
      <w:r>
        <w:rPr>
          <w:i w:val="0"/>
        </w:rPr>
        <w:t>本部分建立在 V0.1–V0.3 全量正文之上，作为 V0.4 的实施补充。原有需求、建模规范、交互设计和可观测性规划继续有效；本部分重点验证核心业务链路是否具备可实现的接口边界和最小代码骨架。</w:t>
      </w:r>
    </w:p>
    <w:tbl>
      <w:tblPr>
        <w:tblStyle w:val="TableGrid"/>
        <w:tblW w:type="auto" w:w="0"/>
        <w:tblLook w:firstColumn="1" w:firstRow="1" w:lastColumn="0" w:lastRow="0" w:noHBand="0" w:noVBand="1" w:val="04A0"/>
      </w:tblPr>
      <w:tblGrid>
        <w:gridCol w:w="9994"/>
      </w:tblGrid>
      <w:tr>
        <w:tc>
          <w:tcPr>
            <w:tcW w:type="dxa" w:w="9994"/>
            <w:shd w:fill="FFF3DF"/>
            <w:tcMar>
              <w:top w:w="130" w:type="dxa"/>
              <w:start w:w="160" w:type="dxa"/>
              <w:bottom w:w="130" w:type="dxa"/>
              <w:end w:w="160" w:type="dxa"/>
            </w:tcMar>
          </w:tcPr>
          <w:p>
            <w:pPr>
              <w:spacing w:after="80"/>
            </w:pPr>
            <w:r>
              <w:rPr>
                <w:b/>
                <w:color w:val="1E4B87"/>
                <w:sz w:val="20"/>
              </w:rPr>
              <w:t>版本定位</w:t>
            </w:r>
          </w:p>
          <w:p>
            <w:pPr>
              <w:spacing w:after="0"/>
            </w:pPr>
            <w:r>
              <w:rPr>
                <w:color w:val="303F52"/>
                <w:sz w:val="18"/>
              </w:rPr>
              <w:t>V0.4 交付包括：更新后的 Word 说明书、可运行参考原型源代码包、端到端自动化测试、PostgreSQL/SQLite 运行配置和启动文档。原型使用轻量 HTML/JavaScript 页面以降低启动成本；正式产品 UI 目标仍可采用 Vue 3。原型不具备完整企业登录、生产级权限、真实引擎执行和生产级遥测后端。</w:t>
            </w:r>
          </w:p>
        </w:tc>
      </w:tr>
    </w:tbl>
    <w:p>
      <w:pPr>
        <w:spacing w:after="20"/>
      </w:pPr>
    </w:p>
    <w:p>
      <w:pPr>
        <w:pStyle w:val="Heading1"/>
        <w:keepNext/>
      </w:pPr>
      <w:r>
        <w:t>29. V0.4 目标、范围与交付边界</w:t>
      </w:r>
    </w:p>
    <w:p>
      <w:pPr>
        <w:pStyle w:val="Heading2"/>
        <w:keepNext/>
      </w:pPr>
      <w:r>
        <w:t>29.1 本轮目标</w:t>
      </w:r>
    </w:p>
    <w:p>
      <w:pPr>
        <w:spacing w:after="100" w:line="269" w:lineRule="auto"/>
      </w:pPr>
      <w:r>
        <w:rPr>
          <w:i w:val="0"/>
        </w:rPr>
        <w:t>本轮目标不是继续扩大功能清单，而是让一条业务主链路能够由使用者实际操作、由开发人员通过 API 调用、由测试自动验证，并且在发生异常时能够定位请求和业务事件。</w:t>
      </w:r>
    </w:p>
    <w:p>
      <w:pPr>
        <w:pStyle w:val="ListBullet"/>
        <w:spacing w:after="40"/>
      </w:pPr>
      <w:r>
        <w:t>创建或选择项目，查看当前项目下模型清单；</w:t>
      </w:r>
    </w:p>
    <w:p>
      <w:pPr>
        <w:pStyle w:val="ListBullet"/>
        <w:spacing w:after="40"/>
      </w:pPr>
      <w:r>
        <w:t>创建模型草稿，编辑模型基本信息和字段定义，保存后获得修订号；</w:t>
      </w:r>
    </w:p>
    <w:p>
      <w:pPr>
        <w:pStyle w:val="ListBullet"/>
        <w:spacing w:after="40"/>
      </w:pPr>
      <w:r>
        <w:t>执行命名、字段重复、主键可空性、描述完整性等校验，按错误/警告分类反馈；</w:t>
      </w:r>
    </w:p>
    <w:p>
      <w:pPr>
        <w:pStyle w:val="ListBullet"/>
        <w:spacing w:after="40"/>
      </w:pPr>
      <w:r>
        <w:t>提交评审、通过或退回；只有评审通过的模型才可发布；</w:t>
      </w:r>
    </w:p>
    <w:p>
      <w:pPr>
        <w:pStyle w:val="ListBullet"/>
        <w:spacing w:after="40"/>
      </w:pPr>
      <w:r>
        <w:t>发布时在同一数据库事务内写入正式版本快照、模型状态、业务活动事件和关键审计记录；</w:t>
      </w:r>
    </w:p>
    <w:p>
      <w:pPr>
        <w:pStyle w:val="ListBullet"/>
        <w:spacing w:after="40"/>
      </w:pPr>
      <w:r>
        <w:t>生成 PostgreSQL、MySQL 或 Hive 的基础 DDL 预览；不连接、不执行目标数据库；</w:t>
      </w:r>
    </w:p>
    <w:p>
      <w:pPr>
        <w:pStyle w:val="ListBullet"/>
        <w:spacing w:after="40"/>
      </w:pPr>
      <w:r>
        <w:t>通过工作台计数、业务活动时间线、request_id 和简化指标端点观察原型行为。</w:t>
      </w:r>
    </w:p>
    <w:p>
      <w:pPr>
        <w:pStyle w:val="Heading2"/>
        <w:keepNext/>
      </w:pPr>
      <w:r>
        <w:t>29.2 本轮不承诺的生产能力</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能力</w:t>
            </w:r>
          </w:p>
        </w:tc>
        <w:tc>
          <w:tcPr>
            <w:tcW w:type="dxa" w:w="3331"/>
            <w:shd w:fill="173B63"/>
            <w:tcMar>
              <w:top w:w="105" w:type="dxa"/>
              <w:start w:w="110" w:type="dxa"/>
              <w:bottom w:w="105" w:type="dxa"/>
              <w:end w:w="110" w:type="dxa"/>
            </w:tcMar>
            <w:vAlign w:val="center"/>
          </w:tcPr>
          <w:p>
            <w:pPr>
              <w:spacing w:after="0"/>
            </w:pPr>
            <w:r>
              <w:rPr>
                <w:b/>
                <w:color w:val="FFFFFF"/>
                <w:sz w:val="16"/>
              </w:rPr>
              <w:t>V0.4 原型状态</w:t>
            </w:r>
          </w:p>
        </w:tc>
        <w:tc>
          <w:tcPr>
            <w:tcW w:type="dxa" w:w="3331"/>
            <w:shd w:fill="173B63"/>
            <w:tcMar>
              <w:top w:w="105" w:type="dxa"/>
              <w:start w:w="110" w:type="dxa"/>
              <w:bottom w:w="105" w:type="dxa"/>
              <w:end w:w="110" w:type="dxa"/>
            </w:tcMar>
            <w:vAlign w:val="center"/>
          </w:tcPr>
          <w:p>
            <w:pPr>
              <w:spacing w:after="0"/>
            </w:pPr>
            <w:r>
              <w:rPr>
                <w:b/>
                <w:color w:val="FFFFFF"/>
                <w:sz w:val="16"/>
              </w:rPr>
              <w:t>生产前要求</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身份认证与角色权限</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演示用户占位，可通过 X-Actor 标记操作者</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接入 OIDC/企业 SSO；服务端 RBAC/ABAC；项目和对象授权；禁止信任客户端自报身份</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模型编辑保存</w:t>
            </w:r>
          </w:p>
        </w:tc>
        <w:tc>
          <w:tcPr>
            <w:tcW w:type="dxa" w:w="3331"/>
            <w:tcMar>
              <w:top w:w="95" w:type="dxa"/>
              <w:start w:w="105" w:type="dxa"/>
              <w:bottom w:w="95" w:type="dxa"/>
              <w:end w:w="105" w:type="dxa"/>
            </w:tcMar>
            <w:vAlign w:val="center"/>
          </w:tcPr>
          <w:p>
            <w:pPr>
              <w:spacing w:after="0" w:line="240" w:lineRule="auto"/>
            </w:pPr>
            <w:r>
              <w:rPr>
                <w:color w:val="283548"/>
                <w:sz w:val="16"/>
              </w:rPr>
              <w:t>显式保存、Ctrl+S、乐观并发修订号</w:t>
            </w:r>
          </w:p>
        </w:tc>
        <w:tc>
          <w:tcPr>
            <w:tcW w:type="dxa" w:w="3331"/>
            <w:tcMar>
              <w:top w:w="95" w:type="dxa"/>
              <w:start w:w="105" w:type="dxa"/>
              <w:bottom w:w="95" w:type="dxa"/>
              <w:end w:w="105" w:type="dxa"/>
            </w:tcMar>
            <w:vAlign w:val="center"/>
          </w:tcPr>
          <w:p>
            <w:pPr>
              <w:spacing w:after="0" w:line="240" w:lineRule="auto"/>
            </w:pPr>
            <w:r>
              <w:rPr>
                <w:color w:val="283548"/>
                <w:sz w:val="16"/>
              </w:rPr>
              <w:t>正式版本可增加防抖自动保存、失败重试、恢复草稿及冲突三方比较</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评审协同</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API 支持提交、通过、退回；同一操作者也能调用</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接入评审任务分派、评审人隔离、通知、催办、代理和审批策略</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版本管理</w:t>
            </w:r>
          </w:p>
        </w:tc>
        <w:tc>
          <w:tcPr>
            <w:tcW w:type="dxa" w:w="3331"/>
            <w:tcMar>
              <w:top w:w="95" w:type="dxa"/>
              <w:start w:w="105" w:type="dxa"/>
              <w:bottom w:w="95" w:type="dxa"/>
              <w:end w:w="105" w:type="dxa"/>
            </w:tcMar>
            <w:vAlign w:val="center"/>
          </w:tcPr>
          <w:p>
            <w:pPr>
              <w:spacing w:after="0" w:line="240" w:lineRule="auto"/>
            </w:pPr>
            <w:r>
              <w:rPr>
                <w:color w:val="283548"/>
                <w:sz w:val="16"/>
              </w:rPr>
              <w:t>发布时创建不可变快照；查看正式版本清单</w:t>
            </w:r>
          </w:p>
        </w:tc>
        <w:tc>
          <w:tcPr>
            <w:tcW w:type="dxa" w:w="3331"/>
            <w:tcMar>
              <w:top w:w="95" w:type="dxa"/>
              <w:start w:w="105" w:type="dxa"/>
              <w:bottom w:w="95" w:type="dxa"/>
              <w:end w:w="105" w:type="dxa"/>
            </w:tcMar>
            <w:vAlign w:val="center"/>
          </w:tcPr>
          <w:p>
            <w:pPr>
              <w:spacing w:after="0" w:line="240" w:lineRule="auto"/>
            </w:pPr>
            <w:r>
              <w:rPr>
                <w:color w:val="283548"/>
                <w:sz w:val="16"/>
              </w:rPr>
              <w:t>正式模型变更分支、字段级 diff、兼容性分析、版本回滚/撤销策略</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引擎支持</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PostgreSQL/MySQL/Hive 基础建表语句预览</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明确实际引擎版本，建立适配器能力表和每个版本的集成测试</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可观测性</w:t>
            </w:r>
          </w:p>
        </w:tc>
        <w:tc>
          <w:tcPr>
            <w:tcW w:type="dxa" w:w="3331"/>
            <w:tcMar>
              <w:top w:w="95" w:type="dxa"/>
              <w:start w:w="105" w:type="dxa"/>
              <w:bottom w:w="95" w:type="dxa"/>
              <w:end w:w="105" w:type="dxa"/>
            </w:tcMar>
            <w:vAlign w:val="center"/>
          </w:tcPr>
          <w:p>
            <w:pPr>
              <w:spacing w:after="0" w:line="240" w:lineRule="auto"/>
            </w:pPr>
            <w:r>
              <w:rPr>
                <w:color w:val="283548"/>
                <w:sz w:val="16"/>
              </w:rPr>
              <w:t>应用请求日志、request_id、/health、/metrics、业务事件</w:t>
            </w:r>
          </w:p>
        </w:tc>
        <w:tc>
          <w:tcPr>
            <w:tcW w:type="dxa" w:w="3331"/>
            <w:tcMar>
              <w:top w:w="95" w:type="dxa"/>
              <w:start w:w="105" w:type="dxa"/>
              <w:bottom w:w="95" w:type="dxa"/>
              <w:end w:w="105" w:type="dxa"/>
            </w:tcMar>
            <w:vAlign w:val="center"/>
          </w:tcPr>
          <w:p>
            <w:pPr>
              <w:spacing w:after="0" w:line="240" w:lineRule="auto"/>
            </w:pPr>
            <w:r>
              <w:rPr>
                <w:color w:val="283548"/>
                <w:sz w:val="16"/>
              </w:rPr>
              <w:t>OpenTelemetry、集中日志、指标后端、Trace、告警、SLO 与 runbook</w:t>
            </w:r>
          </w:p>
        </w:tc>
      </w:tr>
    </w:tbl>
    <w:p>
      <w:pPr>
        <w:spacing w:after="40"/>
      </w:pPr>
    </w:p>
    <w:p>
      <w:pPr>
        <w:pStyle w:val="Heading2"/>
        <w:keepNext/>
      </w:pPr>
      <w:r>
        <w:t>29.3 V0.4 验收主链路</w:t>
      </w:r>
    </w:p>
    <w:p>
      <w:pPr>
        <w:keepLines/>
        <w:spacing w:before="60" w:after="160"/>
        <w:ind w:left="173" w:right="115"/>
        <w:shd w:fill="F0F4F9"/>
      </w:pPr>
      <w:r>
        <w:rPr>
          <w:rFonts w:ascii="Consolas" w:hAnsi="Consolas" w:eastAsia="Microsoft YaHei"/>
          <w:color w:val="263A54"/>
          <w:sz w:val="17"/>
        </w:rPr>
        <w:t>创建项目/选择项目</w:t>
      </w:r>
      <w:r>
        <w:br/>
      </w:r>
      <w:r>
        <w:rPr>
          <w:rFonts w:ascii="Consolas" w:hAnsi="Consolas" w:eastAsia="Microsoft YaHei"/>
          <w:color w:val="263A54"/>
          <w:sz w:val="17"/>
        </w:rPr>
        <w:t xml:space="preserve">  -&gt; 新建模型（draft）</w:t>
      </w:r>
      <w:r>
        <w:br/>
      </w:r>
      <w:r>
        <w:rPr>
          <w:rFonts w:ascii="Consolas" w:hAnsi="Consolas" w:eastAsia="Microsoft YaHei"/>
          <w:color w:val="263A54"/>
          <w:sz w:val="17"/>
        </w:rPr>
        <w:t xml:space="preserve">  -&gt; 编辑字段并保存（edit_revision + 1）</w:t>
      </w:r>
      <w:r>
        <w:br/>
      </w:r>
      <w:r>
        <w:rPr>
          <w:rFonts w:ascii="Consolas" w:hAnsi="Consolas" w:eastAsia="Microsoft YaHei"/>
          <w:color w:val="263A54"/>
          <w:sz w:val="17"/>
        </w:rPr>
        <w:t xml:space="preserve">  -&gt; 运行校验（错误阻断 / 警告提示）</w:t>
      </w:r>
      <w:r>
        <w:br/>
      </w:r>
      <w:r>
        <w:rPr>
          <w:rFonts w:ascii="Consolas" w:hAnsi="Consolas" w:eastAsia="Microsoft YaHei"/>
          <w:color w:val="263A54"/>
          <w:sz w:val="17"/>
        </w:rPr>
        <w:t xml:space="preserve">  -&gt; 提交评审（in_review）</w:t>
      </w:r>
      <w:r>
        <w:br/>
      </w:r>
      <w:r>
        <w:rPr>
          <w:rFonts w:ascii="Consolas" w:hAnsi="Consolas" w:eastAsia="Microsoft YaHei"/>
          <w:color w:val="263A54"/>
          <w:sz w:val="17"/>
        </w:rPr>
        <w:t xml:space="preserve">  -&gt; 评审通过（approved）</w:t>
      </w:r>
      <w:r>
        <w:br/>
      </w:r>
      <w:r>
        <w:rPr>
          <w:rFonts w:ascii="Consolas" w:hAnsi="Consolas" w:eastAsia="Microsoft YaHei"/>
          <w:color w:val="263A54"/>
          <w:sz w:val="17"/>
        </w:rPr>
        <w:t xml:space="preserve">  -&gt; 发布（published + version snapshot）</w:t>
      </w:r>
      <w:r>
        <w:br/>
      </w:r>
      <w:r>
        <w:rPr>
          <w:rFonts w:ascii="Consolas" w:hAnsi="Consolas" w:eastAsia="Microsoft YaHei"/>
          <w:color w:val="263A54"/>
          <w:sz w:val="17"/>
        </w:rPr>
        <w:t xml:space="preserve">  -&gt; 生成 DDL 预览（execute_on_target=false）</w:t>
      </w:r>
      <w:r>
        <w:br/>
      </w:r>
      <w:r>
        <w:rPr>
          <w:rFonts w:ascii="Consolas" w:hAnsi="Consolas" w:eastAsia="Microsoft YaHei"/>
          <w:color w:val="263A54"/>
          <w:sz w:val="17"/>
        </w:rPr>
        <w:t xml:space="preserve">  -&gt; 查看活动事件与请求关联 ID</w:t>
      </w:r>
    </w:p>
    <w:p>
      <w:pPr>
        <w:pStyle w:val="Heading1"/>
        <w:keepNext/>
      </w:pPr>
      <w:r>
        <w:t>30. 参考实现架构与分层职责</w:t>
      </w:r>
    </w:p>
    <w:p>
      <w:pPr>
        <w:pStyle w:val="Heading2"/>
        <w:keepNext/>
      </w:pPr>
      <w:r>
        <w:t>30.1 架构图</w:t>
      </w:r>
    </w:p>
    <w:p>
      <w:pPr>
        <w:spacing w:after="100" w:line="269" w:lineRule="auto"/>
      </w:pPr>
      <w:r>
        <w:rPr>
          <w:i w:val="0"/>
        </w:rPr>
        <w:t>V0.4 按模块化单体组织服务，避免 MVP 阶段过早引入微服务、消息中间件和多套独立部署。服务内部仍需保留 API、领域规则、持久化、引擎适配器及遥测之间的边界。</w:t>
      </w:r>
    </w:p>
    <w:p>
      <w:r>
        <w:drawing>
          <wp:inline xmlns:a="http://schemas.openxmlformats.org/drawingml/2006/main" xmlns:pic="http://schemas.openxmlformats.org/drawingml/2006/picture">
            <wp:extent cx="5897880" cy="3440430"/>
            <wp:docPr id="4" name="Picture 4"/>
            <wp:cNvGraphicFramePr>
              <a:graphicFrameLocks noChangeAspect="1"/>
            </wp:cNvGraphicFramePr>
            <a:graphic>
              <a:graphicData uri="http://schemas.openxmlformats.org/drawingml/2006/picture">
                <pic:pic>
                  <pic:nvPicPr>
                    <pic:cNvPr id="0" name="architecture_v04.png"/>
                    <pic:cNvPicPr/>
                  </pic:nvPicPr>
                  <pic:blipFill>
                    <a:blip r:embed="rId14"/>
                    <a:stretch>
                      <a:fillRect/>
                    </a:stretch>
                  </pic:blipFill>
                  <pic:spPr>
                    <a:xfrm>
                      <a:off x="0" y="0"/>
                      <a:ext cx="5897880" cy="3440430"/>
                    </a:xfrm>
                    <a:prstGeom prst="rect"/>
                  </pic:spPr>
                </pic:pic>
              </a:graphicData>
            </a:graphic>
          </wp:inline>
        </w:drawing>
      </w:r>
    </w:p>
    <w:p>
      <w:pPr>
        <w:jc w:val="center"/>
      </w:pPr>
      <w:r>
        <w:rPr>
          <w:i/>
          <w:color w:val="6C788A"/>
          <w:sz w:val="16"/>
        </w:rPr>
        <w:t>图 30-1  V0.4 参考实现架构（当前实现与生产化目标分开标示）</w:t>
      </w:r>
    </w:p>
    <w:p>
      <w:pPr>
        <w:pStyle w:val="Heading2"/>
        <w:keepNext/>
      </w:pPr>
      <w:r>
        <w:t>30.2 技术决策与取舍</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173B63"/>
            <w:tcMar>
              <w:top w:w="105" w:type="dxa"/>
              <w:start w:w="110" w:type="dxa"/>
              <w:bottom w:w="105" w:type="dxa"/>
              <w:end w:w="110" w:type="dxa"/>
            </w:tcMar>
            <w:vAlign w:val="center"/>
          </w:tcPr>
          <w:p>
            <w:pPr>
              <w:spacing w:after="0"/>
            </w:pPr>
            <w:r>
              <w:rPr>
                <w:b/>
                <w:color w:val="FFFFFF"/>
                <w:sz w:val="16"/>
              </w:rPr>
              <w:t>层次</w:t>
            </w:r>
          </w:p>
        </w:tc>
        <w:tc>
          <w:tcPr>
            <w:tcW w:type="dxa" w:w="2498"/>
            <w:shd w:fill="173B63"/>
            <w:tcMar>
              <w:top w:w="105" w:type="dxa"/>
              <w:start w:w="110" w:type="dxa"/>
              <w:bottom w:w="105" w:type="dxa"/>
              <w:end w:w="110" w:type="dxa"/>
            </w:tcMar>
            <w:vAlign w:val="center"/>
          </w:tcPr>
          <w:p>
            <w:pPr>
              <w:spacing w:after="0"/>
            </w:pPr>
            <w:r>
              <w:rPr>
                <w:b/>
                <w:color w:val="FFFFFF"/>
                <w:sz w:val="16"/>
              </w:rPr>
              <w:t>V0.4 参考实现</w:t>
            </w:r>
          </w:p>
        </w:tc>
        <w:tc>
          <w:tcPr>
            <w:tcW w:type="dxa" w:w="2498"/>
            <w:shd w:fill="173B63"/>
            <w:tcMar>
              <w:top w:w="105" w:type="dxa"/>
              <w:start w:w="110" w:type="dxa"/>
              <w:bottom w:w="105" w:type="dxa"/>
              <w:end w:w="110" w:type="dxa"/>
            </w:tcMar>
            <w:vAlign w:val="center"/>
          </w:tcPr>
          <w:p>
            <w:pPr>
              <w:spacing w:after="0"/>
            </w:pPr>
            <w:r>
              <w:rPr>
                <w:b/>
                <w:color w:val="FFFFFF"/>
                <w:sz w:val="16"/>
              </w:rPr>
              <w:t>正式产品建议</w:t>
            </w:r>
          </w:p>
        </w:tc>
        <w:tc>
          <w:tcPr>
            <w:tcW w:type="dxa" w:w="2498"/>
            <w:shd w:fill="173B63"/>
            <w:tcMar>
              <w:top w:w="105" w:type="dxa"/>
              <w:start w:w="110" w:type="dxa"/>
              <w:bottom w:w="105" w:type="dxa"/>
              <w:end w:w="110" w:type="dxa"/>
            </w:tcMar>
            <w:vAlign w:val="center"/>
          </w:tcPr>
          <w:p>
            <w:pPr>
              <w:spacing w:after="0"/>
            </w:pPr>
            <w:r>
              <w:rPr>
                <w:b/>
                <w:color w:val="FFFFFF"/>
                <w:sz w:val="16"/>
              </w:rPr>
              <w:t>边界说明</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前端</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静态 HTML/CSS/JavaScript，无构建步骤</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Vue 3 + TypeScript + 组件库 + 可访问性测试</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原型优先验证交互与 API；正式 UI 不被原型实现方式锁定</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API</w:t>
            </w:r>
          </w:p>
        </w:tc>
        <w:tc>
          <w:tcPr>
            <w:tcW w:type="dxa" w:w="2498"/>
            <w:tcMar>
              <w:top w:w="95" w:type="dxa"/>
              <w:start w:w="105" w:type="dxa"/>
              <w:bottom w:w="95" w:type="dxa"/>
              <w:end w:w="105" w:type="dxa"/>
            </w:tcMar>
            <w:vAlign w:val="center"/>
          </w:tcPr>
          <w:p>
            <w:pPr>
              <w:spacing w:after="0" w:line="240" w:lineRule="auto"/>
            </w:pPr>
            <w:r>
              <w:rPr>
                <w:color w:val="283548"/>
                <w:sz w:val="16"/>
              </w:rPr>
              <w:t>FastAPI + OpenAPI</w:t>
            </w:r>
          </w:p>
        </w:tc>
        <w:tc>
          <w:tcPr>
            <w:tcW w:type="dxa" w:w="2498"/>
            <w:tcMar>
              <w:top w:w="95" w:type="dxa"/>
              <w:start w:w="105" w:type="dxa"/>
              <w:bottom w:w="95" w:type="dxa"/>
              <w:end w:w="105" w:type="dxa"/>
            </w:tcMar>
            <w:vAlign w:val="center"/>
          </w:tcPr>
          <w:p>
            <w:pPr>
              <w:spacing w:after="0" w:line="240" w:lineRule="auto"/>
            </w:pPr>
            <w:r>
              <w:rPr>
                <w:color w:val="283548"/>
                <w:sz w:val="16"/>
              </w:rPr>
              <w:t>FastAPI，按领域模块组织 router/service/schema</w:t>
            </w:r>
          </w:p>
        </w:tc>
        <w:tc>
          <w:tcPr>
            <w:tcW w:type="dxa" w:w="2498"/>
            <w:tcMar>
              <w:top w:w="95" w:type="dxa"/>
              <w:start w:w="105" w:type="dxa"/>
              <w:bottom w:w="95" w:type="dxa"/>
              <w:end w:w="105" w:type="dxa"/>
            </w:tcMar>
            <w:vAlign w:val="center"/>
          </w:tcPr>
          <w:p>
            <w:pPr>
              <w:spacing w:after="0" w:line="240" w:lineRule="auto"/>
            </w:pPr>
            <w:r>
              <w:rPr>
                <w:color w:val="283548"/>
                <w:sz w:val="16"/>
              </w:rPr>
              <w:t>核心业务规则不能散落在前端或路由函数中</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持久化</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SQLAlchemy ORM，SQLite 默认</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PostgreSQL + SQLAlchemy + Alembic 迁移</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SQLite 用于低门槛体验；不作为多实例生产数据库</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领域服务</w:t>
            </w:r>
          </w:p>
        </w:tc>
        <w:tc>
          <w:tcPr>
            <w:tcW w:type="dxa" w:w="2498"/>
            <w:tcMar>
              <w:top w:w="95" w:type="dxa"/>
              <w:start w:w="105" w:type="dxa"/>
              <w:bottom w:w="95" w:type="dxa"/>
              <w:end w:w="105" w:type="dxa"/>
            </w:tcMar>
            <w:vAlign w:val="center"/>
          </w:tcPr>
          <w:p>
            <w:pPr>
              <w:spacing w:after="0" w:line="240" w:lineRule="auto"/>
            </w:pPr>
            <w:r>
              <w:rPr>
                <w:color w:val="283548"/>
                <w:sz w:val="16"/>
              </w:rPr>
              <w:t>状态校验、模型规则、版本快照、DDL 方言函数</w:t>
            </w:r>
          </w:p>
        </w:tc>
        <w:tc>
          <w:tcPr>
            <w:tcW w:type="dxa" w:w="2498"/>
            <w:tcMar>
              <w:top w:w="95" w:type="dxa"/>
              <w:start w:w="105" w:type="dxa"/>
              <w:bottom w:w="95" w:type="dxa"/>
              <w:end w:w="105" w:type="dxa"/>
            </w:tcMar>
            <w:vAlign w:val="center"/>
          </w:tcPr>
          <w:p>
            <w:pPr>
              <w:spacing w:after="0" w:line="240" w:lineRule="auto"/>
            </w:pPr>
            <w:r>
              <w:rPr>
                <w:color w:val="283548"/>
                <w:sz w:val="16"/>
              </w:rPr>
              <w:t>独立 ModelLifecycleService / ValidationService / DDLAdapter 接口</w:t>
            </w:r>
          </w:p>
        </w:tc>
        <w:tc>
          <w:tcPr>
            <w:tcW w:type="dxa" w:w="2498"/>
            <w:tcMar>
              <w:top w:w="95" w:type="dxa"/>
              <w:start w:w="105" w:type="dxa"/>
              <w:bottom w:w="95" w:type="dxa"/>
              <w:end w:w="105" w:type="dxa"/>
            </w:tcMar>
            <w:vAlign w:val="center"/>
          </w:tcPr>
          <w:p>
            <w:pPr>
              <w:spacing w:after="0" w:line="240" w:lineRule="auto"/>
            </w:pPr>
            <w:r>
              <w:rPr>
                <w:color w:val="283548"/>
                <w:sz w:val="16"/>
              </w:rPr>
              <w:t>未来可把任务调度、元数据采集、质量规则独立成模块</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可观测性</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应用日志、进程内计数、业务活动与审计表</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OpenTelemetry + Prometheus/Grafana + 集中日志/Trace</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进程内指标不可用于多实例聚合，也不能作为 SLA 数据源</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部署</w:t>
            </w:r>
          </w:p>
        </w:tc>
        <w:tc>
          <w:tcPr>
            <w:tcW w:type="dxa" w:w="2498"/>
            <w:tcMar>
              <w:top w:w="95" w:type="dxa"/>
              <w:start w:w="105" w:type="dxa"/>
              <w:bottom w:w="95" w:type="dxa"/>
              <w:end w:w="105" w:type="dxa"/>
            </w:tcMar>
            <w:vAlign w:val="center"/>
          </w:tcPr>
          <w:p>
            <w:pPr>
              <w:spacing w:after="0" w:line="240" w:lineRule="auto"/>
            </w:pPr>
            <w:r>
              <w:rPr>
                <w:color w:val="283548"/>
                <w:sz w:val="16"/>
              </w:rPr>
              <w:t>本机 Python 或 Docker Compose</w:t>
            </w:r>
          </w:p>
        </w:tc>
        <w:tc>
          <w:tcPr>
            <w:tcW w:type="dxa" w:w="2498"/>
            <w:tcMar>
              <w:top w:w="95" w:type="dxa"/>
              <w:start w:w="105" w:type="dxa"/>
              <w:bottom w:w="95" w:type="dxa"/>
              <w:end w:w="105" w:type="dxa"/>
            </w:tcMar>
            <w:vAlign w:val="center"/>
          </w:tcPr>
          <w:p>
            <w:pPr>
              <w:spacing w:after="0" w:line="240" w:lineRule="auto"/>
            </w:pPr>
            <w:r>
              <w:rPr>
                <w:color w:val="283548"/>
                <w:sz w:val="16"/>
              </w:rPr>
              <w:t>CI/CD、密钥管理、反向代理、TLS、监控和备份</w:t>
            </w:r>
          </w:p>
        </w:tc>
        <w:tc>
          <w:tcPr>
            <w:tcW w:type="dxa" w:w="2498"/>
            <w:tcMar>
              <w:top w:w="95" w:type="dxa"/>
              <w:start w:w="105" w:type="dxa"/>
              <w:bottom w:w="95" w:type="dxa"/>
              <w:end w:w="105" w:type="dxa"/>
            </w:tcMar>
            <w:vAlign w:val="center"/>
          </w:tcPr>
          <w:p>
            <w:pPr>
              <w:spacing w:after="0" w:line="240" w:lineRule="auto"/>
            </w:pPr>
            <w:r>
              <w:rPr>
                <w:color w:val="283548"/>
                <w:sz w:val="16"/>
              </w:rPr>
              <w:t>生产环境必须在部署前执行安全评审</w:t>
            </w:r>
          </w:p>
        </w:tc>
      </w:tr>
    </w:tbl>
    <w:p>
      <w:pPr>
        <w:spacing w:after="40"/>
      </w:pPr>
    </w:p>
    <w:p>
      <w:pPr>
        <w:pStyle w:val="Heading2"/>
        <w:keepNext/>
      </w:pPr>
      <w:r>
        <w:t>30.3 源代码模块职责</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路径</w:t>
            </w:r>
          </w:p>
        </w:tc>
        <w:tc>
          <w:tcPr>
            <w:tcW w:type="dxa" w:w="3331"/>
            <w:shd w:fill="173B63"/>
            <w:tcMar>
              <w:top w:w="105" w:type="dxa"/>
              <w:start w:w="110" w:type="dxa"/>
              <w:bottom w:w="105" w:type="dxa"/>
              <w:end w:w="110" w:type="dxa"/>
            </w:tcMar>
            <w:vAlign w:val="center"/>
          </w:tcPr>
          <w:p>
            <w:pPr>
              <w:spacing w:after="0"/>
            </w:pPr>
            <w:r>
              <w:rPr>
                <w:b/>
                <w:color w:val="FFFFFF"/>
                <w:sz w:val="16"/>
              </w:rPr>
              <w:t>职责</w:t>
            </w:r>
          </w:p>
        </w:tc>
        <w:tc>
          <w:tcPr>
            <w:tcW w:type="dxa" w:w="3331"/>
            <w:shd w:fill="173B63"/>
            <w:tcMar>
              <w:top w:w="105" w:type="dxa"/>
              <w:start w:w="110" w:type="dxa"/>
              <w:bottom w:w="105" w:type="dxa"/>
              <w:end w:w="110" w:type="dxa"/>
            </w:tcMar>
            <w:vAlign w:val="center"/>
          </w:tcPr>
          <w:p>
            <w:pPr>
              <w:spacing w:after="0"/>
            </w:pPr>
            <w:r>
              <w:rPr>
                <w:b/>
                <w:color w:val="FFFFFF"/>
                <w:sz w:val="16"/>
              </w:rPr>
              <w:t>设计规则</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backend/app/main.py</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HTTP 路由、请求上下文、状态迁移编排</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路由做入参验证与编排；复杂规则后续抽离 service</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backend/app/models.py</w:t>
            </w:r>
          </w:p>
        </w:tc>
        <w:tc>
          <w:tcPr>
            <w:tcW w:type="dxa" w:w="3331"/>
            <w:tcMar>
              <w:top w:w="95" w:type="dxa"/>
              <w:start w:w="105" w:type="dxa"/>
              <w:bottom w:w="95" w:type="dxa"/>
              <w:end w:w="105" w:type="dxa"/>
            </w:tcMar>
            <w:vAlign w:val="center"/>
          </w:tcPr>
          <w:p>
            <w:pPr>
              <w:spacing w:after="0" w:line="240" w:lineRule="auto"/>
            </w:pPr>
            <w:r>
              <w:rPr>
                <w:color w:val="283548"/>
                <w:sz w:val="16"/>
              </w:rPr>
              <w:t>SQLAlchemy 实体、表关系、唯一约束和索引</w:t>
            </w:r>
          </w:p>
        </w:tc>
        <w:tc>
          <w:tcPr>
            <w:tcW w:type="dxa" w:w="3331"/>
            <w:tcMar>
              <w:top w:w="95" w:type="dxa"/>
              <w:start w:w="105" w:type="dxa"/>
              <w:bottom w:w="95" w:type="dxa"/>
              <w:end w:w="105" w:type="dxa"/>
            </w:tcMar>
            <w:vAlign w:val="center"/>
          </w:tcPr>
          <w:p>
            <w:pPr>
              <w:spacing w:after="0" w:line="240" w:lineRule="auto"/>
            </w:pPr>
            <w:r>
              <w:rPr>
                <w:color w:val="283548"/>
                <w:sz w:val="16"/>
              </w:rPr>
              <w:t>数据库结构变化需由迁移工具管理，不能依赖运行时 create_all</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backend/app/schemas.py</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API 请求体与字段类型白名单</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请求校验与领域校验分层；错误响应需可机器处理</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backend/app/ddl.py</w:t>
            </w:r>
          </w:p>
        </w:tc>
        <w:tc>
          <w:tcPr>
            <w:tcW w:type="dxa" w:w="3331"/>
            <w:tcMar>
              <w:top w:w="95" w:type="dxa"/>
              <w:start w:w="105" w:type="dxa"/>
              <w:bottom w:w="95" w:type="dxa"/>
              <w:end w:w="105" w:type="dxa"/>
            </w:tcMar>
            <w:vAlign w:val="center"/>
          </w:tcPr>
          <w:p>
            <w:pPr>
              <w:spacing w:after="0" w:line="240" w:lineRule="auto"/>
            </w:pPr>
            <w:r>
              <w:rPr>
                <w:color w:val="283548"/>
                <w:sz w:val="16"/>
              </w:rPr>
              <w:t>标识符校验、逻辑类型映射、DDL 预览</w:t>
            </w:r>
          </w:p>
        </w:tc>
        <w:tc>
          <w:tcPr>
            <w:tcW w:type="dxa" w:w="3331"/>
            <w:tcMar>
              <w:top w:w="95" w:type="dxa"/>
              <w:start w:w="105" w:type="dxa"/>
              <w:bottom w:w="95" w:type="dxa"/>
              <w:end w:w="105" w:type="dxa"/>
            </w:tcMar>
            <w:vAlign w:val="center"/>
          </w:tcPr>
          <w:p>
            <w:pPr>
              <w:spacing w:after="0" w:line="240" w:lineRule="auto"/>
            </w:pPr>
            <w:r>
              <w:rPr>
                <w:color w:val="283548"/>
                <w:sz w:val="16"/>
              </w:rPr>
              <w:t>禁止将用户字符串直接拼为不受控 SQL；默认值采用白名单</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frontend/static/app.js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工作台和编辑器交互、API 调用、错误反馈</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前端校验只改善体验；最终权限、状态和数据一致性由后端强制</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tests/test_api.py</w:t>
            </w:r>
          </w:p>
        </w:tc>
        <w:tc>
          <w:tcPr>
            <w:tcW w:type="dxa" w:w="3331"/>
            <w:tcMar>
              <w:top w:w="95" w:type="dxa"/>
              <w:start w:w="105" w:type="dxa"/>
              <w:bottom w:w="95" w:type="dxa"/>
              <w:end w:w="105" w:type="dxa"/>
            </w:tcMar>
            <w:vAlign w:val="center"/>
          </w:tcPr>
          <w:p>
            <w:pPr>
              <w:spacing w:after="0" w:line="240" w:lineRule="auto"/>
            </w:pPr>
            <w:r>
              <w:rPr>
                <w:color w:val="283548"/>
                <w:sz w:val="16"/>
              </w:rPr>
              <w:t>端到端 API 验收</w:t>
            </w:r>
          </w:p>
        </w:tc>
        <w:tc>
          <w:tcPr>
            <w:tcW w:type="dxa" w:w="3331"/>
            <w:tcMar>
              <w:top w:w="95" w:type="dxa"/>
              <w:start w:w="105" w:type="dxa"/>
              <w:bottom w:w="95" w:type="dxa"/>
              <w:end w:w="105" w:type="dxa"/>
            </w:tcMar>
            <w:vAlign w:val="center"/>
          </w:tcPr>
          <w:p>
            <w:pPr>
              <w:spacing w:after="0" w:line="240" w:lineRule="auto"/>
            </w:pPr>
            <w:r>
              <w:rPr>
                <w:color w:val="283548"/>
                <w:sz w:val="16"/>
              </w:rPr>
              <w:t>每个状态转换、并发冲突、发布快照和方言映射都应有回归测试</w:t>
            </w:r>
          </w:p>
        </w:tc>
      </w:tr>
    </w:tbl>
    <w:p>
      <w:pPr>
        <w:spacing w:after="40"/>
      </w:pPr>
    </w:p>
    <w:p>
      <w:pPr>
        <w:pStyle w:val="Heading1"/>
        <w:keepNext/>
      </w:pPr>
      <w:r>
        <w:t>31. 端到端业务用例与状态迁移规则</w:t>
      </w:r>
    </w:p>
    <w:p>
      <w:pPr>
        <w:pStyle w:val="Heading2"/>
        <w:keepNext/>
      </w:pPr>
      <w:r>
        <w:t>31.1 状态机约束</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173B63"/>
            <w:tcMar>
              <w:top w:w="105" w:type="dxa"/>
              <w:start w:w="110" w:type="dxa"/>
              <w:bottom w:w="105" w:type="dxa"/>
              <w:end w:w="110" w:type="dxa"/>
            </w:tcMar>
            <w:vAlign w:val="center"/>
          </w:tcPr>
          <w:p>
            <w:pPr>
              <w:spacing w:after="0"/>
            </w:pPr>
            <w:r>
              <w:rPr>
                <w:b/>
                <w:color w:val="FFFFFF"/>
                <w:sz w:val="16"/>
              </w:rPr>
              <w:t>当前状态</w:t>
            </w:r>
          </w:p>
        </w:tc>
        <w:tc>
          <w:tcPr>
            <w:tcW w:type="dxa" w:w="2498"/>
            <w:shd w:fill="173B63"/>
            <w:tcMar>
              <w:top w:w="105" w:type="dxa"/>
              <w:start w:w="110" w:type="dxa"/>
              <w:bottom w:w="105" w:type="dxa"/>
              <w:end w:w="110" w:type="dxa"/>
            </w:tcMar>
            <w:vAlign w:val="center"/>
          </w:tcPr>
          <w:p>
            <w:pPr>
              <w:spacing w:after="0"/>
            </w:pPr>
            <w:r>
              <w:rPr>
                <w:b/>
                <w:color w:val="FFFFFF"/>
                <w:sz w:val="16"/>
              </w:rPr>
              <w:t>允许动作</w:t>
            </w:r>
          </w:p>
        </w:tc>
        <w:tc>
          <w:tcPr>
            <w:tcW w:type="dxa" w:w="2498"/>
            <w:shd w:fill="173B63"/>
            <w:tcMar>
              <w:top w:w="105" w:type="dxa"/>
              <w:start w:w="110" w:type="dxa"/>
              <w:bottom w:w="105" w:type="dxa"/>
              <w:end w:w="110" w:type="dxa"/>
            </w:tcMar>
            <w:vAlign w:val="center"/>
          </w:tcPr>
          <w:p>
            <w:pPr>
              <w:spacing w:after="0"/>
            </w:pPr>
            <w:r>
              <w:rPr>
                <w:b/>
                <w:color w:val="FFFFFF"/>
                <w:sz w:val="16"/>
              </w:rPr>
              <w:t>目标状态</w:t>
            </w:r>
          </w:p>
        </w:tc>
        <w:tc>
          <w:tcPr>
            <w:tcW w:type="dxa" w:w="2498"/>
            <w:shd w:fill="173B63"/>
            <w:tcMar>
              <w:top w:w="105" w:type="dxa"/>
              <w:start w:w="110" w:type="dxa"/>
              <w:bottom w:w="105" w:type="dxa"/>
              <w:end w:w="110" w:type="dxa"/>
            </w:tcMar>
            <w:vAlign w:val="center"/>
          </w:tcPr>
          <w:p>
            <w:pPr>
              <w:spacing w:after="0"/>
            </w:pPr>
            <w:r>
              <w:rPr>
                <w:b/>
                <w:color w:val="FFFFFF"/>
                <w:sz w:val="16"/>
              </w:rPr>
              <w:t>服务端约束</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draft</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修改字段/基本信息</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draft</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必须提供 expected_revision；修订号不匹配返回 409 REVISION_CONFLICT</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draft</w:t>
            </w:r>
          </w:p>
        </w:tc>
        <w:tc>
          <w:tcPr>
            <w:tcW w:type="dxa" w:w="2498"/>
            <w:tcMar>
              <w:top w:w="95" w:type="dxa"/>
              <w:start w:w="105" w:type="dxa"/>
              <w:bottom w:w="95" w:type="dxa"/>
              <w:end w:w="105" w:type="dxa"/>
            </w:tcMar>
            <w:vAlign w:val="center"/>
          </w:tcPr>
          <w:p>
            <w:pPr>
              <w:spacing w:after="0" w:line="240" w:lineRule="auto"/>
            </w:pPr>
            <w:r>
              <w:rPr>
                <w:color w:val="283548"/>
                <w:sz w:val="16"/>
              </w:rPr>
              <w:t>提交评审</w:t>
            </w:r>
          </w:p>
        </w:tc>
        <w:tc>
          <w:tcPr>
            <w:tcW w:type="dxa" w:w="2498"/>
            <w:tcMar>
              <w:top w:w="95" w:type="dxa"/>
              <w:start w:w="105" w:type="dxa"/>
              <w:bottom w:w="95" w:type="dxa"/>
              <w:end w:w="105" w:type="dxa"/>
            </w:tcMar>
            <w:vAlign w:val="center"/>
          </w:tcPr>
          <w:p>
            <w:pPr>
              <w:spacing w:after="0" w:line="240" w:lineRule="auto"/>
            </w:pPr>
            <w:r>
              <w:rPr>
                <w:color w:val="283548"/>
                <w:sz w:val="16"/>
              </w:rPr>
              <w:t>in_review</w:t>
            </w:r>
          </w:p>
        </w:tc>
        <w:tc>
          <w:tcPr>
            <w:tcW w:type="dxa" w:w="2498"/>
            <w:tcMar>
              <w:top w:w="95" w:type="dxa"/>
              <w:start w:w="105" w:type="dxa"/>
              <w:bottom w:w="95" w:type="dxa"/>
              <w:end w:w="105" w:type="dxa"/>
            </w:tcMar>
            <w:vAlign w:val="center"/>
          </w:tcPr>
          <w:p>
            <w:pPr>
              <w:spacing w:after="0" w:line="240" w:lineRule="auto"/>
            </w:pPr>
            <w:r>
              <w:rPr>
                <w:color w:val="283548"/>
                <w:sz w:val="16"/>
              </w:rPr>
              <w:t>先运行阻断性校验；存在 errors 时返回 422 MODEL_VALIDATION_FAILED</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in_review</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评审通过</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approved</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只能对待评审模型执行；记录评审意见与审计事件</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in_review</w:t>
            </w:r>
          </w:p>
        </w:tc>
        <w:tc>
          <w:tcPr>
            <w:tcW w:type="dxa" w:w="2498"/>
            <w:tcMar>
              <w:top w:w="95" w:type="dxa"/>
              <w:start w:w="105" w:type="dxa"/>
              <w:bottom w:w="95" w:type="dxa"/>
              <w:end w:w="105" w:type="dxa"/>
            </w:tcMar>
            <w:vAlign w:val="center"/>
          </w:tcPr>
          <w:p>
            <w:pPr>
              <w:spacing w:after="0" w:line="240" w:lineRule="auto"/>
            </w:pPr>
            <w:r>
              <w:rPr>
                <w:color w:val="283548"/>
                <w:sz w:val="16"/>
              </w:rPr>
              <w:t>评审退回</w:t>
            </w:r>
          </w:p>
        </w:tc>
        <w:tc>
          <w:tcPr>
            <w:tcW w:type="dxa" w:w="2498"/>
            <w:tcMar>
              <w:top w:w="95" w:type="dxa"/>
              <w:start w:w="105" w:type="dxa"/>
              <w:bottom w:w="95" w:type="dxa"/>
              <w:end w:w="105" w:type="dxa"/>
            </w:tcMar>
            <w:vAlign w:val="center"/>
          </w:tcPr>
          <w:p>
            <w:pPr>
              <w:spacing w:after="0" w:line="240" w:lineRule="auto"/>
            </w:pPr>
            <w:r>
              <w:rPr>
                <w:color w:val="283548"/>
                <w:sz w:val="16"/>
              </w:rPr>
              <w:t>draft</w:t>
            </w:r>
          </w:p>
        </w:tc>
        <w:tc>
          <w:tcPr>
            <w:tcW w:type="dxa" w:w="2498"/>
            <w:tcMar>
              <w:top w:w="95" w:type="dxa"/>
              <w:start w:w="105" w:type="dxa"/>
              <w:bottom w:w="95" w:type="dxa"/>
              <w:end w:w="105" w:type="dxa"/>
            </w:tcMar>
            <w:vAlign w:val="center"/>
          </w:tcPr>
          <w:p>
            <w:pPr>
              <w:spacing w:after="0" w:line="240" w:lineRule="auto"/>
            </w:pPr>
            <w:r>
              <w:rPr>
                <w:color w:val="283548"/>
                <w:sz w:val="16"/>
              </w:rPr>
              <w:t>必须记录退回意见；退回后由设计人修改并重新提交</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approved</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正式发布</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published</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一次事务内创建版本快照、更新发布状态、记录活动事件和审计</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published</w:t>
            </w:r>
          </w:p>
        </w:tc>
        <w:tc>
          <w:tcPr>
            <w:tcW w:type="dxa" w:w="2498"/>
            <w:tcMar>
              <w:top w:w="95" w:type="dxa"/>
              <w:start w:w="105" w:type="dxa"/>
              <w:bottom w:w="95" w:type="dxa"/>
              <w:end w:w="105" w:type="dxa"/>
            </w:tcMar>
            <w:vAlign w:val="center"/>
          </w:tcPr>
          <w:p>
            <w:pPr>
              <w:spacing w:after="0" w:line="240" w:lineRule="auto"/>
            </w:pPr>
            <w:r>
              <w:rPr>
                <w:color w:val="283548"/>
                <w:sz w:val="16"/>
              </w:rPr>
              <w:t>原地编辑</w:t>
            </w:r>
          </w:p>
        </w:tc>
        <w:tc>
          <w:tcPr>
            <w:tcW w:type="dxa" w:w="2498"/>
            <w:tcMar>
              <w:top w:w="95" w:type="dxa"/>
              <w:start w:w="105" w:type="dxa"/>
              <w:bottom w:w="95" w:type="dxa"/>
              <w:end w:w="105" w:type="dxa"/>
            </w:tcMar>
            <w:vAlign w:val="center"/>
          </w:tcPr>
          <w:p>
            <w:pPr>
              <w:spacing w:after="0" w:line="240" w:lineRule="auto"/>
            </w:pPr>
            <w:r>
              <w:rPr>
                <w:color w:val="283548"/>
                <w:sz w:val="16"/>
              </w:rPr>
              <w:t>禁止</w:t>
            </w:r>
          </w:p>
        </w:tc>
        <w:tc>
          <w:tcPr>
            <w:tcW w:type="dxa" w:w="2498"/>
            <w:tcMar>
              <w:top w:w="95" w:type="dxa"/>
              <w:start w:w="105" w:type="dxa"/>
              <w:bottom w:w="95" w:type="dxa"/>
              <w:end w:w="105" w:type="dxa"/>
            </w:tcMar>
            <w:vAlign w:val="center"/>
          </w:tcPr>
          <w:p>
            <w:pPr>
              <w:spacing w:after="0" w:line="240" w:lineRule="auto"/>
            </w:pPr>
            <w:r>
              <w:rPr>
                <w:color w:val="283548"/>
                <w:sz w:val="16"/>
              </w:rPr>
              <w:t>返回 409 MODEL_NOT_EDITABLE；后续生产版应从正式版本派生变更草稿</w:t>
            </w:r>
          </w:p>
        </w:tc>
      </w:tr>
    </w:tbl>
    <w:p>
      <w:pPr>
        <w:spacing w:after="40"/>
      </w:pPr>
    </w:p>
    <w:p>
      <w:pPr>
        <w:spacing w:after="100" w:line="269" w:lineRule="auto"/>
      </w:pPr>
      <w:r>
        <w:rPr>
          <w:i w:val="0"/>
        </w:rPr>
        <w:t>prototype 的状态名及规则是第一版实现契约。正式审批工作流应额外保存提交快照的修订号、评审人、处理时间、意见、任务 ID 及其权限判定，确保评审针对的是确定的模型内容，而不是持续变化的草稿。</w:t>
      </w:r>
    </w:p>
    <w:p>
      <w:pPr>
        <w:pStyle w:val="Heading2"/>
        <w:keepNext/>
      </w:pPr>
      <w:r>
        <w:t>31.2 两类版本号必须区分</w:t>
      </w:r>
    </w:p>
    <w:p>
      <w:pPr>
        <w:pStyle w:val="ListBullet"/>
        <w:spacing w:after="40"/>
      </w:pPr>
      <w:r>
        <w:t>edit_revision：草稿每次成功保存递增，用于乐观并发控制；它不代表正式发布版本。</w:t>
      </w:r>
    </w:p>
    <w:p>
      <w:pPr>
        <w:pStyle w:val="ListBullet"/>
        <w:spacing w:after="40"/>
      </w:pPr>
      <w:r>
        <w:t>published_version_no：每次正式发布递增，用于业务引用、DDL 工件、差异比较和未来血缘绑定。</w:t>
      </w:r>
    </w:p>
    <w:p>
      <w:pPr>
        <w:pStyle w:val="ListBullet"/>
        <w:spacing w:after="40"/>
      </w:pPr>
      <w:r>
        <w:t>ModelVersion.snapshot_json：发布时生成的只读快照。禁止通过普通更新接口修改已发布快照。</w:t>
      </w:r>
    </w:p>
    <w:p>
      <w:pPr>
        <w:pStyle w:val="Heading2"/>
        <w:keepNext/>
      </w:pPr>
      <w:r>
        <w:t>31.3 并发保存与状态锁定</w:t>
      </w:r>
    </w:p>
    <w:p>
      <w:pPr>
        <w:spacing w:after="100" w:line="269" w:lineRule="auto"/>
      </w:pPr>
      <w:r>
        <w:rPr>
          <w:i w:val="0"/>
        </w:rPr>
        <w:t>客户端保存请求必须携带 expected_revision。服务端读取当前版本后进行比较，只有相等时才接受修改并递增 edit_revision；不相等时返回 409，携带 expected_revision 和 current_revision。原型前端在冲突时明确提示刷新并手动比较，不自动覆盖服务端内容。正式版应提供字段级三方比较，并保存本地未提交内容直到用户选择合并/放弃。</w:t>
      </w:r>
    </w:p>
    <w:p>
      <w:pPr>
        <w:pStyle w:val="Heading2"/>
        <w:keepNext/>
      </w:pPr>
      <w:r>
        <w:t>31.4 发布事务的一致性要求</w:t>
      </w:r>
    </w:p>
    <w:p>
      <w:pPr>
        <w:keepLines/>
        <w:spacing w:before="60" w:after="160"/>
        <w:ind w:left="173" w:right="115"/>
        <w:shd w:fill="F0F4F9"/>
      </w:pPr>
      <w:r>
        <w:rPr>
          <w:rFonts w:ascii="Consolas" w:hAnsi="Consolas" w:eastAsia="Microsoft YaHei"/>
          <w:color w:val="263A54"/>
          <w:sz w:val="16"/>
        </w:rPr>
        <w:t>BEGIN;</w:t>
      </w:r>
      <w:r>
        <w:br/>
      </w:r>
      <w:r>
        <w:rPr>
          <w:rFonts w:ascii="Consolas" w:hAnsi="Consolas" w:eastAsia="Microsoft YaHei"/>
          <w:color w:val="263A54"/>
          <w:sz w:val="16"/>
        </w:rPr>
        <w:t xml:space="preserve">  检查模型状态必须为 approved；</w:t>
      </w:r>
      <w:r>
        <w:br/>
      </w:r>
      <w:r>
        <w:rPr>
          <w:rFonts w:ascii="Consolas" w:hAnsi="Consolas" w:eastAsia="Microsoft YaHei"/>
          <w:color w:val="263A54"/>
          <w:sz w:val="16"/>
        </w:rPr>
        <w:t xml:space="preserve">  version_no = published_version_no + 1；</w:t>
      </w:r>
      <w:r>
        <w:br/>
      </w:r>
      <w:r>
        <w:rPr>
          <w:rFonts w:ascii="Consolas" w:hAnsi="Consolas" w:eastAsia="Microsoft YaHei"/>
          <w:color w:val="263A54"/>
          <w:sz w:val="16"/>
        </w:rPr>
        <w:t xml:space="preserve">  写入 model_versions(snapshot_json, status, change_note, created_by)；</w:t>
      </w:r>
      <w:r>
        <w:br/>
      </w:r>
      <w:r>
        <w:rPr>
          <w:rFonts w:ascii="Consolas" w:hAnsi="Consolas" w:eastAsia="Microsoft YaHei"/>
          <w:color w:val="263A54"/>
          <w:sz w:val="16"/>
        </w:rPr>
        <w:t xml:space="preserve">  更新 data_models.status = published；</w:t>
      </w:r>
      <w:r>
        <w:br/>
      </w:r>
      <w:r>
        <w:rPr>
          <w:rFonts w:ascii="Consolas" w:hAnsi="Consolas" w:eastAsia="Microsoft YaHei"/>
          <w:color w:val="263A54"/>
          <w:sz w:val="16"/>
        </w:rPr>
        <w:t xml:space="preserve">  更新 data_models.published_version_no = version_no；</w:t>
      </w:r>
      <w:r>
        <w:br/>
      </w:r>
      <w:r>
        <w:rPr>
          <w:rFonts w:ascii="Consolas" w:hAnsi="Consolas" w:eastAsia="Microsoft YaHei"/>
          <w:color w:val="263A54"/>
          <w:sz w:val="16"/>
        </w:rPr>
        <w:t xml:space="preserve">  写入 platform_activity_events(model.published)；</w:t>
      </w:r>
      <w:r>
        <w:br/>
      </w:r>
      <w:r>
        <w:rPr>
          <w:rFonts w:ascii="Consolas" w:hAnsi="Consolas" w:eastAsia="Microsoft YaHei"/>
          <w:color w:val="263A54"/>
          <w:sz w:val="16"/>
        </w:rPr>
        <w:t xml:space="preserve">  写入 audit_logs(model.published, outcome=success)；</w:t>
      </w:r>
      <w:r>
        <w:br/>
      </w:r>
      <w:r>
        <w:rPr>
          <w:rFonts w:ascii="Consolas" w:hAnsi="Consolas" w:eastAsia="Microsoft YaHei"/>
          <w:color w:val="263A54"/>
          <w:sz w:val="16"/>
        </w:rPr>
        <w:t>COMMIT;</w:t>
      </w:r>
      <w:r>
        <w:br/>
      </w:r>
      <w:r>
        <w:rPr>
          <w:rFonts w:ascii="Consolas" w:hAnsi="Consolas" w:eastAsia="Microsoft YaHei"/>
          <w:color w:val="263A54"/>
          <w:sz w:val="16"/>
        </w:rPr>
        <w:t xml:space="preserve"> </w:t>
      </w:r>
      <w:r>
        <w:br/>
      </w:r>
      <w:r>
        <w:rPr>
          <w:rFonts w:ascii="Consolas" w:hAnsi="Consolas" w:eastAsia="Microsoft YaHei"/>
          <w:color w:val="263A54"/>
          <w:sz w:val="16"/>
        </w:rPr>
        <w:t>任一写入失败：整笔事务回滚，不允许出现“状态已发布但没有版本/活动记录”。</w:t>
      </w:r>
    </w:p>
    <w:p>
      <w:pPr>
        <w:pStyle w:val="Heading1"/>
        <w:keepNext/>
      </w:pPr>
      <w:r>
        <w:t>32. API 契约、并发与错误语义</w:t>
      </w:r>
    </w:p>
    <w:p>
      <w:pPr>
        <w:pStyle w:val="Heading2"/>
        <w:keepNext/>
      </w:pPr>
      <w:r>
        <w:t>32.1 API 总览</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173B63"/>
            <w:tcMar>
              <w:top w:w="105" w:type="dxa"/>
              <w:start w:w="110" w:type="dxa"/>
              <w:bottom w:w="105" w:type="dxa"/>
              <w:end w:w="110" w:type="dxa"/>
            </w:tcMar>
            <w:vAlign w:val="center"/>
          </w:tcPr>
          <w:p>
            <w:pPr>
              <w:spacing w:after="0"/>
            </w:pPr>
            <w:r>
              <w:rPr>
                <w:b/>
                <w:color w:val="FFFFFF"/>
                <w:sz w:val="16"/>
              </w:rPr>
              <w:t>方法与路径</w:t>
            </w:r>
          </w:p>
        </w:tc>
        <w:tc>
          <w:tcPr>
            <w:tcW w:type="dxa" w:w="2498"/>
            <w:shd w:fill="173B63"/>
            <w:tcMar>
              <w:top w:w="105" w:type="dxa"/>
              <w:start w:w="110" w:type="dxa"/>
              <w:bottom w:w="105" w:type="dxa"/>
              <w:end w:w="110" w:type="dxa"/>
            </w:tcMar>
            <w:vAlign w:val="center"/>
          </w:tcPr>
          <w:p>
            <w:pPr>
              <w:spacing w:after="0"/>
            </w:pPr>
            <w:r>
              <w:rPr>
                <w:b/>
                <w:color w:val="FFFFFF"/>
                <w:sz w:val="16"/>
              </w:rPr>
              <w:t>用途</w:t>
            </w:r>
          </w:p>
        </w:tc>
        <w:tc>
          <w:tcPr>
            <w:tcW w:type="dxa" w:w="2498"/>
            <w:shd w:fill="173B63"/>
            <w:tcMar>
              <w:top w:w="105" w:type="dxa"/>
              <w:start w:w="110" w:type="dxa"/>
              <w:bottom w:w="105" w:type="dxa"/>
              <w:end w:w="110" w:type="dxa"/>
            </w:tcMar>
            <w:vAlign w:val="center"/>
          </w:tcPr>
          <w:p>
            <w:pPr>
              <w:spacing w:after="0"/>
            </w:pPr>
            <w:r>
              <w:rPr>
                <w:b/>
                <w:color w:val="FFFFFF"/>
                <w:sz w:val="16"/>
              </w:rPr>
              <w:t>成功响应</w:t>
            </w:r>
          </w:p>
        </w:tc>
        <w:tc>
          <w:tcPr>
            <w:tcW w:type="dxa" w:w="2498"/>
            <w:shd w:fill="173B63"/>
            <w:tcMar>
              <w:top w:w="105" w:type="dxa"/>
              <w:start w:w="110" w:type="dxa"/>
              <w:bottom w:w="105" w:type="dxa"/>
              <w:end w:w="110" w:type="dxa"/>
            </w:tcMar>
            <w:vAlign w:val="center"/>
          </w:tcPr>
          <w:p>
            <w:pPr>
              <w:spacing w:after="0"/>
            </w:pPr>
            <w:r>
              <w:rPr>
                <w:b/>
                <w:color w:val="FFFFFF"/>
                <w:sz w:val="16"/>
              </w:rPr>
              <w:t>关键约束</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GET /api/health</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健康检查</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200 + status/database/version</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生产应增加 readiness/liveness 分离及数据库超时处理</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GET /api/projects</w:t>
            </w:r>
          </w:p>
        </w:tc>
        <w:tc>
          <w:tcPr>
            <w:tcW w:type="dxa" w:w="2498"/>
            <w:tcMar>
              <w:top w:w="95" w:type="dxa"/>
              <w:start w:w="105" w:type="dxa"/>
              <w:bottom w:w="95" w:type="dxa"/>
              <w:end w:w="105" w:type="dxa"/>
            </w:tcMar>
            <w:vAlign w:val="center"/>
          </w:tcPr>
          <w:p>
            <w:pPr>
              <w:spacing w:after="0" w:line="240" w:lineRule="auto"/>
            </w:pPr>
            <w:r>
              <w:rPr>
                <w:color w:val="283548"/>
                <w:sz w:val="16"/>
              </w:rPr>
              <w:t>项目列表</w:t>
            </w:r>
          </w:p>
        </w:tc>
        <w:tc>
          <w:tcPr>
            <w:tcW w:type="dxa" w:w="2498"/>
            <w:tcMar>
              <w:top w:w="95" w:type="dxa"/>
              <w:start w:w="105" w:type="dxa"/>
              <w:bottom w:w="95" w:type="dxa"/>
              <w:end w:w="105" w:type="dxa"/>
            </w:tcMar>
            <w:vAlign w:val="center"/>
          </w:tcPr>
          <w:p>
            <w:pPr>
              <w:spacing w:after="0" w:line="240" w:lineRule="auto"/>
            </w:pPr>
            <w:r>
              <w:rPr>
                <w:color w:val="283548"/>
                <w:sz w:val="16"/>
              </w:rPr>
              <w:t>200 + 项目数组</w:t>
            </w:r>
          </w:p>
        </w:tc>
        <w:tc>
          <w:tcPr>
            <w:tcW w:type="dxa" w:w="2498"/>
            <w:tcMar>
              <w:top w:w="95" w:type="dxa"/>
              <w:start w:w="105" w:type="dxa"/>
              <w:bottom w:w="95" w:type="dxa"/>
              <w:end w:w="105" w:type="dxa"/>
            </w:tcMar>
            <w:vAlign w:val="center"/>
          </w:tcPr>
          <w:p>
            <w:pPr>
              <w:spacing w:after="0" w:line="240" w:lineRule="auto"/>
            </w:pPr>
            <w:r>
              <w:rPr>
                <w:color w:val="283548"/>
                <w:sz w:val="16"/>
              </w:rPr>
              <w:t>正式版按用户授权过滤</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POST /api/projects</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创建项目</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201 + 项目对象</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project_key 唯一；重名冲突返回 409</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GET /api/projects/{id}/models</w:t>
            </w:r>
          </w:p>
        </w:tc>
        <w:tc>
          <w:tcPr>
            <w:tcW w:type="dxa" w:w="2498"/>
            <w:tcMar>
              <w:top w:w="95" w:type="dxa"/>
              <w:start w:w="105" w:type="dxa"/>
              <w:bottom w:w="95" w:type="dxa"/>
              <w:end w:w="105" w:type="dxa"/>
            </w:tcMar>
            <w:vAlign w:val="center"/>
          </w:tcPr>
          <w:p>
            <w:pPr>
              <w:spacing w:after="0" w:line="240" w:lineRule="auto"/>
            </w:pPr>
            <w:r>
              <w:rPr>
                <w:color w:val="283548"/>
                <w:sz w:val="16"/>
              </w:rPr>
              <w:t>模型清单</w:t>
            </w:r>
          </w:p>
        </w:tc>
        <w:tc>
          <w:tcPr>
            <w:tcW w:type="dxa" w:w="2498"/>
            <w:tcMar>
              <w:top w:w="95" w:type="dxa"/>
              <w:start w:w="105" w:type="dxa"/>
              <w:bottom w:w="95" w:type="dxa"/>
              <w:end w:w="105" w:type="dxa"/>
            </w:tcMar>
            <w:vAlign w:val="center"/>
          </w:tcPr>
          <w:p>
            <w:pPr>
              <w:spacing w:after="0" w:line="240" w:lineRule="auto"/>
            </w:pPr>
            <w:r>
              <w:rPr>
                <w:color w:val="283548"/>
                <w:sz w:val="16"/>
              </w:rPr>
              <w:t>200 + 模型数组</w:t>
            </w:r>
          </w:p>
        </w:tc>
        <w:tc>
          <w:tcPr>
            <w:tcW w:type="dxa" w:w="2498"/>
            <w:tcMar>
              <w:top w:w="95" w:type="dxa"/>
              <w:start w:w="105" w:type="dxa"/>
              <w:bottom w:w="95" w:type="dxa"/>
              <w:end w:w="105" w:type="dxa"/>
            </w:tcMar>
            <w:vAlign w:val="center"/>
          </w:tcPr>
          <w:p>
            <w:pPr>
              <w:spacing w:after="0" w:line="240" w:lineRule="auto"/>
            </w:pPr>
            <w:r>
              <w:rPr>
                <w:color w:val="283548"/>
                <w:sz w:val="16"/>
              </w:rPr>
              <w:t>按项目授权；支持分页、筛选和排序</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POST /api/projects/{id}/models</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新建模型草稿</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201 + 模型及字段</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只创建 draft；项目不存在返回 404</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GET /api/models/{id}</w:t>
            </w:r>
          </w:p>
        </w:tc>
        <w:tc>
          <w:tcPr>
            <w:tcW w:type="dxa" w:w="2498"/>
            <w:tcMar>
              <w:top w:w="95" w:type="dxa"/>
              <w:start w:w="105" w:type="dxa"/>
              <w:bottom w:w="95" w:type="dxa"/>
              <w:end w:w="105" w:type="dxa"/>
            </w:tcMar>
            <w:vAlign w:val="center"/>
          </w:tcPr>
          <w:p>
            <w:pPr>
              <w:spacing w:after="0" w:line="240" w:lineRule="auto"/>
            </w:pPr>
            <w:r>
              <w:rPr>
                <w:color w:val="283548"/>
                <w:sz w:val="16"/>
              </w:rPr>
              <w:t>查询模型</w:t>
            </w:r>
          </w:p>
        </w:tc>
        <w:tc>
          <w:tcPr>
            <w:tcW w:type="dxa" w:w="2498"/>
            <w:tcMar>
              <w:top w:w="95" w:type="dxa"/>
              <w:start w:w="105" w:type="dxa"/>
              <w:bottom w:w="95" w:type="dxa"/>
              <w:end w:w="105" w:type="dxa"/>
            </w:tcMar>
            <w:vAlign w:val="center"/>
          </w:tcPr>
          <w:p>
            <w:pPr>
              <w:spacing w:after="0" w:line="240" w:lineRule="auto"/>
            </w:pPr>
            <w:r>
              <w:rPr>
                <w:color w:val="283548"/>
                <w:sz w:val="16"/>
              </w:rPr>
              <w:t>200 + 模型/字段</w:t>
            </w:r>
          </w:p>
        </w:tc>
        <w:tc>
          <w:tcPr>
            <w:tcW w:type="dxa" w:w="2498"/>
            <w:tcMar>
              <w:top w:w="95" w:type="dxa"/>
              <w:start w:w="105" w:type="dxa"/>
              <w:bottom w:w="95" w:type="dxa"/>
              <w:end w:w="105" w:type="dxa"/>
            </w:tcMar>
            <w:vAlign w:val="center"/>
          </w:tcPr>
          <w:p>
            <w:pPr>
              <w:spacing w:after="0" w:line="240" w:lineRule="auto"/>
            </w:pPr>
            <w:r>
              <w:rPr>
                <w:color w:val="283548"/>
                <w:sz w:val="16"/>
              </w:rPr>
              <w:t>返回当前可见修订，不暴露其他项目数据</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PUT /api/models/{id}</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保存模型草稿</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200 + 新修订</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要求 expected_revision；非 draft 禁止修改</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POST /api/models/{id}/validate</w:t>
            </w:r>
          </w:p>
        </w:tc>
        <w:tc>
          <w:tcPr>
            <w:tcW w:type="dxa" w:w="2498"/>
            <w:tcMar>
              <w:top w:w="95" w:type="dxa"/>
              <w:start w:w="105" w:type="dxa"/>
              <w:bottom w:w="95" w:type="dxa"/>
              <w:end w:w="105" w:type="dxa"/>
            </w:tcMar>
            <w:vAlign w:val="center"/>
          </w:tcPr>
          <w:p>
            <w:pPr>
              <w:spacing w:after="0" w:line="240" w:lineRule="auto"/>
            </w:pPr>
            <w:r>
              <w:rPr>
                <w:color w:val="283548"/>
                <w:sz w:val="16"/>
              </w:rPr>
              <w:t>运行规则校验</w:t>
            </w:r>
          </w:p>
        </w:tc>
        <w:tc>
          <w:tcPr>
            <w:tcW w:type="dxa" w:w="2498"/>
            <w:tcMar>
              <w:top w:w="95" w:type="dxa"/>
              <w:start w:w="105" w:type="dxa"/>
              <w:bottom w:w="95" w:type="dxa"/>
              <w:end w:w="105" w:type="dxa"/>
            </w:tcMar>
            <w:vAlign w:val="center"/>
          </w:tcPr>
          <w:p>
            <w:pPr>
              <w:spacing w:after="0" w:line="240" w:lineRule="auto"/>
            </w:pPr>
            <w:r>
              <w:rPr>
                <w:color w:val="283548"/>
                <w:sz w:val="16"/>
              </w:rPr>
              <w:t>200 + passed/errors/warnings</w:t>
            </w:r>
          </w:p>
        </w:tc>
        <w:tc>
          <w:tcPr>
            <w:tcW w:type="dxa" w:w="2498"/>
            <w:tcMar>
              <w:top w:w="95" w:type="dxa"/>
              <w:start w:w="105" w:type="dxa"/>
              <w:bottom w:w="95" w:type="dxa"/>
              <w:end w:w="105" w:type="dxa"/>
            </w:tcMar>
            <w:vAlign w:val="center"/>
          </w:tcPr>
          <w:p>
            <w:pPr>
              <w:spacing w:after="0" w:line="240" w:lineRule="auto"/>
            </w:pPr>
            <w:r>
              <w:rPr>
                <w:color w:val="283548"/>
                <w:sz w:val="16"/>
              </w:rPr>
              <w:t>错误与警告结构化；每条规则有 code 和 field</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POST /api/models/{id}/submit-review</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提交评审</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200 + 状态与校验摘要</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校验不通过时 422；只允许 draft</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POST /api/models/{id}/approve 或 /reject</w:t>
            </w:r>
          </w:p>
        </w:tc>
        <w:tc>
          <w:tcPr>
            <w:tcW w:type="dxa" w:w="2498"/>
            <w:tcMar>
              <w:top w:w="95" w:type="dxa"/>
              <w:start w:w="105" w:type="dxa"/>
              <w:bottom w:w="95" w:type="dxa"/>
              <w:end w:w="105" w:type="dxa"/>
            </w:tcMar>
            <w:vAlign w:val="center"/>
          </w:tcPr>
          <w:p>
            <w:pPr>
              <w:spacing w:after="0" w:line="240" w:lineRule="auto"/>
            </w:pPr>
            <w:r>
              <w:rPr>
                <w:color w:val="283548"/>
                <w:sz w:val="16"/>
              </w:rPr>
              <w:t>评审决定</w:t>
            </w:r>
          </w:p>
        </w:tc>
        <w:tc>
          <w:tcPr>
            <w:tcW w:type="dxa" w:w="2498"/>
            <w:tcMar>
              <w:top w:w="95" w:type="dxa"/>
              <w:start w:w="105" w:type="dxa"/>
              <w:bottom w:w="95" w:type="dxa"/>
              <w:end w:w="105" w:type="dxa"/>
            </w:tcMar>
            <w:vAlign w:val="center"/>
          </w:tcPr>
          <w:p>
            <w:pPr>
              <w:spacing w:after="0" w:line="240" w:lineRule="auto"/>
            </w:pPr>
            <w:r>
              <w:rPr>
                <w:color w:val="283548"/>
                <w:sz w:val="16"/>
              </w:rPr>
              <w:t>200 + 新状态</w:t>
            </w:r>
          </w:p>
        </w:tc>
        <w:tc>
          <w:tcPr>
            <w:tcW w:type="dxa" w:w="2498"/>
            <w:tcMar>
              <w:top w:w="95" w:type="dxa"/>
              <w:start w:w="105" w:type="dxa"/>
              <w:bottom w:w="95" w:type="dxa"/>
              <w:end w:w="105" w:type="dxa"/>
            </w:tcMar>
            <w:vAlign w:val="center"/>
          </w:tcPr>
          <w:p>
            <w:pPr>
              <w:spacing w:after="0" w:line="240" w:lineRule="auto"/>
            </w:pPr>
            <w:r>
              <w:rPr>
                <w:color w:val="283548"/>
                <w:sz w:val="16"/>
              </w:rPr>
              <w:t>只允许 in_review；生产版增加角色验证</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POST /api/models/{id}/publish</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发布正式版本</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200 + version_no/version_id</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只允许 approved；快照与事件原子提交</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GET /api/models/{id}/versions</w:t>
            </w:r>
          </w:p>
        </w:tc>
        <w:tc>
          <w:tcPr>
            <w:tcW w:type="dxa" w:w="2498"/>
            <w:tcMar>
              <w:top w:w="95" w:type="dxa"/>
              <w:start w:w="105" w:type="dxa"/>
              <w:bottom w:w="95" w:type="dxa"/>
              <w:end w:w="105" w:type="dxa"/>
            </w:tcMar>
            <w:vAlign w:val="center"/>
          </w:tcPr>
          <w:p>
            <w:pPr>
              <w:spacing w:after="0" w:line="240" w:lineRule="auto"/>
            </w:pPr>
            <w:r>
              <w:rPr>
                <w:color w:val="283548"/>
                <w:sz w:val="16"/>
              </w:rPr>
              <w:t>版本列表</w:t>
            </w:r>
          </w:p>
        </w:tc>
        <w:tc>
          <w:tcPr>
            <w:tcW w:type="dxa" w:w="2498"/>
            <w:tcMar>
              <w:top w:w="95" w:type="dxa"/>
              <w:start w:w="105" w:type="dxa"/>
              <w:bottom w:w="95" w:type="dxa"/>
              <w:end w:w="105" w:type="dxa"/>
            </w:tcMar>
            <w:vAlign w:val="center"/>
          </w:tcPr>
          <w:p>
            <w:pPr>
              <w:spacing w:after="0" w:line="240" w:lineRule="auto"/>
            </w:pPr>
            <w:r>
              <w:rPr>
                <w:color w:val="283548"/>
                <w:sz w:val="16"/>
              </w:rPr>
              <w:t>200 + 版本摘要</w:t>
            </w:r>
          </w:p>
        </w:tc>
        <w:tc>
          <w:tcPr>
            <w:tcW w:type="dxa" w:w="2498"/>
            <w:tcMar>
              <w:top w:w="95" w:type="dxa"/>
              <w:start w:w="105" w:type="dxa"/>
              <w:bottom w:w="95" w:type="dxa"/>
              <w:end w:w="105" w:type="dxa"/>
            </w:tcMar>
            <w:vAlign w:val="center"/>
          </w:tcPr>
          <w:p>
            <w:pPr>
              <w:spacing w:after="0" w:line="240" w:lineRule="auto"/>
            </w:pPr>
            <w:r>
              <w:rPr>
                <w:color w:val="283548"/>
                <w:sz w:val="16"/>
              </w:rPr>
              <w:t>正式版需分页；快照查询另设权限</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POST /api/models/{id}/ddl</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DDL 预览</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200 + ddl/engine/execute_on_target=false</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只生成，不执行；校验失败 422</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GET /api/projects/{id}/events</w:t>
            </w:r>
          </w:p>
        </w:tc>
        <w:tc>
          <w:tcPr>
            <w:tcW w:type="dxa" w:w="2498"/>
            <w:tcMar>
              <w:top w:w="95" w:type="dxa"/>
              <w:start w:w="105" w:type="dxa"/>
              <w:bottom w:w="95" w:type="dxa"/>
              <w:end w:w="105" w:type="dxa"/>
            </w:tcMar>
            <w:vAlign w:val="center"/>
          </w:tcPr>
          <w:p>
            <w:pPr>
              <w:spacing w:after="0" w:line="240" w:lineRule="auto"/>
            </w:pPr>
            <w:r>
              <w:rPr>
                <w:color w:val="283548"/>
                <w:sz w:val="16"/>
              </w:rPr>
              <w:t>业务事件时间线</w:t>
            </w:r>
          </w:p>
        </w:tc>
        <w:tc>
          <w:tcPr>
            <w:tcW w:type="dxa" w:w="2498"/>
            <w:tcMar>
              <w:top w:w="95" w:type="dxa"/>
              <w:start w:w="105" w:type="dxa"/>
              <w:bottom w:w="95" w:type="dxa"/>
              <w:end w:w="105" w:type="dxa"/>
            </w:tcMar>
            <w:vAlign w:val="center"/>
          </w:tcPr>
          <w:p>
            <w:pPr>
              <w:spacing w:after="0" w:line="240" w:lineRule="auto"/>
            </w:pPr>
            <w:r>
              <w:rPr>
                <w:color w:val="283548"/>
                <w:sz w:val="16"/>
              </w:rPr>
              <w:t>200 + 事件数组</w:t>
            </w:r>
          </w:p>
        </w:tc>
        <w:tc>
          <w:tcPr>
            <w:tcW w:type="dxa" w:w="2498"/>
            <w:tcMar>
              <w:top w:w="95" w:type="dxa"/>
              <w:start w:w="105" w:type="dxa"/>
              <w:bottom w:w="95" w:type="dxa"/>
              <w:end w:w="105" w:type="dxa"/>
            </w:tcMar>
            <w:vAlign w:val="center"/>
          </w:tcPr>
          <w:p>
            <w:pPr>
              <w:spacing w:after="0" w:line="240" w:lineRule="auto"/>
            </w:pPr>
            <w:r>
              <w:rPr>
                <w:color w:val="283548"/>
                <w:sz w:val="16"/>
              </w:rPr>
              <w:t>limit 上限；生产需分页和事件访问权限</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GET /api/observability/summary、/metrics</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原型运行指标</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计数器汇总 / 文本格式</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内存指标重启清零；生产须替换外部采集</w:t>
            </w:r>
          </w:p>
        </w:tc>
      </w:tr>
    </w:tbl>
    <w:p>
      <w:pPr>
        <w:spacing w:after="40"/>
      </w:pPr>
    </w:p>
    <w:p>
      <w:pPr>
        <w:pStyle w:val="Heading2"/>
        <w:keepNext/>
      </w:pPr>
      <w:r>
        <w:t>32.2 标准业务错误对象</w:t>
      </w:r>
    </w:p>
    <w:p>
      <w:pPr>
        <w:keepLines/>
        <w:spacing w:before="60" w:after="160"/>
        <w:ind w:left="173" w:right="115"/>
        <w:shd w:fill="F0F4F9"/>
      </w:pPr>
      <w:r>
        <w:rPr>
          <w:rFonts w:ascii="Consolas" w:hAnsi="Consolas" w:eastAsia="Microsoft YaHei"/>
          <w:color w:val="263A54"/>
          <w:sz w:val="17"/>
        </w:rPr>
        <w:t>{</w:t>
      </w:r>
      <w:r>
        <w:br/>
      </w:r>
      <w:r>
        <w:rPr>
          <w:rFonts w:ascii="Consolas" w:hAnsi="Consolas" w:eastAsia="Microsoft YaHei"/>
          <w:color w:val="263A54"/>
          <w:sz w:val="17"/>
        </w:rPr>
        <w:t xml:space="preserve">  "error": {</w:t>
      </w:r>
      <w:r>
        <w:br/>
      </w:r>
      <w:r>
        <w:rPr>
          <w:rFonts w:ascii="Consolas" w:hAnsi="Consolas" w:eastAsia="Microsoft YaHei"/>
          <w:color w:val="263A54"/>
          <w:sz w:val="17"/>
        </w:rPr>
        <w:t xml:space="preserve">    "code": "REVISION_CONFLICT",</w:t>
      </w:r>
      <w:r>
        <w:br/>
      </w:r>
      <w:r>
        <w:rPr>
          <w:rFonts w:ascii="Consolas" w:hAnsi="Consolas" w:eastAsia="Microsoft YaHei"/>
          <w:color w:val="263A54"/>
          <w:sz w:val="17"/>
        </w:rPr>
        <w:t xml:space="preserve">    "message": "模型已被其他操作更新，请刷新后比较变更",</w:t>
      </w:r>
      <w:r>
        <w:br/>
      </w:r>
      <w:r>
        <w:rPr>
          <w:rFonts w:ascii="Consolas" w:hAnsi="Consolas" w:eastAsia="Microsoft YaHei"/>
          <w:color w:val="263A54"/>
          <w:sz w:val="17"/>
        </w:rPr>
        <w:t xml:space="preserve">    "details": {"expected_revision": 3, "current_revision": 4}</w:t>
      </w:r>
      <w:r>
        <w:br/>
      </w:r>
      <w:r>
        <w:rPr>
          <w:rFonts w:ascii="Consolas" w:hAnsi="Consolas" w:eastAsia="Microsoft YaHei"/>
          <w:color w:val="263A54"/>
          <w:sz w:val="17"/>
        </w:rPr>
        <w:t xml:space="preserve">  },</w:t>
      </w:r>
      <w:r>
        <w:br/>
      </w:r>
      <w:r>
        <w:rPr>
          <w:rFonts w:ascii="Consolas" w:hAnsi="Consolas" w:eastAsia="Microsoft YaHei"/>
          <w:color w:val="263A54"/>
          <w:sz w:val="17"/>
        </w:rPr>
        <w:t xml:space="preserve">  "request_id": "server-generated-id"</w:t>
      </w:r>
      <w:r>
        <w:br/>
      </w:r>
      <w:r>
        <w:rPr>
          <w:rFonts w:ascii="Consolas" w:hAnsi="Consolas" w:eastAsia="Microsoft YaHei"/>
          <w:color w:val="263A54"/>
          <w:sz w:val="17"/>
        </w:rPr>
        <w: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HTTP 状态</w:t>
            </w:r>
          </w:p>
        </w:tc>
        <w:tc>
          <w:tcPr>
            <w:tcW w:type="dxa" w:w="3331"/>
            <w:shd w:fill="173B63"/>
            <w:tcMar>
              <w:top w:w="105" w:type="dxa"/>
              <w:start w:w="110" w:type="dxa"/>
              <w:bottom w:w="105" w:type="dxa"/>
              <w:end w:w="110" w:type="dxa"/>
            </w:tcMar>
            <w:vAlign w:val="center"/>
          </w:tcPr>
          <w:p>
            <w:pPr>
              <w:spacing w:after="0"/>
            </w:pPr>
            <w:r>
              <w:rPr>
                <w:b/>
                <w:color w:val="FFFFFF"/>
                <w:sz w:val="16"/>
              </w:rPr>
              <w:t>典型错误码</w:t>
            </w:r>
          </w:p>
        </w:tc>
        <w:tc>
          <w:tcPr>
            <w:tcW w:type="dxa" w:w="3331"/>
            <w:shd w:fill="173B63"/>
            <w:tcMar>
              <w:top w:w="105" w:type="dxa"/>
              <w:start w:w="110" w:type="dxa"/>
              <w:bottom w:w="105" w:type="dxa"/>
              <w:end w:w="110" w:type="dxa"/>
            </w:tcMar>
            <w:vAlign w:val="center"/>
          </w:tcPr>
          <w:p>
            <w:pPr>
              <w:spacing w:after="0"/>
            </w:pPr>
            <w:r>
              <w:rPr>
                <w:b/>
                <w:color w:val="FFFFFF"/>
                <w:sz w:val="16"/>
              </w:rPr>
              <w:t>前端推荐行为</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400</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BAD_REQUEST</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提示可操作的修正信息，不重复自动提交</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401/403</w:t>
            </w:r>
          </w:p>
        </w:tc>
        <w:tc>
          <w:tcPr>
            <w:tcW w:type="dxa" w:w="3331"/>
            <w:tcMar>
              <w:top w:w="95" w:type="dxa"/>
              <w:start w:w="105" w:type="dxa"/>
              <w:bottom w:w="95" w:type="dxa"/>
              <w:end w:w="105" w:type="dxa"/>
            </w:tcMar>
            <w:vAlign w:val="center"/>
          </w:tcPr>
          <w:p>
            <w:pPr>
              <w:spacing w:after="0" w:line="240" w:lineRule="auto"/>
            </w:pPr>
            <w:r>
              <w:rPr>
                <w:color w:val="283548"/>
                <w:sz w:val="16"/>
              </w:rPr>
              <w:t>UNAUTHENTICATED / FORBIDDEN</w:t>
            </w:r>
          </w:p>
        </w:tc>
        <w:tc>
          <w:tcPr>
            <w:tcW w:type="dxa" w:w="3331"/>
            <w:tcMar>
              <w:top w:w="95" w:type="dxa"/>
              <w:start w:w="105" w:type="dxa"/>
              <w:bottom w:w="95" w:type="dxa"/>
              <w:end w:w="105" w:type="dxa"/>
            </w:tcMar>
            <w:vAlign w:val="center"/>
          </w:tcPr>
          <w:p>
            <w:pPr>
              <w:spacing w:after="0" w:line="240" w:lineRule="auto"/>
            </w:pPr>
            <w:r>
              <w:rPr>
                <w:color w:val="283548"/>
                <w:sz w:val="16"/>
              </w:rPr>
              <w:t>跳转登录或显示权限说明；不得只隐藏按钮</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404</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MODEL_NOT_FOUND / PROJECT_NOT_FOUND</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提示对象可能被删除或无权访问</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409</w:t>
            </w:r>
          </w:p>
        </w:tc>
        <w:tc>
          <w:tcPr>
            <w:tcW w:type="dxa" w:w="3331"/>
            <w:tcMar>
              <w:top w:w="95" w:type="dxa"/>
              <w:start w:w="105" w:type="dxa"/>
              <w:bottom w:w="95" w:type="dxa"/>
              <w:end w:w="105" w:type="dxa"/>
            </w:tcMar>
            <w:vAlign w:val="center"/>
          </w:tcPr>
          <w:p>
            <w:pPr>
              <w:spacing w:after="0" w:line="240" w:lineRule="auto"/>
            </w:pPr>
            <w:r>
              <w:rPr>
                <w:color w:val="283548"/>
                <w:sz w:val="16"/>
              </w:rPr>
              <w:t>REVISION_CONFLICT / INVALID_STATE / *_KEY_EXISTS</w:t>
            </w:r>
          </w:p>
        </w:tc>
        <w:tc>
          <w:tcPr>
            <w:tcW w:type="dxa" w:w="3331"/>
            <w:tcMar>
              <w:top w:w="95" w:type="dxa"/>
              <w:start w:w="105" w:type="dxa"/>
              <w:bottom w:w="95" w:type="dxa"/>
              <w:end w:w="105" w:type="dxa"/>
            </w:tcMar>
            <w:vAlign w:val="center"/>
          </w:tcPr>
          <w:p>
            <w:pPr>
              <w:spacing w:after="0" w:line="240" w:lineRule="auto"/>
            </w:pPr>
            <w:r>
              <w:rPr>
                <w:color w:val="283548"/>
                <w:sz w:val="16"/>
              </w:rPr>
              <w:t>保留本地内容；展示冲突原因，要求刷新/比较/重试</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422</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REQUEST_VALIDATION_FAILED / MODEL_VALIDATION_FAILED / DDL_GENERATION_FAILED</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逐条定位字段或请求路径，允许修正后再次提交</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429</w:t>
            </w:r>
          </w:p>
        </w:tc>
        <w:tc>
          <w:tcPr>
            <w:tcW w:type="dxa" w:w="3331"/>
            <w:tcMar>
              <w:top w:w="95" w:type="dxa"/>
              <w:start w:w="105" w:type="dxa"/>
              <w:bottom w:w="95" w:type="dxa"/>
              <w:end w:w="105" w:type="dxa"/>
            </w:tcMar>
            <w:vAlign w:val="center"/>
          </w:tcPr>
          <w:p>
            <w:pPr>
              <w:spacing w:after="0" w:line="240" w:lineRule="auto"/>
            </w:pPr>
            <w:r>
              <w:rPr>
                <w:color w:val="283548"/>
                <w:sz w:val="16"/>
              </w:rPr>
              <w:t>RATE_LIMITED（生产预留）</w:t>
            </w:r>
          </w:p>
        </w:tc>
        <w:tc>
          <w:tcPr>
            <w:tcW w:type="dxa" w:w="3331"/>
            <w:tcMar>
              <w:top w:w="95" w:type="dxa"/>
              <w:start w:w="105" w:type="dxa"/>
              <w:bottom w:w="95" w:type="dxa"/>
              <w:end w:w="105" w:type="dxa"/>
            </w:tcMar>
            <w:vAlign w:val="center"/>
          </w:tcPr>
          <w:p>
            <w:pPr>
              <w:spacing w:after="0" w:line="240" w:lineRule="auto"/>
            </w:pPr>
            <w:r>
              <w:rPr>
                <w:color w:val="283548"/>
                <w:sz w:val="16"/>
              </w:rPr>
              <w:t>显示稍后重试；避免无上限轮询</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500/503</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INTERNAL_ERROR / DEPENDENCY_UNAVAILABLE（生产规范）</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展示 request_id，不泄露堆栈；提供状态页或 runbook 入口</w:t>
            </w:r>
          </w:p>
        </w:tc>
      </w:tr>
    </w:tbl>
    <w:p>
      <w:pPr>
        <w:spacing w:after="40"/>
      </w:pPr>
    </w:p>
    <w:p>
      <w:pPr>
        <w:pStyle w:val="Heading2"/>
        <w:keepNext/>
      </w:pPr>
      <w:r>
        <w:t>32.3 请求关联 ID</w:t>
      </w:r>
    </w:p>
    <w:p>
      <w:pPr>
        <w:spacing w:after="100" w:line="269" w:lineRule="auto"/>
      </w:pPr>
      <w:r>
        <w:rPr>
          <w:i w:val="0"/>
        </w:rPr>
        <w:t>每个请求接受客户端 X-Request-ID（长度、字符白名单需限制）或由服务端生成；响应头回传 X-Request-ID，应用日志、活动事件和审计记录写入相同值。生产服务应避免信任用户自定义的长 ID 或控制字符，并为外部输入进行长度裁剪和编码；跨服务请求使用 W3C Trace Context 或 OpenTelemetry 上下文传递 trace_id/span_id。</w:t>
      </w:r>
    </w:p>
    <w:p>
      <w:pPr>
        <w:pStyle w:val="Heading1"/>
        <w:keepNext/>
      </w:pPr>
      <w:r>
        <w:t>33. 持久化事务、版本快照与迁移策略</w:t>
      </w:r>
    </w:p>
    <w:p>
      <w:pPr>
        <w:pStyle w:val="Heading2"/>
        <w:keepNext/>
      </w:pPr>
      <w:r>
        <w:t>33.1 原型存储对象</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实体/表</w:t>
            </w:r>
          </w:p>
        </w:tc>
        <w:tc>
          <w:tcPr>
            <w:tcW w:type="dxa" w:w="3331"/>
            <w:shd w:fill="173B63"/>
            <w:tcMar>
              <w:top w:w="105" w:type="dxa"/>
              <w:start w:w="110" w:type="dxa"/>
              <w:bottom w:w="105" w:type="dxa"/>
              <w:end w:w="110" w:type="dxa"/>
            </w:tcMar>
            <w:vAlign w:val="center"/>
          </w:tcPr>
          <w:p>
            <w:pPr>
              <w:spacing w:after="0"/>
            </w:pPr>
            <w:r>
              <w:rPr>
                <w:b/>
                <w:color w:val="FFFFFF"/>
                <w:sz w:val="16"/>
              </w:rPr>
              <w:t>主要字段概念</w:t>
            </w:r>
          </w:p>
        </w:tc>
        <w:tc>
          <w:tcPr>
            <w:tcW w:type="dxa" w:w="3331"/>
            <w:shd w:fill="173B63"/>
            <w:tcMar>
              <w:top w:w="105" w:type="dxa"/>
              <w:start w:w="110" w:type="dxa"/>
              <w:bottom w:w="105" w:type="dxa"/>
              <w:end w:w="110" w:type="dxa"/>
            </w:tcMar>
            <w:vAlign w:val="center"/>
          </w:tcPr>
          <w:p>
            <w:pPr>
              <w:spacing w:after="0"/>
            </w:pPr>
            <w:r>
              <w:rPr>
                <w:b/>
                <w:color w:val="FFFFFF"/>
                <w:sz w:val="16"/>
              </w:rPr>
              <w:t>用法</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projects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project_key、name、description</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项目边界；未来关联 owner、成员和权限策略</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data_models</w:t>
            </w:r>
          </w:p>
        </w:tc>
        <w:tc>
          <w:tcPr>
            <w:tcW w:type="dxa" w:w="3331"/>
            <w:tcMar>
              <w:top w:w="95" w:type="dxa"/>
              <w:start w:w="105" w:type="dxa"/>
              <w:bottom w:w="95" w:type="dxa"/>
              <w:end w:w="105" w:type="dxa"/>
            </w:tcMar>
            <w:vAlign w:val="center"/>
          </w:tcPr>
          <w:p>
            <w:pPr>
              <w:spacing w:after="0" w:line="240" w:lineRule="auto"/>
            </w:pPr>
            <w:r>
              <w:rPr>
                <w:color w:val="283548"/>
                <w:sz w:val="16"/>
              </w:rPr>
              <w:t>model_key、layer、model_type、status、edit_revision、published_version_no</w:t>
            </w:r>
          </w:p>
        </w:tc>
        <w:tc>
          <w:tcPr>
            <w:tcW w:type="dxa" w:w="3331"/>
            <w:tcMar>
              <w:top w:w="95" w:type="dxa"/>
              <w:start w:w="105" w:type="dxa"/>
              <w:bottom w:w="95" w:type="dxa"/>
              <w:end w:w="105" w:type="dxa"/>
            </w:tcMar>
            <w:vAlign w:val="center"/>
          </w:tcPr>
          <w:p>
            <w:pPr>
              <w:spacing w:after="0" w:line="240" w:lineRule="auto"/>
            </w:pPr>
            <w:r>
              <w:rPr>
                <w:color w:val="283548"/>
                <w:sz w:val="16"/>
              </w:rPr>
              <w:t>模型身份与当前草稿状态</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model_fields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ordinal、field_code、logical_type、nullable、is_primary_key、description、sensitivity、source</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模型当前草稿字段集合</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model_versions</w:t>
            </w:r>
          </w:p>
        </w:tc>
        <w:tc>
          <w:tcPr>
            <w:tcW w:type="dxa" w:w="3331"/>
            <w:tcMar>
              <w:top w:w="95" w:type="dxa"/>
              <w:start w:w="105" w:type="dxa"/>
              <w:bottom w:w="95" w:type="dxa"/>
              <w:end w:w="105" w:type="dxa"/>
            </w:tcMar>
            <w:vAlign w:val="center"/>
          </w:tcPr>
          <w:p>
            <w:pPr>
              <w:spacing w:after="0" w:line="240" w:lineRule="auto"/>
            </w:pPr>
            <w:r>
              <w:rPr>
                <w:color w:val="283548"/>
                <w:sz w:val="16"/>
              </w:rPr>
              <w:t>version_no、status、snapshot_json、change_note、created_by</w:t>
            </w:r>
          </w:p>
        </w:tc>
        <w:tc>
          <w:tcPr>
            <w:tcW w:type="dxa" w:w="3331"/>
            <w:tcMar>
              <w:top w:w="95" w:type="dxa"/>
              <w:start w:w="105" w:type="dxa"/>
              <w:bottom w:w="95" w:type="dxa"/>
              <w:end w:w="105" w:type="dxa"/>
            </w:tcMar>
            <w:vAlign w:val="center"/>
          </w:tcPr>
          <w:p>
            <w:pPr>
              <w:spacing w:after="0" w:line="240" w:lineRule="auto"/>
            </w:pPr>
            <w:r>
              <w:rPr>
                <w:color w:val="283548"/>
                <w:sz w:val="16"/>
              </w:rPr>
              <w:t>正式发布版本的不可变快照</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activity_events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event_type、actor、detail_json、request_id、created_at</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描述业务发生了什么；供时间线和生命周期分析</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audit_logs</w:t>
            </w:r>
          </w:p>
        </w:tc>
        <w:tc>
          <w:tcPr>
            <w:tcW w:type="dxa" w:w="3331"/>
            <w:tcMar>
              <w:top w:w="95" w:type="dxa"/>
              <w:start w:w="105" w:type="dxa"/>
              <w:bottom w:w="95" w:type="dxa"/>
              <w:end w:w="105" w:type="dxa"/>
            </w:tcMar>
            <w:vAlign w:val="center"/>
          </w:tcPr>
          <w:p>
            <w:pPr>
              <w:spacing w:after="0" w:line="240" w:lineRule="auto"/>
            </w:pPr>
            <w:r>
              <w:rPr>
                <w:color w:val="283548"/>
                <w:sz w:val="16"/>
              </w:rPr>
              <w:t>object_type、object_id、action、actor、outcome、request_id</w:t>
            </w:r>
          </w:p>
        </w:tc>
        <w:tc>
          <w:tcPr>
            <w:tcW w:type="dxa" w:w="3331"/>
            <w:tcMar>
              <w:top w:w="95" w:type="dxa"/>
              <w:start w:w="105" w:type="dxa"/>
              <w:bottom w:w="95" w:type="dxa"/>
              <w:end w:w="105" w:type="dxa"/>
            </w:tcMar>
            <w:vAlign w:val="center"/>
          </w:tcPr>
          <w:p>
            <w:pPr>
              <w:spacing w:after="0" w:line="240" w:lineRule="auto"/>
            </w:pPr>
            <w:r>
              <w:rPr>
                <w:color w:val="283548"/>
                <w:sz w:val="16"/>
              </w:rPr>
              <w:t>安全与关键操作审计；不等同于活动时间线</w:t>
            </w:r>
          </w:p>
        </w:tc>
      </w:tr>
    </w:tbl>
    <w:p>
      <w:pPr>
        <w:spacing w:after="40"/>
      </w:pPr>
    </w:p>
    <w:p>
      <w:pPr>
        <w:pStyle w:val="Heading2"/>
        <w:keepNext/>
      </w:pPr>
      <w:r>
        <w:t>33.2 约束与索引基线</w:t>
      </w:r>
    </w:p>
    <w:p>
      <w:pPr>
        <w:pStyle w:val="ListBullet"/>
        <w:spacing w:after="40"/>
      </w:pPr>
      <w:r>
        <w:t>项目编码全局唯一；项目内模型编码唯一；同一模型内字段编码唯一；同一模型正式版本号唯一。</w:t>
      </w:r>
    </w:p>
    <w:p>
      <w:pPr>
        <w:pStyle w:val="ListBullet"/>
        <w:spacing w:after="40"/>
      </w:pPr>
      <w:r>
        <w:t>模型清单按 project_id + status 过滤，字段按 model_id + ordinal 排序；事件按 project_id + created_at 检索；审计按 object_type + object_id + created_at 检索。</w:t>
      </w:r>
    </w:p>
    <w:p>
      <w:pPr>
        <w:pStyle w:val="ListBullet"/>
        <w:spacing w:after="40"/>
      </w:pPr>
      <w:r>
        <w:t>业务时间和技术事件统一保存 UTC 时间，前端按用户时区展示；不要把“浏览器本地显示时间”当作唯一存储事实。</w:t>
      </w:r>
    </w:p>
    <w:p>
      <w:pPr>
        <w:pStyle w:val="ListBullet"/>
        <w:spacing w:after="40"/>
      </w:pPr>
      <w:r>
        <w:t>model_versions.snapshot_json 应只保存模型设计元数据，禁止保存样例数据、连接密码、访问令牌或完整 SQL 查询中的敏感数据。</w:t>
      </w:r>
    </w:p>
    <w:p>
      <w:pPr>
        <w:pStyle w:val="Heading2"/>
        <w:keepNext/>
      </w:pPr>
      <w:r>
        <w:t>33.3 SQLite 与 PostgreSQL 的关系</w:t>
      </w:r>
    </w:p>
    <w:p>
      <w:pPr>
        <w:spacing w:after="100" w:line="269" w:lineRule="auto"/>
      </w:pPr>
      <w:r>
        <w:rPr>
          <w:i w:val="0"/>
        </w:rPr>
        <w:t>V0.4 原型通过 SQLAlchemy 实体创建一个最小演示 schema，默认放在 data/platform.db；它与 V0.2 的 schema_v02.sql + V0.3 增量脚本属于不同层次：后者是较完整的目标元数据数据库设计稿，前者用于验证主业务链路。不要在同一数据库上混用未评审的两套 schema。</w:t>
      </w:r>
    </w:p>
    <w:tbl>
      <w:tblPr>
        <w:tblStyle w:val="TableGrid"/>
        <w:tblW w:type="auto" w:w="0"/>
        <w:tblLook w:firstColumn="1" w:firstRow="1" w:lastColumn="0" w:lastRow="0" w:noHBand="0" w:noVBand="1" w:val="04A0"/>
      </w:tblPr>
      <w:tblGrid>
        <w:gridCol w:w="9994"/>
      </w:tblGrid>
      <w:tr>
        <w:tc>
          <w:tcPr>
            <w:tcW w:type="dxa" w:w="9994"/>
            <w:shd w:fill="FFF3DF"/>
            <w:tcMar>
              <w:top w:w="130" w:type="dxa"/>
              <w:start w:w="160" w:type="dxa"/>
              <w:bottom w:w="130" w:type="dxa"/>
              <w:end w:w="160" w:type="dxa"/>
            </w:tcMar>
          </w:tcPr>
          <w:p>
            <w:pPr>
              <w:spacing w:after="80"/>
            </w:pPr>
            <w:r>
              <w:rPr>
                <w:b/>
                <w:color w:val="1E4B87"/>
                <w:sz w:val="20"/>
              </w:rPr>
              <w:t>生产迁移必须走版本化流程</w:t>
            </w:r>
          </w:p>
          <w:p>
            <w:pPr>
              <w:spacing w:after="0"/>
            </w:pPr>
            <w:r>
              <w:rPr>
                <w:color w:val="303F52"/>
                <w:sz w:val="18"/>
              </w:rPr>
              <w:t>正式版不应在服务启动时使用 Base.metadata.create_all 代替数据库迁移。应根据目标 schema 由 Alembic 或等价工具产生 migration revision，审查升级 SQL 与回滚/补偿方案，在隔离环境执行后再纳入发布流水线。涉及字段删除、改名和类型收缩的迁移必须先评估下游依赖。</w:t>
            </w:r>
          </w:p>
        </w:tc>
      </w:tr>
    </w:tbl>
    <w:p>
      <w:pPr>
        <w:spacing w:after="20"/>
      </w:pPr>
    </w:p>
    <w:p>
      <w:pPr>
        <w:pStyle w:val="Heading2"/>
        <w:keepNext/>
      </w:pPr>
      <w:r>
        <w:t>33.4 事务与事件的选择</w:t>
      </w:r>
    </w:p>
    <w:p>
      <w:pPr>
        <w:spacing w:after="100" w:line="269" w:lineRule="auto"/>
      </w:pPr>
      <w:r>
        <w:rPr>
          <w:i w:val="0"/>
        </w:rPr>
        <w:t>当前原型将模型发布状态、版本快照、活动事件和审计事件放入同一数据库事务。随着异步通知、DDL 下发和外部血缘事件加入，建议采用 Transactional Outbox：在业务事务中写 outbox，再由可靠投递 worker 发布消息，使用 event_id 做幂等消费，避免跨系统双写导致状态和事件不一致。</w:t>
      </w:r>
    </w:p>
    <w:p>
      <w:pPr>
        <w:pStyle w:val="Heading1"/>
        <w:keepNext/>
      </w:pPr>
      <w:r>
        <w:t>34. 多引擎 DDL 预览实现规格</w:t>
      </w:r>
    </w:p>
    <w:p>
      <w:pPr>
        <w:pStyle w:val="Heading2"/>
        <w:keepNext/>
      </w:pPr>
      <w:r>
        <w:t>34.1 统一逻辑类型映射</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173B63"/>
            <w:tcMar>
              <w:top w:w="105" w:type="dxa"/>
              <w:start w:w="110" w:type="dxa"/>
              <w:bottom w:w="105" w:type="dxa"/>
              <w:end w:w="110" w:type="dxa"/>
            </w:tcMar>
            <w:vAlign w:val="center"/>
          </w:tcPr>
          <w:p>
            <w:pPr>
              <w:spacing w:after="0"/>
            </w:pPr>
            <w:r>
              <w:rPr>
                <w:b/>
                <w:color w:val="FFFFFF"/>
                <w:sz w:val="16"/>
              </w:rPr>
              <w:t>逻辑类型</w:t>
            </w:r>
          </w:p>
        </w:tc>
        <w:tc>
          <w:tcPr>
            <w:tcW w:type="dxa" w:w="1999"/>
            <w:shd w:fill="173B63"/>
            <w:tcMar>
              <w:top w:w="105" w:type="dxa"/>
              <w:start w:w="110" w:type="dxa"/>
              <w:bottom w:w="105" w:type="dxa"/>
              <w:end w:w="110" w:type="dxa"/>
            </w:tcMar>
            <w:vAlign w:val="center"/>
          </w:tcPr>
          <w:p>
            <w:pPr>
              <w:spacing w:after="0"/>
            </w:pPr>
            <w:r>
              <w:rPr>
                <w:b/>
                <w:color w:val="FFFFFF"/>
                <w:sz w:val="16"/>
              </w:rPr>
              <w:t>PostgreSQL</w:t>
            </w:r>
          </w:p>
        </w:tc>
        <w:tc>
          <w:tcPr>
            <w:tcW w:type="dxa" w:w="1999"/>
            <w:shd w:fill="173B63"/>
            <w:tcMar>
              <w:top w:w="105" w:type="dxa"/>
              <w:start w:w="110" w:type="dxa"/>
              <w:bottom w:w="105" w:type="dxa"/>
              <w:end w:w="110" w:type="dxa"/>
            </w:tcMar>
            <w:vAlign w:val="center"/>
          </w:tcPr>
          <w:p>
            <w:pPr>
              <w:spacing w:after="0"/>
            </w:pPr>
            <w:r>
              <w:rPr>
                <w:b/>
                <w:color w:val="FFFFFF"/>
                <w:sz w:val="16"/>
              </w:rPr>
              <w:t>MySQL</w:t>
            </w:r>
          </w:p>
        </w:tc>
        <w:tc>
          <w:tcPr>
            <w:tcW w:type="dxa" w:w="1999"/>
            <w:shd w:fill="173B63"/>
            <w:tcMar>
              <w:top w:w="105" w:type="dxa"/>
              <w:start w:w="110" w:type="dxa"/>
              <w:bottom w:w="105" w:type="dxa"/>
              <w:end w:w="110" w:type="dxa"/>
            </w:tcMar>
            <w:vAlign w:val="center"/>
          </w:tcPr>
          <w:p>
            <w:pPr>
              <w:spacing w:after="0"/>
            </w:pPr>
            <w:r>
              <w:rPr>
                <w:b/>
                <w:color w:val="FFFFFF"/>
                <w:sz w:val="16"/>
              </w:rPr>
              <w:t>Hive</w:t>
            </w:r>
          </w:p>
        </w:tc>
        <w:tc>
          <w:tcPr>
            <w:tcW w:type="dxa" w:w="1999"/>
            <w:shd w:fill="173B63"/>
            <w:tcMar>
              <w:top w:w="105" w:type="dxa"/>
              <w:start w:w="110" w:type="dxa"/>
              <w:bottom w:w="105" w:type="dxa"/>
              <w:end w:w="110" w:type="dxa"/>
            </w:tcMar>
            <w:vAlign w:val="center"/>
          </w:tcPr>
          <w:p>
            <w:pPr>
              <w:spacing w:after="0"/>
            </w:pPr>
            <w:r>
              <w:rPr>
                <w:b/>
                <w:color w:val="FFFFFF"/>
                <w:sz w:val="16"/>
              </w:rPr>
              <w:t>注意事项</w:t>
            </w:r>
          </w:p>
        </w:tc>
      </w:tr>
      <w:tr>
        <w:trPr>
          <w:cantSplit/>
        </w:trPr>
        <w:tc>
          <w:tcPr>
            <w:tcW w:type="dxa" w:w="1999"/>
            <w:tcMar>
              <w:top w:w="95" w:type="dxa"/>
              <w:start w:w="105" w:type="dxa"/>
              <w:bottom w:w="95" w:type="dxa"/>
              <w:end w:w="105" w:type="dxa"/>
            </w:tcMar>
            <w:vAlign w:val="center"/>
            <w:shd w:fill="F7F9FC"/>
          </w:tcPr>
          <w:p>
            <w:pPr>
              <w:spacing w:after="0" w:line="240" w:lineRule="auto"/>
            </w:pPr>
            <w:r>
              <w:rPr>
                <w:color w:val="283548"/>
                <w:sz w:val="16"/>
              </w:rPr>
              <w:t>STRING</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TEXT</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VARCHAR(255)</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STRING</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MySQL 长字符串长度和字符集须由项目规范确认</w:t>
            </w:r>
          </w:p>
        </w:tc>
      </w:tr>
      <w:tr>
        <w:trPr>
          <w:cantSplit/>
        </w:trPr>
        <w:tc>
          <w:tcPr>
            <w:tcW w:type="dxa" w:w="1999"/>
            <w:tcMar>
              <w:top w:w="95" w:type="dxa"/>
              <w:start w:w="105" w:type="dxa"/>
              <w:bottom w:w="95" w:type="dxa"/>
              <w:end w:w="105" w:type="dxa"/>
            </w:tcMar>
            <w:vAlign w:val="center"/>
          </w:tcPr>
          <w:p>
            <w:pPr>
              <w:spacing w:after="0" w:line="240" w:lineRule="auto"/>
            </w:pPr>
            <w:r>
              <w:rPr>
                <w:color w:val="283548"/>
                <w:sz w:val="16"/>
              </w:rPr>
              <w:t>VARCHAR(n)</w:t>
            </w:r>
          </w:p>
        </w:tc>
        <w:tc>
          <w:tcPr>
            <w:tcW w:type="dxa" w:w="1999"/>
            <w:tcMar>
              <w:top w:w="95" w:type="dxa"/>
              <w:start w:w="105" w:type="dxa"/>
              <w:bottom w:w="95" w:type="dxa"/>
              <w:end w:w="105" w:type="dxa"/>
            </w:tcMar>
            <w:vAlign w:val="center"/>
          </w:tcPr>
          <w:p>
            <w:pPr>
              <w:spacing w:after="0" w:line="240" w:lineRule="auto"/>
            </w:pPr>
            <w:r>
              <w:rPr>
                <w:color w:val="283548"/>
                <w:sz w:val="16"/>
              </w:rPr>
              <w:t>VARCHAR(n)</w:t>
            </w:r>
          </w:p>
        </w:tc>
        <w:tc>
          <w:tcPr>
            <w:tcW w:type="dxa" w:w="1999"/>
            <w:tcMar>
              <w:top w:w="95" w:type="dxa"/>
              <w:start w:w="105" w:type="dxa"/>
              <w:bottom w:w="95" w:type="dxa"/>
              <w:end w:w="105" w:type="dxa"/>
            </w:tcMar>
            <w:vAlign w:val="center"/>
          </w:tcPr>
          <w:p>
            <w:pPr>
              <w:spacing w:after="0" w:line="240" w:lineRule="auto"/>
            </w:pPr>
            <w:r>
              <w:rPr>
                <w:color w:val="283548"/>
                <w:sz w:val="16"/>
              </w:rPr>
              <w:t>VARCHAR(n)</w:t>
            </w:r>
          </w:p>
        </w:tc>
        <w:tc>
          <w:tcPr>
            <w:tcW w:type="dxa" w:w="1999"/>
            <w:tcMar>
              <w:top w:w="95" w:type="dxa"/>
              <w:start w:w="105" w:type="dxa"/>
              <w:bottom w:w="95" w:type="dxa"/>
              <w:end w:w="105" w:type="dxa"/>
            </w:tcMar>
            <w:vAlign w:val="center"/>
          </w:tcPr>
          <w:p>
            <w:pPr>
              <w:spacing w:after="0" w:line="240" w:lineRule="auto"/>
            </w:pPr>
            <w:r>
              <w:rPr>
                <w:color w:val="283548"/>
                <w:sz w:val="16"/>
              </w:rPr>
              <w:t>VARCHAR(n)</w:t>
            </w:r>
          </w:p>
        </w:tc>
        <w:tc>
          <w:tcPr>
            <w:tcW w:type="dxa" w:w="1999"/>
            <w:tcMar>
              <w:top w:w="95" w:type="dxa"/>
              <w:start w:w="105" w:type="dxa"/>
              <w:bottom w:w="95" w:type="dxa"/>
              <w:end w:w="105" w:type="dxa"/>
            </w:tcMar>
            <w:vAlign w:val="center"/>
          </w:tcPr>
          <w:p>
            <w:pPr>
              <w:spacing w:after="0" w:line="240" w:lineRule="auto"/>
            </w:pPr>
            <w:r>
              <w:rPr>
                <w:color w:val="283548"/>
                <w:sz w:val="16"/>
              </w:rPr>
              <w:t>Hive 实际支持情况需按引擎版本集成测试</w:t>
            </w:r>
          </w:p>
        </w:tc>
      </w:tr>
      <w:tr>
        <w:trPr>
          <w:cantSplit/>
        </w:trPr>
        <w:tc>
          <w:tcPr>
            <w:tcW w:type="dxa" w:w="1999"/>
            <w:tcMar>
              <w:top w:w="95" w:type="dxa"/>
              <w:start w:w="105" w:type="dxa"/>
              <w:bottom w:w="95" w:type="dxa"/>
              <w:end w:w="105" w:type="dxa"/>
            </w:tcMar>
            <w:vAlign w:val="center"/>
            <w:shd w:fill="F7F9FC"/>
          </w:tcPr>
          <w:p>
            <w:pPr>
              <w:spacing w:after="0" w:line="240" w:lineRule="auto"/>
            </w:pPr>
            <w:r>
              <w:rPr>
                <w:color w:val="283548"/>
                <w:sz w:val="16"/>
              </w:rPr>
              <w:t>INTEGER</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INTEGER</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INT</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INT</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必须约束溢出和符号范围语义</w:t>
            </w:r>
          </w:p>
        </w:tc>
      </w:tr>
      <w:tr>
        <w:trPr>
          <w:cantSplit/>
        </w:trPr>
        <w:tc>
          <w:tcPr>
            <w:tcW w:type="dxa" w:w="1999"/>
            <w:tcMar>
              <w:top w:w="95" w:type="dxa"/>
              <w:start w:w="105" w:type="dxa"/>
              <w:bottom w:w="95" w:type="dxa"/>
              <w:end w:w="105" w:type="dxa"/>
            </w:tcMar>
            <w:vAlign w:val="center"/>
          </w:tcPr>
          <w:p>
            <w:pPr>
              <w:spacing w:after="0" w:line="240" w:lineRule="auto"/>
            </w:pPr>
            <w:r>
              <w:rPr>
                <w:color w:val="283548"/>
                <w:sz w:val="16"/>
              </w:rPr>
              <w:t>BIGINT</w:t>
            </w:r>
          </w:p>
        </w:tc>
        <w:tc>
          <w:tcPr>
            <w:tcW w:type="dxa" w:w="1999"/>
            <w:tcMar>
              <w:top w:w="95" w:type="dxa"/>
              <w:start w:w="105" w:type="dxa"/>
              <w:bottom w:w="95" w:type="dxa"/>
              <w:end w:w="105" w:type="dxa"/>
            </w:tcMar>
            <w:vAlign w:val="center"/>
          </w:tcPr>
          <w:p>
            <w:pPr>
              <w:spacing w:after="0" w:line="240" w:lineRule="auto"/>
            </w:pPr>
            <w:r>
              <w:rPr>
                <w:color w:val="283548"/>
                <w:sz w:val="16"/>
              </w:rPr>
              <w:t>BIGINT</w:t>
            </w:r>
          </w:p>
        </w:tc>
        <w:tc>
          <w:tcPr>
            <w:tcW w:type="dxa" w:w="1999"/>
            <w:tcMar>
              <w:top w:w="95" w:type="dxa"/>
              <w:start w:w="105" w:type="dxa"/>
              <w:bottom w:w="95" w:type="dxa"/>
              <w:end w:w="105" w:type="dxa"/>
            </w:tcMar>
            <w:vAlign w:val="center"/>
          </w:tcPr>
          <w:p>
            <w:pPr>
              <w:spacing w:after="0" w:line="240" w:lineRule="auto"/>
            </w:pPr>
            <w:r>
              <w:rPr>
                <w:color w:val="283548"/>
                <w:sz w:val="16"/>
              </w:rPr>
              <w:t>BIGINT</w:t>
            </w:r>
          </w:p>
        </w:tc>
        <w:tc>
          <w:tcPr>
            <w:tcW w:type="dxa" w:w="1999"/>
            <w:tcMar>
              <w:top w:w="95" w:type="dxa"/>
              <w:start w:w="105" w:type="dxa"/>
              <w:bottom w:w="95" w:type="dxa"/>
              <w:end w:w="105" w:type="dxa"/>
            </w:tcMar>
            <w:vAlign w:val="center"/>
          </w:tcPr>
          <w:p>
            <w:pPr>
              <w:spacing w:after="0" w:line="240" w:lineRule="auto"/>
            </w:pPr>
            <w:r>
              <w:rPr>
                <w:color w:val="283548"/>
                <w:sz w:val="16"/>
              </w:rPr>
              <w:t>BIGINT</w:t>
            </w:r>
          </w:p>
        </w:tc>
        <w:tc>
          <w:tcPr>
            <w:tcW w:type="dxa" w:w="1999"/>
            <w:tcMar>
              <w:top w:w="95" w:type="dxa"/>
              <w:start w:w="105" w:type="dxa"/>
              <w:bottom w:w="95" w:type="dxa"/>
              <w:end w:w="105" w:type="dxa"/>
            </w:tcMar>
            <w:vAlign w:val="center"/>
          </w:tcPr>
          <w:p>
            <w:pPr>
              <w:spacing w:after="0" w:line="240" w:lineRule="auto"/>
            </w:pPr>
            <w:r>
              <w:rPr>
                <w:color w:val="283548"/>
                <w:sz w:val="16"/>
              </w:rPr>
              <w:t>事实主键不等于业务唯一键</w:t>
            </w:r>
          </w:p>
        </w:tc>
      </w:tr>
      <w:tr>
        <w:trPr>
          <w:cantSplit/>
        </w:trPr>
        <w:tc>
          <w:tcPr>
            <w:tcW w:type="dxa" w:w="1999"/>
            <w:tcMar>
              <w:top w:w="95" w:type="dxa"/>
              <w:start w:w="105" w:type="dxa"/>
              <w:bottom w:w="95" w:type="dxa"/>
              <w:end w:w="105" w:type="dxa"/>
            </w:tcMar>
            <w:vAlign w:val="center"/>
            <w:shd w:fill="F7F9FC"/>
          </w:tcPr>
          <w:p>
            <w:pPr>
              <w:spacing w:after="0" w:line="240" w:lineRule="auto"/>
            </w:pPr>
            <w:r>
              <w:rPr>
                <w:color w:val="283548"/>
                <w:sz w:val="16"/>
              </w:rPr>
              <w:t>DECIMAL(p,s)</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NUMERIC(p,s)</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DECIMAL(p,s)</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DECIMAL(p,s)</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校验 1 ≤ p ≤ 引擎上限、0 ≤ s ≤ p</w:t>
            </w:r>
          </w:p>
        </w:tc>
      </w:tr>
      <w:tr>
        <w:trPr>
          <w:cantSplit/>
        </w:trPr>
        <w:tc>
          <w:tcPr>
            <w:tcW w:type="dxa" w:w="1999"/>
            <w:tcMar>
              <w:top w:w="95" w:type="dxa"/>
              <w:start w:w="105" w:type="dxa"/>
              <w:bottom w:w="95" w:type="dxa"/>
              <w:end w:w="105" w:type="dxa"/>
            </w:tcMar>
            <w:vAlign w:val="center"/>
          </w:tcPr>
          <w:p>
            <w:pPr>
              <w:spacing w:after="0" w:line="240" w:lineRule="auto"/>
            </w:pPr>
            <w:r>
              <w:rPr>
                <w:color w:val="283548"/>
                <w:sz w:val="16"/>
              </w:rPr>
              <w:t>DATE</w:t>
            </w:r>
          </w:p>
        </w:tc>
        <w:tc>
          <w:tcPr>
            <w:tcW w:type="dxa" w:w="1999"/>
            <w:tcMar>
              <w:top w:w="95" w:type="dxa"/>
              <w:start w:w="105" w:type="dxa"/>
              <w:bottom w:w="95" w:type="dxa"/>
              <w:end w:w="105" w:type="dxa"/>
            </w:tcMar>
            <w:vAlign w:val="center"/>
          </w:tcPr>
          <w:p>
            <w:pPr>
              <w:spacing w:after="0" w:line="240" w:lineRule="auto"/>
            </w:pPr>
            <w:r>
              <w:rPr>
                <w:color w:val="283548"/>
                <w:sz w:val="16"/>
              </w:rPr>
              <w:t>DATE</w:t>
            </w:r>
          </w:p>
        </w:tc>
        <w:tc>
          <w:tcPr>
            <w:tcW w:type="dxa" w:w="1999"/>
            <w:tcMar>
              <w:top w:w="95" w:type="dxa"/>
              <w:start w:w="105" w:type="dxa"/>
              <w:bottom w:w="95" w:type="dxa"/>
              <w:end w:w="105" w:type="dxa"/>
            </w:tcMar>
            <w:vAlign w:val="center"/>
          </w:tcPr>
          <w:p>
            <w:pPr>
              <w:spacing w:after="0" w:line="240" w:lineRule="auto"/>
            </w:pPr>
            <w:r>
              <w:rPr>
                <w:color w:val="283548"/>
                <w:sz w:val="16"/>
              </w:rPr>
              <w:t>DATE</w:t>
            </w:r>
          </w:p>
        </w:tc>
        <w:tc>
          <w:tcPr>
            <w:tcW w:type="dxa" w:w="1999"/>
            <w:tcMar>
              <w:top w:w="95" w:type="dxa"/>
              <w:start w:w="105" w:type="dxa"/>
              <w:bottom w:w="95" w:type="dxa"/>
              <w:end w:w="105" w:type="dxa"/>
            </w:tcMar>
            <w:vAlign w:val="center"/>
          </w:tcPr>
          <w:p>
            <w:pPr>
              <w:spacing w:after="0" w:line="240" w:lineRule="auto"/>
            </w:pPr>
            <w:r>
              <w:rPr>
                <w:color w:val="283548"/>
                <w:sz w:val="16"/>
              </w:rPr>
              <w:t>DATE</w:t>
            </w:r>
          </w:p>
        </w:tc>
        <w:tc>
          <w:tcPr>
            <w:tcW w:type="dxa" w:w="1999"/>
            <w:tcMar>
              <w:top w:w="95" w:type="dxa"/>
              <w:start w:w="105" w:type="dxa"/>
              <w:bottom w:w="95" w:type="dxa"/>
              <w:end w:w="105" w:type="dxa"/>
            </w:tcMar>
            <w:vAlign w:val="center"/>
          </w:tcPr>
          <w:p>
            <w:pPr>
              <w:spacing w:after="0" w:line="240" w:lineRule="auto"/>
            </w:pPr>
            <w:r>
              <w:rPr>
                <w:color w:val="283548"/>
                <w:sz w:val="16"/>
              </w:rPr>
              <w:t>时区不适用；时间戳单独定义</w:t>
            </w:r>
          </w:p>
        </w:tc>
      </w:tr>
      <w:tr>
        <w:trPr>
          <w:cantSplit/>
        </w:trPr>
        <w:tc>
          <w:tcPr>
            <w:tcW w:type="dxa" w:w="1999"/>
            <w:tcMar>
              <w:top w:w="95" w:type="dxa"/>
              <w:start w:w="105" w:type="dxa"/>
              <w:bottom w:w="95" w:type="dxa"/>
              <w:end w:w="105" w:type="dxa"/>
            </w:tcMar>
            <w:vAlign w:val="center"/>
            <w:shd w:fill="F7F9FC"/>
          </w:tcPr>
          <w:p>
            <w:pPr>
              <w:spacing w:after="0" w:line="240" w:lineRule="auto"/>
            </w:pPr>
            <w:r>
              <w:rPr>
                <w:color w:val="283548"/>
                <w:sz w:val="16"/>
              </w:rPr>
              <w:t>TIMESTAMP</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TIMESTAMP</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TIMESTAMP</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TIMESTAMP</w:t>
            </w:r>
          </w:p>
        </w:tc>
        <w:tc>
          <w:tcPr>
            <w:tcW w:type="dxa" w:w="1999"/>
            <w:tcMar>
              <w:top w:w="95" w:type="dxa"/>
              <w:start w:w="105" w:type="dxa"/>
              <w:bottom w:w="95" w:type="dxa"/>
              <w:end w:w="105" w:type="dxa"/>
            </w:tcMar>
            <w:vAlign w:val="center"/>
            <w:shd w:fill="F7F9FC"/>
          </w:tcPr>
          <w:p>
            <w:pPr>
              <w:spacing w:after="0" w:line="240" w:lineRule="auto"/>
            </w:pPr>
            <w:r>
              <w:rPr>
                <w:color w:val="283548"/>
                <w:sz w:val="16"/>
              </w:rPr>
              <w:t>时区语义与精度需按引擎定义</w:t>
            </w:r>
          </w:p>
        </w:tc>
      </w:tr>
      <w:tr>
        <w:trPr>
          <w:cantSplit/>
        </w:trPr>
        <w:tc>
          <w:tcPr>
            <w:tcW w:type="dxa" w:w="1999"/>
            <w:tcMar>
              <w:top w:w="95" w:type="dxa"/>
              <w:start w:w="105" w:type="dxa"/>
              <w:bottom w:w="95" w:type="dxa"/>
              <w:end w:w="105" w:type="dxa"/>
            </w:tcMar>
            <w:vAlign w:val="center"/>
          </w:tcPr>
          <w:p>
            <w:pPr>
              <w:spacing w:after="0" w:line="240" w:lineRule="auto"/>
            </w:pPr>
            <w:r>
              <w:rPr>
                <w:color w:val="283548"/>
                <w:sz w:val="16"/>
              </w:rPr>
              <w:t>BOOLEAN</w:t>
            </w:r>
          </w:p>
        </w:tc>
        <w:tc>
          <w:tcPr>
            <w:tcW w:type="dxa" w:w="1999"/>
            <w:tcMar>
              <w:top w:w="95" w:type="dxa"/>
              <w:start w:w="105" w:type="dxa"/>
              <w:bottom w:w="95" w:type="dxa"/>
              <w:end w:w="105" w:type="dxa"/>
            </w:tcMar>
            <w:vAlign w:val="center"/>
          </w:tcPr>
          <w:p>
            <w:pPr>
              <w:spacing w:after="0" w:line="240" w:lineRule="auto"/>
            </w:pPr>
            <w:r>
              <w:rPr>
                <w:color w:val="283548"/>
                <w:sz w:val="16"/>
              </w:rPr>
              <w:t>BOOLEAN</w:t>
            </w:r>
          </w:p>
        </w:tc>
        <w:tc>
          <w:tcPr>
            <w:tcW w:type="dxa" w:w="1999"/>
            <w:tcMar>
              <w:top w:w="95" w:type="dxa"/>
              <w:start w:w="105" w:type="dxa"/>
              <w:bottom w:w="95" w:type="dxa"/>
              <w:end w:w="105" w:type="dxa"/>
            </w:tcMar>
            <w:vAlign w:val="center"/>
          </w:tcPr>
          <w:p>
            <w:pPr>
              <w:spacing w:after="0" w:line="240" w:lineRule="auto"/>
            </w:pPr>
            <w:r>
              <w:rPr>
                <w:color w:val="283548"/>
                <w:sz w:val="16"/>
              </w:rPr>
              <w:t>BOOLEAN</w:t>
            </w:r>
          </w:p>
        </w:tc>
        <w:tc>
          <w:tcPr>
            <w:tcW w:type="dxa" w:w="1999"/>
            <w:tcMar>
              <w:top w:w="95" w:type="dxa"/>
              <w:start w:w="105" w:type="dxa"/>
              <w:bottom w:w="95" w:type="dxa"/>
              <w:end w:w="105" w:type="dxa"/>
            </w:tcMar>
            <w:vAlign w:val="center"/>
          </w:tcPr>
          <w:p>
            <w:pPr>
              <w:spacing w:after="0" w:line="240" w:lineRule="auto"/>
            </w:pPr>
            <w:r>
              <w:rPr>
                <w:color w:val="283548"/>
                <w:sz w:val="16"/>
              </w:rPr>
              <w:t>BOOLEAN</w:t>
            </w:r>
          </w:p>
        </w:tc>
        <w:tc>
          <w:tcPr>
            <w:tcW w:type="dxa" w:w="1999"/>
            <w:tcMar>
              <w:top w:w="95" w:type="dxa"/>
              <w:start w:w="105" w:type="dxa"/>
              <w:bottom w:w="95" w:type="dxa"/>
              <w:end w:w="105" w:type="dxa"/>
            </w:tcMar>
            <w:vAlign w:val="center"/>
          </w:tcPr>
          <w:p>
            <w:pPr>
              <w:spacing w:after="0" w:line="240" w:lineRule="auto"/>
            </w:pPr>
            <w:r>
              <w:rPr>
                <w:color w:val="283548"/>
                <w:sz w:val="16"/>
              </w:rPr>
              <w:t>底层存储和查询语义以引擎文档为准</w:t>
            </w:r>
          </w:p>
        </w:tc>
      </w:tr>
    </w:tbl>
    <w:p>
      <w:pPr>
        <w:spacing w:after="40"/>
      </w:pPr>
    </w:p>
    <w:p>
      <w:pPr>
        <w:pStyle w:val="Heading2"/>
        <w:keepNext/>
      </w:pPr>
      <w:r>
        <w:t>34.2 适配器接口约定</w:t>
      </w:r>
    </w:p>
    <w:p>
      <w:pPr>
        <w:keepLines/>
        <w:spacing w:before="60" w:after="160"/>
        <w:ind w:left="173" w:right="115"/>
        <w:shd w:fill="F0F4F9"/>
      </w:pPr>
      <w:r>
        <w:rPr>
          <w:rFonts w:ascii="Consolas" w:hAnsi="Consolas" w:eastAsia="Microsoft YaHei"/>
          <w:color w:val="263A54"/>
          <w:sz w:val="16"/>
        </w:rPr>
        <w:t>class DDLAdapter(Protocol):</w:t>
      </w:r>
      <w:r>
        <w:br/>
      </w:r>
      <w:r>
        <w:rPr>
          <w:rFonts w:ascii="Consolas" w:hAnsi="Consolas" w:eastAsia="Microsoft YaHei"/>
          <w:color w:val="263A54"/>
          <w:sz w:val="16"/>
        </w:rPr>
        <w:t xml:space="preserve">    engine_name: str</w:t>
      </w:r>
      <w:r>
        <w:br/>
      </w:r>
      <w:r>
        <w:rPr>
          <w:rFonts w:ascii="Consolas" w:hAnsi="Consolas" w:eastAsia="Microsoft YaHei"/>
          <w:color w:val="263A54"/>
          <w:sz w:val="16"/>
        </w:rPr>
        <w:t xml:space="preserve">    def capabilities(self) -&gt; EngineCapabilities: ...</w:t>
      </w:r>
      <w:r>
        <w:br/>
      </w:r>
      <w:r>
        <w:rPr>
          <w:rFonts w:ascii="Consolas" w:hAnsi="Consolas" w:eastAsia="Microsoft YaHei"/>
          <w:color w:val="263A54"/>
          <w:sz w:val="16"/>
        </w:rPr>
        <w:t xml:space="preserve">    def validate_identifier(self, identifier: str) -&gt; ValidationResult: ...</w:t>
      </w:r>
      <w:r>
        <w:br/>
      </w:r>
      <w:r>
        <w:rPr>
          <w:rFonts w:ascii="Consolas" w:hAnsi="Consolas" w:eastAsia="Microsoft YaHei"/>
          <w:color w:val="263A54"/>
          <w:sz w:val="16"/>
        </w:rPr>
        <w:t xml:space="preserve">    def map_type(self, logical_type: LogicalType, options: TypeOptions) -&gt; PhysicalType: ...</w:t>
      </w:r>
      <w:r>
        <w:br/>
      </w:r>
      <w:r>
        <w:rPr>
          <w:rFonts w:ascii="Consolas" w:hAnsi="Consolas" w:eastAsia="Microsoft YaHei"/>
          <w:color w:val="263A54"/>
          <w:sz w:val="16"/>
        </w:rPr>
        <w:t xml:space="preserve">    def generate_create_table(self, model_snapshot: ModelSnapshot) -&gt; DDLArtifact: ...</w:t>
      </w:r>
      <w:r>
        <w:br/>
      </w:r>
      <w:r>
        <w:rPr>
          <w:rFonts w:ascii="Consolas" w:hAnsi="Consolas" w:eastAsia="Microsoft YaHei"/>
          <w:color w:val="263A54"/>
          <w:sz w:val="16"/>
        </w:rPr>
        <w:t xml:space="preserve">    def validate_ddl(self, artifact: DDLArtifact) -&gt; list[ValidationIssue]: ...</w:t>
      </w:r>
    </w:p>
    <w:p>
      <w:pPr>
        <w:spacing w:after="100" w:line="269" w:lineRule="auto"/>
      </w:pPr>
      <w:r>
        <w:rPr>
          <w:i w:val="0"/>
        </w:rPr>
        <w:t>每个适配器应该公开引擎名称、版本范围、逻辑类型映射、标识符长度、注释、分区/分桶、主键约束、存储属性和特殊索引等能力。平台按能力决定展示哪些配置项，不把 PostgreSQL 的假设直接套用到 Hive、Doris、StarRocks 等引擎。</w:t>
      </w:r>
    </w:p>
    <w:p>
      <w:pPr>
        <w:pStyle w:val="Heading2"/>
        <w:keepNext/>
      </w:pPr>
      <w:r>
        <w:t>34.3 DDL 安全与质量规则</w:t>
      </w:r>
    </w:p>
    <w:p>
      <w:pPr>
        <w:pStyle w:val="ListBullet"/>
        <w:spacing w:after="40"/>
      </w:pPr>
      <w:r>
        <w:t>物理表名、字段名、schema 名必须执行白名单校验；标识符不能靠简单的字符串转义解决。</w:t>
      </w:r>
    </w:p>
    <w:p>
      <w:pPr>
        <w:pStyle w:val="ListBullet"/>
        <w:spacing w:after="40"/>
      </w:pPr>
      <w:r>
        <w:t>默认值只支持经过白名单校验的字面值/有限表达式；复杂表达式由目标引擎专项适配与测试，不接受任意输入。</w:t>
      </w:r>
    </w:p>
    <w:p>
      <w:pPr>
        <w:pStyle w:val="ListBullet"/>
        <w:spacing w:after="40"/>
      </w:pPr>
      <w:r>
        <w:t>字段类型需要验证长度、精度、scale、引擎上限、保留字、标识符长度及关键字冲突。</w:t>
      </w:r>
    </w:p>
    <w:p>
      <w:pPr>
        <w:pStyle w:val="ListBullet"/>
        <w:spacing w:after="40"/>
      </w:pPr>
      <w:r>
        <w:t>Hive 中逻辑主键只作为说明注释呈现，不能声称被 Hive 强制执行；不同 OLAP 引擎的 Key 模型需独立适配。</w:t>
      </w:r>
    </w:p>
    <w:p>
      <w:pPr>
        <w:pStyle w:val="ListBullet"/>
        <w:spacing w:after="40"/>
      </w:pPr>
      <w:r>
        <w:t>DDL 预览响应必须明确 target_engine、model_revision/version、生成时间、warnings、execute_on_target=false。</w:t>
      </w:r>
    </w:p>
    <w:p>
      <w:pPr>
        <w:pStyle w:val="ListBullet"/>
        <w:spacing w:after="40"/>
      </w:pPr>
      <w:r>
        <w:t>在确认连接管理、权限、审批、幂等、迁移计划和回滚策略之前，不提供“点击发布即执行 DDL”的快捷路径。</w:t>
      </w:r>
    </w:p>
    <w:p>
      <w:pPr>
        <w:pStyle w:val="Heading2"/>
        <w:keepNext/>
      </w:pPr>
      <w:r>
        <w:t>34.4 DDL 工件契约建议</w:t>
      </w:r>
    </w:p>
    <w:p>
      <w:pPr>
        <w:keepLines/>
        <w:spacing w:before="60" w:after="160"/>
        <w:ind w:left="173" w:right="115"/>
        <w:shd w:fill="F0F4F9"/>
      </w:pPr>
      <w:r>
        <w:rPr>
          <w:rFonts w:ascii="Consolas" w:hAnsi="Consolas" w:eastAsia="Microsoft YaHei"/>
          <w:color w:val="263A54"/>
          <w:sz w:val="16"/>
        </w:rPr>
        <w:t>{</w:t>
      </w:r>
      <w:r>
        <w:br/>
      </w:r>
      <w:r>
        <w:rPr>
          <w:rFonts w:ascii="Consolas" w:hAnsi="Consolas" w:eastAsia="Microsoft YaHei"/>
          <w:color w:val="263A54"/>
          <w:sz w:val="16"/>
        </w:rPr>
        <w:t xml:space="preserve">  "artifact_type": "ddl_preview",</w:t>
      </w:r>
      <w:r>
        <w:br/>
      </w:r>
      <w:r>
        <w:rPr>
          <w:rFonts w:ascii="Consolas" w:hAnsi="Consolas" w:eastAsia="Microsoft YaHei"/>
          <w:color w:val="263A54"/>
          <w:sz w:val="16"/>
        </w:rPr>
        <w:t xml:space="preserve">  "model_id": 42,</w:t>
      </w:r>
      <w:r>
        <w:br/>
      </w:r>
      <w:r>
        <w:rPr>
          <w:rFonts w:ascii="Consolas" w:hAnsi="Consolas" w:eastAsia="Microsoft YaHei"/>
          <w:color w:val="263A54"/>
          <w:sz w:val="16"/>
        </w:rPr>
        <w:t xml:space="preserve">  "model_revision": 5,</w:t>
      </w:r>
      <w:r>
        <w:br/>
      </w:r>
      <w:r>
        <w:rPr>
          <w:rFonts w:ascii="Consolas" w:hAnsi="Consolas" w:eastAsia="Microsoft YaHei"/>
          <w:color w:val="263A54"/>
          <w:sz w:val="16"/>
        </w:rPr>
        <w:t xml:space="preserve">  "target_engine": "postgresql",</w:t>
      </w:r>
      <w:r>
        <w:br/>
      </w:r>
      <w:r>
        <w:rPr>
          <w:rFonts w:ascii="Consolas" w:hAnsi="Consolas" w:eastAsia="Microsoft YaHei"/>
          <w:color w:val="263A54"/>
          <w:sz w:val="16"/>
        </w:rPr>
        <w:t xml:space="preserve">  "dialect_version": "configured-by-adapter",</w:t>
      </w:r>
      <w:r>
        <w:br/>
      </w:r>
      <w:r>
        <w:rPr>
          <w:rFonts w:ascii="Consolas" w:hAnsi="Consolas" w:eastAsia="Microsoft YaHei"/>
          <w:color w:val="263A54"/>
          <w:sz w:val="16"/>
        </w:rPr>
        <w:t xml:space="preserve">  "validation": {"passed": true, "warnings": []},</w:t>
      </w:r>
      <w:r>
        <w:br/>
      </w:r>
      <w:r>
        <w:rPr>
          <w:rFonts w:ascii="Consolas" w:hAnsi="Consolas" w:eastAsia="Microsoft YaHei"/>
          <w:color w:val="263A54"/>
          <w:sz w:val="16"/>
        </w:rPr>
        <w:t xml:space="preserve">  "execute_on_target": false,</w:t>
      </w:r>
      <w:r>
        <w:br/>
      </w:r>
      <w:r>
        <w:rPr>
          <w:rFonts w:ascii="Consolas" w:hAnsi="Consolas" w:eastAsia="Microsoft YaHei"/>
          <w:color w:val="263A54"/>
          <w:sz w:val="16"/>
        </w:rPr>
        <w:t xml:space="preserve">  "ddl": "CREATE TABLE ...",</w:t>
      </w:r>
      <w:r>
        <w:br/>
      </w:r>
      <w:r>
        <w:rPr>
          <w:rFonts w:ascii="Consolas" w:hAnsi="Consolas" w:eastAsia="Microsoft YaHei"/>
          <w:color w:val="263A54"/>
          <w:sz w:val="16"/>
        </w:rPr>
        <w:t xml:space="preserve">  "content_hash": "sha256-of-normalized-ddl"</w:t>
      </w:r>
      <w:r>
        <w:br/>
      </w:r>
      <w:r>
        <w:rPr>
          <w:rFonts w:ascii="Consolas" w:hAnsi="Consolas" w:eastAsia="Microsoft YaHei"/>
          <w:color w:val="263A54"/>
          <w:sz w:val="16"/>
        </w:rPr>
        <w:t>}</w:t>
      </w:r>
    </w:p>
    <w:p>
      <w:pPr>
        <w:pStyle w:val="Heading1"/>
        <w:keepNext/>
      </w:pPr>
      <w:r>
        <w:t>35. 交互落地细节与防数据丢失策略</w:t>
      </w:r>
    </w:p>
    <w:p>
      <w:pPr>
        <w:pStyle w:val="Heading2"/>
        <w:keepNext/>
      </w:pPr>
      <w:r>
        <w:t>35.1 本原型已实现的交互</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交互点</w:t>
            </w:r>
          </w:p>
        </w:tc>
        <w:tc>
          <w:tcPr>
            <w:tcW w:type="dxa" w:w="3331"/>
            <w:shd w:fill="173B63"/>
            <w:tcMar>
              <w:top w:w="105" w:type="dxa"/>
              <w:start w:w="110" w:type="dxa"/>
              <w:bottom w:w="105" w:type="dxa"/>
              <w:end w:w="110" w:type="dxa"/>
            </w:tcMar>
            <w:vAlign w:val="center"/>
          </w:tcPr>
          <w:p>
            <w:pPr>
              <w:spacing w:after="0"/>
            </w:pPr>
            <w:r>
              <w:rPr>
                <w:b/>
                <w:color w:val="FFFFFF"/>
                <w:sz w:val="16"/>
              </w:rPr>
              <w:t>当前行为</w:t>
            </w:r>
          </w:p>
        </w:tc>
        <w:tc>
          <w:tcPr>
            <w:tcW w:type="dxa" w:w="3331"/>
            <w:shd w:fill="173B63"/>
            <w:tcMar>
              <w:top w:w="105" w:type="dxa"/>
              <w:start w:w="110" w:type="dxa"/>
              <w:bottom w:w="105" w:type="dxa"/>
              <w:end w:w="110" w:type="dxa"/>
            </w:tcMar>
            <w:vAlign w:val="center"/>
          </w:tcPr>
          <w:p>
            <w:pPr>
              <w:spacing w:after="0"/>
            </w:pPr>
            <w:r>
              <w:rPr>
                <w:b/>
                <w:color w:val="FFFFFF"/>
                <w:sz w:val="16"/>
              </w:rPr>
              <w:t>后续正式版建议</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模型列表</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按名称/编码搜索，按状态筛选，点击进入编辑区</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服务端分页、排序、保存视图、列选择、快捷筛选和空结果引导</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字段编辑</w:t>
            </w:r>
          </w:p>
        </w:tc>
        <w:tc>
          <w:tcPr>
            <w:tcW w:type="dxa" w:w="3331"/>
            <w:tcMar>
              <w:top w:w="95" w:type="dxa"/>
              <w:start w:w="105" w:type="dxa"/>
              <w:bottom w:w="95" w:type="dxa"/>
              <w:end w:w="105" w:type="dxa"/>
            </w:tcMar>
            <w:vAlign w:val="center"/>
          </w:tcPr>
          <w:p>
            <w:pPr>
              <w:spacing w:after="0" w:line="240" w:lineRule="auto"/>
            </w:pPr>
            <w:r>
              <w:rPr>
                <w:color w:val="283548"/>
                <w:sz w:val="16"/>
              </w:rPr>
              <w:t>新增、删除、编码/中文名/类型/主键/可空/描述编辑</w:t>
            </w:r>
          </w:p>
        </w:tc>
        <w:tc>
          <w:tcPr>
            <w:tcW w:type="dxa" w:w="3331"/>
            <w:tcMar>
              <w:top w:w="95" w:type="dxa"/>
              <w:start w:w="105" w:type="dxa"/>
              <w:bottom w:w="95" w:type="dxa"/>
              <w:end w:w="105" w:type="dxa"/>
            </w:tcMar>
            <w:vAlign w:val="center"/>
          </w:tcPr>
          <w:p>
            <w:pPr>
              <w:spacing w:after="0" w:line="240" w:lineRule="auto"/>
            </w:pPr>
            <w:r>
              <w:rPr>
                <w:color w:val="283548"/>
                <w:sz w:val="16"/>
              </w:rPr>
              <w:t>Excel/CSV 粘贴预览、批量填充、拖拽排序、撤销/重做、字段模板</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显式保存</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保存按钮与 Ctrl+S；保存成功更新 edit_revision</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防抖自动保存；保存队列去重；网络恢复后安全重试；服务端校验反馈</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未保存保护</w:t>
            </w:r>
          </w:p>
        </w:tc>
        <w:tc>
          <w:tcPr>
            <w:tcW w:type="dxa" w:w="3331"/>
            <w:tcMar>
              <w:top w:w="95" w:type="dxa"/>
              <w:start w:w="105" w:type="dxa"/>
              <w:bottom w:w="95" w:type="dxa"/>
              <w:end w:w="105" w:type="dxa"/>
            </w:tcMar>
            <w:vAlign w:val="center"/>
          </w:tcPr>
          <w:p>
            <w:pPr>
              <w:spacing w:after="0" w:line="240" w:lineRule="auto"/>
            </w:pPr>
            <w:r>
              <w:rPr>
                <w:color w:val="283548"/>
                <w:sz w:val="16"/>
              </w:rPr>
              <w:t>关闭编辑器、切换模型/新建模型前提示确认放弃</w:t>
            </w:r>
          </w:p>
        </w:tc>
        <w:tc>
          <w:tcPr>
            <w:tcW w:type="dxa" w:w="3331"/>
            <w:tcMar>
              <w:top w:w="95" w:type="dxa"/>
              <w:start w:w="105" w:type="dxa"/>
              <w:bottom w:w="95" w:type="dxa"/>
              <w:end w:w="105" w:type="dxa"/>
            </w:tcMar>
            <w:vAlign w:val="center"/>
          </w:tcPr>
          <w:p>
            <w:pPr>
              <w:spacing w:after="0" w:line="240" w:lineRule="auto"/>
            </w:pPr>
            <w:r>
              <w:rPr>
                <w:color w:val="283548"/>
                <w:sz w:val="16"/>
              </w:rPr>
              <w:t>离开路由/关页提示；本地暂存只保存非敏感设计数据并设置过期时间</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错误提示</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展示业务错误码、消息和请求 ID</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关联可点击的日志/Trace 查询链接，区分可重试、需修正和权限错误</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评审和发布</w:t>
            </w:r>
          </w:p>
        </w:tc>
        <w:tc>
          <w:tcPr>
            <w:tcW w:type="dxa" w:w="3331"/>
            <w:tcMar>
              <w:top w:w="95" w:type="dxa"/>
              <w:start w:w="105" w:type="dxa"/>
              <w:bottom w:w="95" w:type="dxa"/>
              <w:end w:w="105" w:type="dxa"/>
            </w:tcMar>
            <w:vAlign w:val="center"/>
          </w:tcPr>
          <w:p>
            <w:pPr>
              <w:spacing w:after="0" w:line="240" w:lineRule="auto"/>
            </w:pPr>
            <w:r>
              <w:rPr>
                <w:color w:val="283548"/>
                <w:sz w:val="16"/>
              </w:rPr>
              <w:t>依据状态启用/禁用按钮</w:t>
            </w:r>
          </w:p>
        </w:tc>
        <w:tc>
          <w:tcPr>
            <w:tcW w:type="dxa" w:w="3331"/>
            <w:tcMar>
              <w:top w:w="95" w:type="dxa"/>
              <w:start w:w="105" w:type="dxa"/>
              <w:bottom w:w="95" w:type="dxa"/>
              <w:end w:w="105" w:type="dxa"/>
            </w:tcMar>
            <w:vAlign w:val="center"/>
          </w:tcPr>
          <w:p>
            <w:pPr>
              <w:spacing w:after="0" w:line="240" w:lineRule="auto"/>
            </w:pPr>
            <w:r>
              <w:rPr>
                <w:color w:val="283548"/>
                <w:sz w:val="16"/>
              </w:rPr>
              <w:t>评审快照只读，差异对比，评审任务待办，发布影响范围确认</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DDL</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选择目标引擎，生成语法高亮前的文本预览</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复制/下载、diff、引擎执行验证沙箱、DDL 工件版本化</w:t>
            </w:r>
          </w:p>
        </w:tc>
      </w:tr>
    </w:tbl>
    <w:p>
      <w:pPr>
        <w:spacing w:after="40"/>
      </w:pPr>
    </w:p>
    <w:p>
      <w:pPr>
        <w:pStyle w:val="Heading2"/>
        <w:keepNext/>
      </w:pPr>
      <w:r>
        <w:t>35.2 统一的页面状态</w:t>
      </w:r>
    </w:p>
    <w:p>
      <w:pPr>
        <w:pStyle w:val="ListBullet"/>
        <w:spacing w:after="40"/>
      </w:pPr>
      <w:r>
        <w:t>加载态：页面骨架或局部 spinner；加载期间避免重复提交同一操作。</w:t>
      </w:r>
    </w:p>
    <w:p>
      <w:pPr>
        <w:pStyle w:val="ListBullet"/>
        <w:spacing w:after="40"/>
      </w:pPr>
      <w:r>
        <w:t>空态：解释为何为空，并给出允许的下一步动作；不要只显示“无数据”。</w:t>
      </w:r>
    </w:p>
    <w:p>
      <w:pPr>
        <w:pStyle w:val="ListBullet"/>
        <w:spacing w:after="40"/>
      </w:pPr>
      <w:r>
        <w:t>错误态：保留用户输入和字段草稿；展示错误码及 request_id，不把堆栈直接放到用户页面。</w:t>
      </w:r>
    </w:p>
    <w:p>
      <w:pPr>
        <w:pStyle w:val="ListBullet"/>
        <w:spacing w:after="40"/>
      </w:pPr>
      <w:r>
        <w:t>成功态：明确操作结果，例如“已保存 R5”或“已发布 V2”，避免只给短暂无上下文的绿色提示。</w:t>
      </w:r>
    </w:p>
    <w:p>
      <w:pPr>
        <w:pStyle w:val="ListBullet"/>
        <w:spacing w:after="40"/>
      </w:pPr>
      <w:r>
        <w:t>权限不足态：说明当前用户不能执行该操作，并提供权限申请入口；隐藏按钮不是权限控制。</w:t>
      </w:r>
    </w:p>
    <w:p>
      <w:pPr>
        <w:pStyle w:val="ListBullet"/>
        <w:spacing w:after="40"/>
      </w:pPr>
      <w:r>
        <w:t>冲突态：保留本地内容，提供“重新加载”“比较变更”“复制本地内容”选项，禁止静默覆盖。</w:t>
      </w:r>
    </w:p>
    <w:p>
      <w:pPr>
        <w:pStyle w:val="Heading2"/>
        <w:keepNext/>
      </w:pPr>
      <w:r>
        <w:t>35.3 自动保存的正式实现建议</w:t>
      </w:r>
    </w:p>
    <w:p>
      <w:pPr>
        <w:spacing w:after="100" w:line="269" w:lineRule="auto"/>
      </w:pPr>
      <w:r>
        <w:rPr>
          <w:i w:val="0"/>
        </w:rPr>
        <w:t>V0.4 为便于验收使用显式保存，尚未实现定时自动保存。进入生产交互迭代后建议采用输入停止 1–2 秒触发防抖保存、每个模型最多一个进行中的保存请求、请求合并、revision/ETag 条件更新和失败重试退避。自动保存只代表草稿持久化，不代表校验通过、评审通过或正式发布。状态区应清楚显示“未保存 / 保存中 / 已保存 / 保存失败 / 版本冲突”。</w:t>
      </w:r>
    </w:p>
    <w:p>
      <w:pPr>
        <w:pStyle w:val="Heading2"/>
        <w:keepNext/>
      </w:pPr>
      <w:r>
        <w:t>35.4 快捷键与可访问性</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快捷键/行为</w:t>
            </w:r>
          </w:p>
        </w:tc>
        <w:tc>
          <w:tcPr>
            <w:tcW w:type="dxa" w:w="3331"/>
            <w:shd w:fill="173B63"/>
            <w:tcMar>
              <w:top w:w="105" w:type="dxa"/>
              <w:start w:w="110" w:type="dxa"/>
              <w:bottom w:w="105" w:type="dxa"/>
              <w:end w:w="110" w:type="dxa"/>
            </w:tcMar>
            <w:vAlign w:val="center"/>
          </w:tcPr>
          <w:p>
            <w:pPr>
              <w:spacing w:after="0"/>
            </w:pPr>
            <w:r>
              <w:rPr>
                <w:b/>
                <w:color w:val="FFFFFF"/>
                <w:sz w:val="16"/>
              </w:rPr>
              <w:t>当前/建议定义</w:t>
            </w:r>
          </w:p>
        </w:tc>
        <w:tc>
          <w:tcPr>
            <w:tcW w:type="dxa" w:w="3331"/>
            <w:shd w:fill="173B63"/>
            <w:tcMar>
              <w:top w:w="105" w:type="dxa"/>
              <w:start w:w="110" w:type="dxa"/>
              <w:bottom w:w="105" w:type="dxa"/>
              <w:end w:w="110" w:type="dxa"/>
            </w:tcMar>
            <w:vAlign w:val="center"/>
          </w:tcPr>
          <w:p>
            <w:pPr>
              <w:spacing w:after="0"/>
            </w:pPr>
            <w:r>
              <w:rPr>
                <w:b/>
                <w:color w:val="FFFFFF"/>
                <w:sz w:val="16"/>
              </w:rPr>
              <w:t>注意点</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Ctrl/Cmd + 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保存草稿</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仅在可编辑草稿时生效；成功后更新修订号</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Esc</w:t>
            </w:r>
          </w:p>
        </w:tc>
        <w:tc>
          <w:tcPr>
            <w:tcW w:type="dxa" w:w="3331"/>
            <w:tcMar>
              <w:top w:w="95" w:type="dxa"/>
              <w:start w:w="105" w:type="dxa"/>
              <w:bottom w:w="95" w:type="dxa"/>
              <w:end w:w="105" w:type="dxa"/>
            </w:tcMar>
            <w:vAlign w:val="center"/>
          </w:tcPr>
          <w:p>
            <w:pPr>
              <w:spacing w:after="0" w:line="240" w:lineRule="auto"/>
            </w:pPr>
            <w:r>
              <w:rPr>
                <w:color w:val="283548"/>
                <w:sz w:val="16"/>
              </w:rPr>
              <w:t>关闭编辑器（存在未保存更改时二次确认）</w:t>
            </w:r>
          </w:p>
        </w:tc>
        <w:tc>
          <w:tcPr>
            <w:tcW w:type="dxa" w:w="3331"/>
            <w:tcMar>
              <w:top w:w="95" w:type="dxa"/>
              <w:start w:w="105" w:type="dxa"/>
              <w:bottom w:w="95" w:type="dxa"/>
              <w:end w:w="105" w:type="dxa"/>
            </w:tcMar>
            <w:vAlign w:val="center"/>
          </w:tcPr>
          <w:p>
            <w:pPr>
              <w:spacing w:after="0" w:line="240" w:lineRule="auto"/>
            </w:pPr>
            <w:r>
              <w:rPr>
                <w:color w:val="283548"/>
                <w:sz w:val="16"/>
              </w:rPr>
              <w:t>不应无提示丢失内容</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Tab / Shift+Tab</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按逻辑顺序聚焦控件</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表格行内编辑可按字段顺序导航</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Enter</w:t>
            </w:r>
          </w:p>
        </w:tc>
        <w:tc>
          <w:tcPr>
            <w:tcW w:type="dxa" w:w="3331"/>
            <w:tcMar>
              <w:top w:w="95" w:type="dxa"/>
              <w:start w:w="105" w:type="dxa"/>
              <w:bottom w:w="95" w:type="dxa"/>
              <w:end w:w="105" w:type="dxa"/>
            </w:tcMar>
            <w:vAlign w:val="center"/>
          </w:tcPr>
          <w:p>
            <w:pPr>
              <w:spacing w:after="0" w:line="240" w:lineRule="auto"/>
            </w:pPr>
            <w:r>
              <w:rPr>
                <w:color w:val="283548"/>
                <w:sz w:val="16"/>
              </w:rPr>
              <w:t>在非多行输入框中可提交当前控件</w:t>
            </w:r>
          </w:p>
        </w:tc>
        <w:tc>
          <w:tcPr>
            <w:tcW w:type="dxa" w:w="3331"/>
            <w:tcMar>
              <w:top w:w="95" w:type="dxa"/>
              <w:start w:w="105" w:type="dxa"/>
              <w:bottom w:w="95" w:type="dxa"/>
              <w:end w:w="105" w:type="dxa"/>
            </w:tcMar>
            <w:vAlign w:val="center"/>
          </w:tcPr>
          <w:p>
            <w:pPr>
              <w:spacing w:after="0" w:line="240" w:lineRule="auto"/>
            </w:pPr>
            <w:r>
              <w:rPr>
                <w:color w:val="283548"/>
                <w:sz w:val="16"/>
              </w:rPr>
              <w:t>避免在 textarea 内误触发保存</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颜色 + 文本</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状态必须同时显示文字，不仅依赖颜色</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覆盖色觉差异并满足 WCAG 可访问性要求</w:t>
            </w:r>
          </w:p>
        </w:tc>
      </w:tr>
    </w:tbl>
    <w:p>
      <w:pPr>
        <w:spacing w:after="40"/>
      </w:pPr>
    </w:p>
    <w:p>
      <w:pPr>
        <w:pStyle w:val="Heading1"/>
        <w:keepNext/>
      </w:pPr>
      <w:r>
        <w:t>36. 可观测性实现与生产化演进</w:t>
      </w:r>
    </w:p>
    <w:p>
      <w:pPr>
        <w:pStyle w:val="Heading2"/>
        <w:keepNext/>
      </w:pPr>
      <w:r>
        <w:t>36.1 V0.4 已有遥测点</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信号</w:t>
            </w:r>
          </w:p>
        </w:tc>
        <w:tc>
          <w:tcPr>
            <w:tcW w:type="dxa" w:w="3331"/>
            <w:shd w:fill="173B63"/>
            <w:tcMar>
              <w:top w:w="105" w:type="dxa"/>
              <w:start w:w="110" w:type="dxa"/>
              <w:bottom w:w="105" w:type="dxa"/>
              <w:end w:w="110" w:type="dxa"/>
            </w:tcMar>
            <w:vAlign w:val="center"/>
          </w:tcPr>
          <w:p>
            <w:pPr>
              <w:spacing w:after="0"/>
            </w:pPr>
            <w:r>
              <w:rPr>
                <w:b/>
                <w:color w:val="FFFFFF"/>
                <w:sz w:val="16"/>
              </w:rPr>
              <w:t>原型实现</w:t>
            </w:r>
          </w:p>
        </w:tc>
        <w:tc>
          <w:tcPr>
            <w:tcW w:type="dxa" w:w="3331"/>
            <w:shd w:fill="173B63"/>
            <w:tcMar>
              <w:top w:w="105" w:type="dxa"/>
              <w:start w:w="110" w:type="dxa"/>
              <w:bottom w:w="105" w:type="dxa"/>
              <w:end w:w="110" w:type="dxa"/>
            </w:tcMar>
            <w:vAlign w:val="center"/>
          </w:tcPr>
          <w:p>
            <w:pPr>
              <w:spacing w:after="0"/>
            </w:pPr>
            <w:r>
              <w:rPr>
                <w:b/>
                <w:color w:val="FFFFFF"/>
                <w:sz w:val="16"/>
              </w:rPr>
              <w:t>范围/限制</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请求关联</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所有响应带 X-Request-ID；应用日志含 request_id、method、path、status、duration_ms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尚未传播 trace_id/span_id；客户端自定义 ID 生产需校验</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应用日志</w:t>
            </w:r>
          </w:p>
        </w:tc>
        <w:tc>
          <w:tcPr>
            <w:tcW w:type="dxa" w:w="3331"/>
            <w:tcMar>
              <w:top w:w="95" w:type="dxa"/>
              <w:start w:w="105" w:type="dxa"/>
              <w:bottom w:w="95" w:type="dxa"/>
              <w:end w:w="105" w:type="dxa"/>
            </w:tcMar>
            <w:vAlign w:val="center"/>
          </w:tcPr>
          <w:p>
            <w:pPr>
              <w:spacing w:after="0" w:line="240" w:lineRule="auto"/>
            </w:pPr>
            <w:r>
              <w:rPr>
                <w:color w:val="283548"/>
                <w:sz w:val="16"/>
              </w:rPr>
              <w:t>记录请求完成和未捕获异常</w:t>
            </w:r>
          </w:p>
        </w:tc>
        <w:tc>
          <w:tcPr>
            <w:tcW w:type="dxa" w:w="3331"/>
            <w:tcMar>
              <w:top w:w="95" w:type="dxa"/>
              <w:start w:w="105" w:type="dxa"/>
              <w:bottom w:w="95" w:type="dxa"/>
              <w:end w:w="105" w:type="dxa"/>
            </w:tcMar>
            <w:vAlign w:val="center"/>
          </w:tcPr>
          <w:p>
            <w:pPr>
              <w:spacing w:after="0" w:line="240" w:lineRule="auto"/>
            </w:pPr>
            <w:r>
              <w:rPr>
                <w:color w:val="283548"/>
                <w:sz w:val="16"/>
              </w:rPr>
              <w:t>开发日志格式简单；生产采用 JSON 日志、统一时间戳和脱敏过滤</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业务活动</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创建/保存/校验/评审/发布/DDL 预览写入 activity_events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业务事件可查询；需按数据保留策略归档</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安全审计</w:t>
            </w:r>
          </w:p>
        </w:tc>
        <w:tc>
          <w:tcPr>
            <w:tcW w:type="dxa" w:w="3331"/>
            <w:tcMar>
              <w:top w:w="95" w:type="dxa"/>
              <w:start w:w="105" w:type="dxa"/>
              <w:bottom w:w="95" w:type="dxa"/>
              <w:end w:w="105" w:type="dxa"/>
            </w:tcMar>
            <w:vAlign w:val="center"/>
          </w:tcPr>
          <w:p>
            <w:pPr>
              <w:spacing w:after="0" w:line="240" w:lineRule="auto"/>
            </w:pPr>
            <w:r>
              <w:rPr>
                <w:color w:val="283548"/>
                <w:sz w:val="16"/>
              </w:rPr>
              <w:t>创建、评审决定、发布等关键动作写入 audit_logs</w:t>
            </w:r>
          </w:p>
        </w:tc>
        <w:tc>
          <w:tcPr>
            <w:tcW w:type="dxa" w:w="3331"/>
            <w:tcMar>
              <w:top w:w="95" w:type="dxa"/>
              <w:start w:w="105" w:type="dxa"/>
              <w:bottom w:w="95" w:type="dxa"/>
              <w:end w:w="105" w:type="dxa"/>
            </w:tcMar>
            <w:vAlign w:val="center"/>
          </w:tcPr>
          <w:p>
            <w:pPr>
              <w:spacing w:after="0" w:line="240" w:lineRule="auto"/>
            </w:pPr>
            <w:r>
              <w:rPr>
                <w:color w:val="283548"/>
                <w:sz w:val="16"/>
              </w:rPr>
              <w:t>演示身份不可用于审计合规；生产身份必须来自认证系统</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指标</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/metrics 暴露简化请求计数和累计耗时；/api/observability/summary 展示进程内计数</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内存计数重启清零；多 worker 或多实例无法合并，不能用于 SLO</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健康检查</w:t>
            </w:r>
          </w:p>
        </w:tc>
        <w:tc>
          <w:tcPr>
            <w:tcW w:type="dxa" w:w="3331"/>
            <w:tcMar>
              <w:top w:w="95" w:type="dxa"/>
              <w:start w:w="105" w:type="dxa"/>
              <w:bottom w:w="95" w:type="dxa"/>
              <w:end w:w="105" w:type="dxa"/>
            </w:tcMar>
            <w:vAlign w:val="center"/>
          </w:tcPr>
          <w:p>
            <w:pPr>
              <w:spacing w:after="0" w:line="240" w:lineRule="auto"/>
            </w:pPr>
            <w:r>
              <w:rPr>
                <w:color w:val="283548"/>
                <w:sz w:val="16"/>
              </w:rPr>
              <w:t>/api/health 验证 API 与 DB 查询</w:t>
            </w:r>
          </w:p>
        </w:tc>
        <w:tc>
          <w:tcPr>
            <w:tcW w:type="dxa" w:w="3331"/>
            <w:tcMar>
              <w:top w:w="95" w:type="dxa"/>
              <w:start w:w="105" w:type="dxa"/>
              <w:bottom w:w="95" w:type="dxa"/>
              <w:end w:w="105" w:type="dxa"/>
            </w:tcMar>
            <w:vAlign w:val="center"/>
          </w:tcPr>
          <w:p>
            <w:pPr>
              <w:spacing w:after="0" w:line="240" w:lineRule="auto"/>
            </w:pPr>
            <w:r>
              <w:rPr>
                <w:color w:val="283548"/>
                <w:sz w:val="16"/>
              </w:rPr>
              <w:t>生产应区分 liveness/readiness，并定义超时和依赖故障语义</w:t>
            </w:r>
          </w:p>
        </w:tc>
      </w:tr>
    </w:tbl>
    <w:p>
      <w:pPr>
        <w:spacing w:after="40"/>
      </w:pPr>
    </w:p>
    <w:p>
      <w:pPr>
        <w:pStyle w:val="Heading2"/>
        <w:keepNext/>
      </w:pPr>
      <w:r>
        <w:t>36.2 建议的关键指标</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173B63"/>
            <w:tcMar>
              <w:top w:w="105" w:type="dxa"/>
              <w:start w:w="110" w:type="dxa"/>
              <w:bottom w:w="105" w:type="dxa"/>
              <w:end w:w="110" w:type="dxa"/>
            </w:tcMar>
            <w:vAlign w:val="center"/>
          </w:tcPr>
          <w:p>
            <w:pPr>
              <w:spacing w:after="0"/>
            </w:pPr>
            <w:r>
              <w:rPr>
                <w:b/>
                <w:color w:val="FFFFFF"/>
                <w:sz w:val="16"/>
              </w:rPr>
              <w:t>指标</w:t>
            </w:r>
          </w:p>
        </w:tc>
        <w:tc>
          <w:tcPr>
            <w:tcW w:type="dxa" w:w="2498"/>
            <w:shd w:fill="173B63"/>
            <w:tcMar>
              <w:top w:w="105" w:type="dxa"/>
              <w:start w:w="110" w:type="dxa"/>
              <w:bottom w:w="105" w:type="dxa"/>
              <w:end w:w="110" w:type="dxa"/>
            </w:tcMar>
            <w:vAlign w:val="center"/>
          </w:tcPr>
          <w:p>
            <w:pPr>
              <w:spacing w:after="0"/>
            </w:pPr>
            <w:r>
              <w:rPr>
                <w:b/>
                <w:color w:val="FFFFFF"/>
                <w:sz w:val="16"/>
              </w:rPr>
              <w:t>口径</w:t>
            </w:r>
          </w:p>
        </w:tc>
        <w:tc>
          <w:tcPr>
            <w:tcW w:type="dxa" w:w="2498"/>
            <w:shd w:fill="173B63"/>
            <w:tcMar>
              <w:top w:w="105" w:type="dxa"/>
              <w:start w:w="110" w:type="dxa"/>
              <w:bottom w:w="105" w:type="dxa"/>
              <w:end w:w="110" w:type="dxa"/>
            </w:tcMar>
            <w:vAlign w:val="center"/>
          </w:tcPr>
          <w:p>
            <w:pPr>
              <w:spacing w:after="0"/>
            </w:pPr>
            <w:r>
              <w:rPr>
                <w:b/>
                <w:color w:val="FFFFFF"/>
                <w:sz w:val="16"/>
              </w:rPr>
              <w:t>维度建议</w:t>
            </w:r>
          </w:p>
        </w:tc>
        <w:tc>
          <w:tcPr>
            <w:tcW w:type="dxa" w:w="2498"/>
            <w:shd w:fill="173B63"/>
            <w:tcMar>
              <w:top w:w="105" w:type="dxa"/>
              <w:start w:w="110" w:type="dxa"/>
              <w:bottom w:w="105" w:type="dxa"/>
              <w:end w:w="110" w:type="dxa"/>
            </w:tcMar>
            <w:vAlign w:val="center"/>
          </w:tcPr>
          <w:p>
            <w:pPr>
              <w:spacing w:after="0"/>
            </w:pPr>
            <w:r>
              <w:rPr>
                <w:b/>
                <w:color w:val="FFFFFF"/>
                <w:sz w:val="16"/>
              </w:rPr>
              <w:t>用途</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http_server_requests_total</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HTTP 请求总数</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method、route template、status class</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发现错误率升高和流量变化</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http_server_request_duration_seconds</w:t>
            </w:r>
          </w:p>
        </w:tc>
        <w:tc>
          <w:tcPr>
            <w:tcW w:type="dxa" w:w="2498"/>
            <w:tcMar>
              <w:top w:w="95" w:type="dxa"/>
              <w:start w:w="105" w:type="dxa"/>
              <w:bottom w:w="95" w:type="dxa"/>
              <w:end w:w="105" w:type="dxa"/>
            </w:tcMar>
            <w:vAlign w:val="center"/>
          </w:tcPr>
          <w:p>
            <w:pPr>
              <w:spacing w:after="0" w:line="240" w:lineRule="auto"/>
            </w:pPr>
            <w:r>
              <w:rPr>
                <w:color w:val="283548"/>
                <w:sz w:val="16"/>
              </w:rPr>
              <w:t>请求延迟直方图</w:t>
            </w:r>
          </w:p>
        </w:tc>
        <w:tc>
          <w:tcPr>
            <w:tcW w:type="dxa" w:w="2498"/>
            <w:tcMar>
              <w:top w:w="95" w:type="dxa"/>
              <w:start w:w="105" w:type="dxa"/>
              <w:bottom w:w="95" w:type="dxa"/>
              <w:end w:w="105" w:type="dxa"/>
            </w:tcMar>
            <w:vAlign w:val="center"/>
          </w:tcPr>
          <w:p>
            <w:pPr>
              <w:spacing w:after="0" w:line="240" w:lineRule="auto"/>
            </w:pPr>
            <w:r>
              <w:rPr>
                <w:color w:val="283548"/>
                <w:sz w:val="16"/>
              </w:rPr>
              <w:t>route template、status class</w:t>
            </w:r>
          </w:p>
        </w:tc>
        <w:tc>
          <w:tcPr>
            <w:tcW w:type="dxa" w:w="2498"/>
            <w:tcMar>
              <w:top w:w="95" w:type="dxa"/>
              <w:start w:w="105" w:type="dxa"/>
              <w:bottom w:w="95" w:type="dxa"/>
              <w:end w:w="105" w:type="dxa"/>
            </w:tcMar>
            <w:vAlign w:val="center"/>
          </w:tcPr>
          <w:p>
            <w:pPr>
              <w:spacing w:after="0" w:line="240" w:lineRule="auto"/>
            </w:pPr>
            <w:r>
              <w:rPr>
                <w:color w:val="283548"/>
                <w:sz w:val="16"/>
              </w:rPr>
              <w:t>用 p50/p95/p99 判断延迟尾部</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model_draft_save_total</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草稿保存结果次数</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outcome、error_code</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监控保存成功率与并发冲突</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model_validation_duration_seconds</w:t>
            </w:r>
          </w:p>
        </w:tc>
        <w:tc>
          <w:tcPr>
            <w:tcW w:type="dxa" w:w="2498"/>
            <w:tcMar>
              <w:top w:w="95" w:type="dxa"/>
              <w:start w:w="105" w:type="dxa"/>
              <w:bottom w:w="95" w:type="dxa"/>
              <w:end w:w="105" w:type="dxa"/>
            </w:tcMar>
            <w:vAlign w:val="center"/>
          </w:tcPr>
          <w:p>
            <w:pPr>
              <w:spacing w:after="0" w:line="240" w:lineRule="auto"/>
            </w:pPr>
            <w:r>
              <w:rPr>
                <w:color w:val="283548"/>
                <w:sz w:val="16"/>
              </w:rPr>
              <w:t>规则校验耗时</w:t>
            </w:r>
          </w:p>
        </w:tc>
        <w:tc>
          <w:tcPr>
            <w:tcW w:type="dxa" w:w="2498"/>
            <w:tcMar>
              <w:top w:w="95" w:type="dxa"/>
              <w:start w:w="105" w:type="dxa"/>
              <w:bottom w:w="95" w:type="dxa"/>
              <w:end w:w="105" w:type="dxa"/>
            </w:tcMar>
            <w:vAlign w:val="center"/>
          </w:tcPr>
          <w:p>
            <w:pPr>
              <w:spacing w:after="0" w:line="240" w:lineRule="auto"/>
            </w:pPr>
            <w:r>
              <w:rPr>
                <w:color w:val="283548"/>
                <w:sz w:val="16"/>
              </w:rPr>
              <w:t>rule_set_version、result</w:t>
            </w:r>
          </w:p>
        </w:tc>
        <w:tc>
          <w:tcPr>
            <w:tcW w:type="dxa" w:w="2498"/>
            <w:tcMar>
              <w:top w:w="95" w:type="dxa"/>
              <w:start w:w="105" w:type="dxa"/>
              <w:bottom w:w="95" w:type="dxa"/>
              <w:end w:w="105" w:type="dxa"/>
            </w:tcMar>
            <w:vAlign w:val="center"/>
          </w:tcPr>
          <w:p>
            <w:pPr>
              <w:spacing w:after="0" w:line="240" w:lineRule="auto"/>
            </w:pPr>
            <w:r>
              <w:rPr>
                <w:color w:val="283548"/>
                <w:sz w:val="16"/>
              </w:rPr>
              <w:t>分析模型变大后校验瓶颈</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model_validation_issues_total</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校验错误/警告数</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rule_code、severity、layer</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发现常见设计缺陷和规范执行趋势</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model_review_wait_seconds</w:t>
            </w:r>
          </w:p>
        </w:tc>
        <w:tc>
          <w:tcPr>
            <w:tcW w:type="dxa" w:w="2498"/>
            <w:tcMar>
              <w:top w:w="95" w:type="dxa"/>
              <w:start w:w="105" w:type="dxa"/>
              <w:bottom w:w="95" w:type="dxa"/>
              <w:end w:w="105" w:type="dxa"/>
            </w:tcMar>
            <w:vAlign w:val="center"/>
          </w:tcPr>
          <w:p>
            <w:pPr>
              <w:spacing w:after="0" w:line="240" w:lineRule="auto"/>
            </w:pPr>
            <w:r>
              <w:rPr>
                <w:color w:val="283548"/>
                <w:sz w:val="16"/>
              </w:rPr>
              <w:t>提交至评审决策时间</w:t>
            </w:r>
          </w:p>
        </w:tc>
        <w:tc>
          <w:tcPr>
            <w:tcW w:type="dxa" w:w="2498"/>
            <w:tcMar>
              <w:top w:w="95" w:type="dxa"/>
              <w:start w:w="105" w:type="dxa"/>
              <w:bottom w:w="95" w:type="dxa"/>
              <w:end w:w="105" w:type="dxa"/>
            </w:tcMar>
            <w:vAlign w:val="center"/>
          </w:tcPr>
          <w:p>
            <w:pPr>
              <w:spacing w:after="0" w:line="240" w:lineRule="auto"/>
            </w:pPr>
            <w:r>
              <w:rPr>
                <w:color w:val="283548"/>
                <w:sz w:val="16"/>
              </w:rPr>
              <w:t>project、review_type</w:t>
            </w:r>
          </w:p>
        </w:tc>
        <w:tc>
          <w:tcPr>
            <w:tcW w:type="dxa" w:w="2498"/>
            <w:tcMar>
              <w:top w:w="95" w:type="dxa"/>
              <w:start w:w="105" w:type="dxa"/>
              <w:bottom w:w="95" w:type="dxa"/>
              <w:end w:w="105" w:type="dxa"/>
            </w:tcMar>
            <w:vAlign w:val="center"/>
          </w:tcPr>
          <w:p>
            <w:pPr>
              <w:spacing w:after="0" w:line="240" w:lineRule="auto"/>
            </w:pPr>
            <w:r>
              <w:rPr>
                <w:color w:val="283548"/>
                <w:sz w:val="16"/>
              </w:rPr>
              <w:t>识别审批积压和流程瓶颈</w:t>
            </w:r>
          </w:p>
        </w:tc>
      </w:tr>
      <w:tr>
        <w:trPr>
          <w:cantSplit/>
        </w:trPr>
        <w:tc>
          <w:tcPr>
            <w:tcW w:type="dxa" w:w="2498"/>
            <w:tcMar>
              <w:top w:w="95" w:type="dxa"/>
              <w:start w:w="105" w:type="dxa"/>
              <w:bottom w:w="95" w:type="dxa"/>
              <w:end w:w="105" w:type="dxa"/>
            </w:tcMar>
            <w:vAlign w:val="center"/>
            <w:shd w:fill="F7F9FC"/>
          </w:tcPr>
          <w:p>
            <w:pPr>
              <w:spacing w:after="0" w:line="240" w:lineRule="auto"/>
            </w:pPr>
            <w:r>
              <w:rPr>
                <w:color w:val="283548"/>
                <w:sz w:val="16"/>
              </w:rPr>
              <w:t>model_publish_total</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正式发布数量/结果</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target_engine、result</w:t>
            </w:r>
          </w:p>
        </w:tc>
        <w:tc>
          <w:tcPr>
            <w:tcW w:type="dxa" w:w="2498"/>
            <w:tcMar>
              <w:top w:w="95" w:type="dxa"/>
              <w:start w:w="105" w:type="dxa"/>
              <w:bottom w:w="95" w:type="dxa"/>
              <w:end w:w="105" w:type="dxa"/>
            </w:tcMar>
            <w:vAlign w:val="center"/>
            <w:shd w:fill="F7F9FC"/>
          </w:tcPr>
          <w:p>
            <w:pPr>
              <w:spacing w:after="0" w:line="240" w:lineRule="auto"/>
            </w:pPr>
            <w:r>
              <w:rPr>
                <w:color w:val="283548"/>
                <w:sz w:val="16"/>
              </w:rPr>
              <w:t>跟踪交付稳定性</w:t>
            </w:r>
          </w:p>
        </w:tc>
      </w:tr>
      <w:tr>
        <w:trPr>
          <w:cantSplit/>
        </w:trPr>
        <w:tc>
          <w:tcPr>
            <w:tcW w:type="dxa" w:w="2498"/>
            <w:tcMar>
              <w:top w:w="95" w:type="dxa"/>
              <w:start w:w="105" w:type="dxa"/>
              <w:bottom w:w="95" w:type="dxa"/>
              <w:end w:w="105" w:type="dxa"/>
            </w:tcMar>
            <w:vAlign w:val="center"/>
          </w:tcPr>
          <w:p>
            <w:pPr>
              <w:spacing w:after="0" w:line="240" w:lineRule="auto"/>
            </w:pPr>
            <w:r>
              <w:rPr>
                <w:color w:val="283548"/>
                <w:sz w:val="16"/>
              </w:rPr>
              <w:t>ddl_generation_duration_seconds</w:t>
            </w:r>
          </w:p>
        </w:tc>
        <w:tc>
          <w:tcPr>
            <w:tcW w:type="dxa" w:w="2498"/>
            <w:tcMar>
              <w:top w:w="95" w:type="dxa"/>
              <w:start w:w="105" w:type="dxa"/>
              <w:bottom w:w="95" w:type="dxa"/>
              <w:end w:w="105" w:type="dxa"/>
            </w:tcMar>
            <w:vAlign w:val="center"/>
          </w:tcPr>
          <w:p>
            <w:pPr>
              <w:spacing w:after="0" w:line="240" w:lineRule="auto"/>
            </w:pPr>
            <w:r>
              <w:rPr>
                <w:color w:val="283548"/>
                <w:sz w:val="16"/>
              </w:rPr>
              <w:t>DDL 生成耗时</w:t>
            </w:r>
          </w:p>
        </w:tc>
        <w:tc>
          <w:tcPr>
            <w:tcW w:type="dxa" w:w="2498"/>
            <w:tcMar>
              <w:top w:w="95" w:type="dxa"/>
              <w:start w:w="105" w:type="dxa"/>
              <w:bottom w:w="95" w:type="dxa"/>
              <w:end w:w="105" w:type="dxa"/>
            </w:tcMar>
            <w:vAlign w:val="center"/>
          </w:tcPr>
          <w:p>
            <w:pPr>
              <w:spacing w:after="0" w:line="240" w:lineRule="auto"/>
            </w:pPr>
            <w:r>
              <w:rPr>
                <w:color w:val="283548"/>
                <w:sz w:val="16"/>
              </w:rPr>
              <w:t>target_engine、result</w:t>
            </w:r>
          </w:p>
        </w:tc>
        <w:tc>
          <w:tcPr>
            <w:tcW w:type="dxa" w:w="2498"/>
            <w:tcMar>
              <w:top w:w="95" w:type="dxa"/>
              <w:start w:w="105" w:type="dxa"/>
              <w:bottom w:w="95" w:type="dxa"/>
              <w:end w:w="105" w:type="dxa"/>
            </w:tcMar>
            <w:vAlign w:val="center"/>
          </w:tcPr>
          <w:p>
            <w:pPr>
              <w:spacing w:after="0" w:line="240" w:lineRule="auto"/>
            </w:pPr>
            <w:r>
              <w:rPr>
                <w:color w:val="283548"/>
                <w:sz w:val="16"/>
              </w:rPr>
              <w:t>识别引擎适配器异常</w:t>
            </w:r>
          </w:p>
        </w:tc>
      </w:tr>
    </w:tbl>
    <w:p>
      <w:pPr>
        <w:spacing w:after="40"/>
      </w:pPr>
    </w:p>
    <w:p>
      <w:pPr>
        <w:pStyle w:val="Heading2"/>
        <w:keepNext/>
      </w:pPr>
      <w:r>
        <w:t>36.3 业务事件 vs. 审计 vs. 技术遥测</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类型</w:t>
            </w:r>
          </w:p>
        </w:tc>
        <w:tc>
          <w:tcPr>
            <w:tcW w:type="dxa" w:w="3331"/>
            <w:shd w:fill="173B63"/>
            <w:tcMar>
              <w:top w:w="105" w:type="dxa"/>
              <w:start w:w="110" w:type="dxa"/>
              <w:bottom w:w="105" w:type="dxa"/>
              <w:end w:w="110" w:type="dxa"/>
            </w:tcMar>
            <w:vAlign w:val="center"/>
          </w:tcPr>
          <w:p>
            <w:pPr>
              <w:spacing w:after="0"/>
            </w:pPr>
            <w:r>
              <w:rPr>
                <w:b/>
                <w:color w:val="FFFFFF"/>
                <w:sz w:val="16"/>
              </w:rPr>
              <w:t>回答的问题</w:t>
            </w:r>
          </w:p>
        </w:tc>
        <w:tc>
          <w:tcPr>
            <w:tcW w:type="dxa" w:w="3331"/>
            <w:shd w:fill="173B63"/>
            <w:tcMar>
              <w:top w:w="105" w:type="dxa"/>
              <w:start w:w="110" w:type="dxa"/>
              <w:bottom w:w="105" w:type="dxa"/>
              <w:end w:w="110" w:type="dxa"/>
            </w:tcMar>
            <w:vAlign w:val="center"/>
          </w:tcPr>
          <w:p>
            <w:pPr>
              <w:spacing w:after="0"/>
            </w:pPr>
            <w:r>
              <w:rPr>
                <w:b/>
                <w:color w:val="FFFFFF"/>
                <w:sz w:val="16"/>
              </w:rPr>
              <w:t>存储和访问原则</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业务活动事件</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发生了什么？例如模型为何被退回或发布？</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按 event_type、model_id、request_id 查询；payload 白名单化</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安全审计</w:t>
            </w:r>
          </w:p>
        </w:tc>
        <w:tc>
          <w:tcPr>
            <w:tcW w:type="dxa" w:w="3331"/>
            <w:tcMar>
              <w:top w:w="95" w:type="dxa"/>
              <w:start w:w="105" w:type="dxa"/>
              <w:bottom w:w="95" w:type="dxa"/>
              <w:end w:w="105" w:type="dxa"/>
            </w:tcMar>
            <w:vAlign w:val="center"/>
          </w:tcPr>
          <w:p>
            <w:pPr>
              <w:spacing w:after="0" w:line="240" w:lineRule="auto"/>
            </w:pPr>
            <w:r>
              <w:rPr>
                <w:color w:val="283548"/>
                <w:sz w:val="16"/>
              </w:rPr>
              <w:t>谁在何时对哪个对象执行了什么关键操作？</w:t>
            </w:r>
          </w:p>
        </w:tc>
        <w:tc>
          <w:tcPr>
            <w:tcW w:type="dxa" w:w="3331"/>
            <w:tcMar>
              <w:top w:w="95" w:type="dxa"/>
              <w:start w:w="105" w:type="dxa"/>
              <w:bottom w:w="95" w:type="dxa"/>
              <w:end w:w="105" w:type="dxa"/>
            </w:tcMar>
            <w:vAlign w:val="center"/>
          </w:tcPr>
          <w:p>
            <w:pPr>
              <w:spacing w:after="0" w:line="240" w:lineRule="auto"/>
            </w:pPr>
            <w:r>
              <w:rPr>
                <w:color w:val="283548"/>
                <w:sz w:val="16"/>
              </w:rPr>
              <w:t>更严格访问、追加写、不可由普通用户修改，保留期按制度定义</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Metrics / Logs / Traces</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请求哪里慢、哪个服务报错、故障根因是什么？</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走外部遥测后端；不逐请求写入业务元数据表；应用日志脱敏</w:t>
            </w:r>
          </w:p>
        </w:tc>
      </w:tr>
    </w:tbl>
    <w:p>
      <w:pPr>
        <w:spacing w:after="40"/>
      </w:pPr>
    </w:p>
    <w:p>
      <w:pPr>
        <w:pStyle w:val="Heading2"/>
        <w:keepNext/>
      </w:pPr>
      <w:r>
        <w:t>36.4 告警和 SLO 实施顺序</w:t>
      </w:r>
    </w:p>
    <w:p>
      <w:pPr>
        <w:pStyle w:val="ListBullet"/>
        <w:spacing w:after="40"/>
      </w:pPr>
      <w:r>
        <w:t>先建立可用性、错误率、延迟和数据完整性基线，再设置告警；不要在没有流量数据时把示例阈值当成承诺。</w:t>
      </w:r>
    </w:p>
    <w:p>
      <w:pPr>
        <w:pStyle w:val="ListBullet"/>
        <w:spacing w:after="40"/>
      </w:pPr>
      <w:r>
        <w:t>告警要有 owner、严重级别、触发条件、窗口、抑制条件、runbook、升级链路和恢复条件。</w:t>
      </w:r>
    </w:p>
    <w:p>
      <w:pPr>
        <w:pStyle w:val="ListBullet"/>
        <w:spacing w:after="40"/>
      </w:pPr>
      <w:r>
        <w:t>业务告警与技术告警分开：例如“待评审积压超过目标”属于流程运营；“API 5xx 比率升高”属于技术运行。</w:t>
      </w:r>
    </w:p>
    <w:p>
      <w:pPr>
        <w:pStyle w:val="ListBullet"/>
        <w:spacing w:after="40"/>
      </w:pPr>
      <w:r>
        <w:t>不要把模型名称、字段值、源数据样例、SQL 参数、连接串、token 等放入指标标签或 Trace 属性，防止高基数与敏感信息泄露。</w:t>
      </w:r>
    </w:p>
    <w:p>
      <w:pPr>
        <w:pStyle w:val="Heading1"/>
        <w:keepNext/>
      </w:pPr>
      <w:r>
        <w:t>37. 启动部署、环境配置与运维手册</w:t>
      </w:r>
    </w:p>
    <w:p>
      <w:pPr>
        <w:pStyle w:val="Heading2"/>
        <w:keepNext/>
      </w:pPr>
      <w:r>
        <w:t>37.1 本机启动</w:t>
      </w:r>
    </w:p>
    <w:p>
      <w:pPr>
        <w:keepLines/>
        <w:spacing w:before="60" w:after="160"/>
        <w:ind w:left="173" w:right="115"/>
        <w:shd w:fill="F0F4F9"/>
      </w:pPr>
      <w:r>
        <w:rPr>
          <w:rFonts w:ascii="Consolas" w:hAnsi="Consolas" w:eastAsia="Microsoft YaHei"/>
          <w:color w:val="263A54"/>
          <w:sz w:val="17"/>
        </w:rPr>
        <w:t>cd data-modeling-mvp-v04</w:t>
      </w:r>
      <w:r>
        <w:br/>
      </w:r>
      <w:r>
        <w:rPr>
          <w:rFonts w:ascii="Consolas" w:hAnsi="Consolas" w:eastAsia="Microsoft YaHei"/>
          <w:color w:val="263A54"/>
          <w:sz w:val="17"/>
        </w:rPr>
        <w:t>python -m venv .venv</w:t>
      </w:r>
      <w:r>
        <w:br/>
      </w:r>
      <w:r>
        <w:rPr>
          <w:rFonts w:ascii="Consolas" w:hAnsi="Consolas" w:eastAsia="Microsoft YaHei"/>
          <w:color w:val="263A54"/>
          <w:sz w:val="17"/>
        </w:rPr>
        <w:t># Linux/macOS</w:t>
      </w:r>
      <w:r>
        <w:br/>
      </w:r>
      <w:r>
        <w:rPr>
          <w:rFonts w:ascii="Consolas" w:hAnsi="Consolas" w:eastAsia="Microsoft YaHei"/>
          <w:color w:val="263A54"/>
          <w:sz w:val="17"/>
        </w:rPr>
        <w:t>source .venv/bin/activate</w:t>
      </w:r>
      <w:r>
        <w:br/>
      </w:r>
      <w:r>
        <w:rPr>
          <w:rFonts w:ascii="Consolas" w:hAnsi="Consolas" w:eastAsia="Microsoft YaHei"/>
          <w:color w:val="263A54"/>
          <w:sz w:val="17"/>
        </w:rPr>
        <w:t># Windows PowerShell: .venv\Scripts\Activate.ps1</w:t>
      </w:r>
      <w:r>
        <w:br/>
      </w:r>
      <w:r>
        <w:rPr>
          <w:rFonts w:ascii="Consolas" w:hAnsi="Consolas" w:eastAsia="Microsoft YaHei"/>
          <w:color w:val="263A54"/>
          <w:sz w:val="17"/>
        </w:rPr>
        <w:t>python -m pip install -r requirements.txt</w:t>
      </w:r>
      <w:r>
        <w:br/>
      </w:r>
      <w:r>
        <w:rPr>
          <w:rFonts w:ascii="Consolas" w:hAnsi="Consolas" w:eastAsia="Microsoft YaHei"/>
          <w:color w:val="263A54"/>
          <w:sz w:val="17"/>
        </w:rPr>
        <w:t>uvicorn backend.app.main:app --host 127.0.0.1 --port 8000 --reload</w:t>
      </w:r>
    </w:p>
    <w:p>
      <w:pPr>
        <w:spacing w:after="100" w:line="269" w:lineRule="auto"/>
      </w:pPr>
      <w:r>
        <w:rPr>
          <w:i w:val="0"/>
        </w:rPr>
        <w:t>默认 SQLite 文件位置为运行目录下的 data/platform.db。首次启动会创建演示项目和模型；如需重置本地演示数据，先停止服务并备份/删除该文件。API 文档位于 /docs，健康检查位于 /api/health，简化指标位于 /metrics。</w:t>
      </w:r>
    </w:p>
    <w:p>
      <w:pPr>
        <w:pStyle w:val="Heading2"/>
        <w:keepNext/>
      </w:pPr>
      <w:r>
        <w:t>37.2 Docker 启动</w:t>
      </w:r>
    </w:p>
    <w:p>
      <w:pPr>
        <w:keepLines/>
        <w:spacing w:before="60" w:after="160"/>
        <w:ind w:left="173" w:right="115"/>
        <w:shd w:fill="F0F4F9"/>
      </w:pPr>
      <w:r>
        <w:rPr>
          <w:rFonts w:ascii="Consolas" w:hAnsi="Consolas" w:eastAsia="Microsoft YaHei"/>
          <w:color w:val="263A54"/>
          <w:sz w:val="17"/>
        </w:rPr>
        <w:t>docker compose up --build</w:t>
      </w:r>
      <w:r>
        <w:br/>
      </w:r>
      <w:r>
        <w:rPr>
          <w:rFonts w:ascii="Consolas" w:hAnsi="Consolas" w:eastAsia="Microsoft YaHei"/>
          <w:color w:val="263A54"/>
          <w:sz w:val="17"/>
        </w:rPr>
        <w:t># 若需 PostgreSQL 隔离试验（只在开发环境设置口令）：</w:t>
      </w:r>
      <w:r>
        <w:br/>
      </w:r>
      <w:r>
        <w:rPr>
          <w:rFonts w:ascii="Consolas" w:hAnsi="Consolas" w:eastAsia="Microsoft YaHei"/>
          <w:color w:val="263A54"/>
          <w:sz w:val="17"/>
        </w:rPr>
        <w:t>export POSTGRES_PASSWORD="local-development-secret"</w:t>
      </w:r>
      <w:r>
        <w:br/>
      </w:r>
      <w:r>
        <w:rPr>
          <w:rFonts w:ascii="Consolas" w:hAnsi="Consolas" w:eastAsia="Microsoft YaHei"/>
          <w:color w:val="263A54"/>
          <w:sz w:val="17"/>
        </w:rPr>
        <w:t>docker compose -f docker-compose.postgres.yml up --build</w:t>
      </w:r>
    </w:p>
    <w:p>
      <w:pPr>
        <w:spacing w:after="100" w:line="269" w:lineRule="auto"/>
      </w:pPr>
      <w:r>
        <w:rPr>
          <w:i w:val="0"/>
        </w:rPr>
        <w:t>Compose 的 PostgreSQL 版本仅用于集成试验。实际部署必须从 Secret Manager/CI Secret 注入口令，限制网络访问，开启 TLS（视部署架构要求），定义数据库备份、恢复演练、日志归档、版本升级窗口和监控。</w:t>
      </w:r>
    </w:p>
    <w:p>
      <w:pPr>
        <w:pStyle w:val="Heading2"/>
        <w:keepNext/>
      </w:pPr>
      <w:r>
        <w:t>37.3 环境变量建议</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变量</w:t>
            </w:r>
          </w:p>
        </w:tc>
        <w:tc>
          <w:tcPr>
            <w:tcW w:type="dxa" w:w="3331"/>
            <w:shd w:fill="173B63"/>
            <w:tcMar>
              <w:top w:w="105" w:type="dxa"/>
              <w:start w:w="110" w:type="dxa"/>
              <w:bottom w:w="105" w:type="dxa"/>
              <w:end w:w="110" w:type="dxa"/>
            </w:tcMar>
            <w:vAlign w:val="center"/>
          </w:tcPr>
          <w:p>
            <w:pPr>
              <w:spacing w:after="0"/>
            </w:pPr>
            <w:r>
              <w:rPr>
                <w:b/>
                <w:color w:val="FFFFFF"/>
                <w:sz w:val="16"/>
              </w:rPr>
              <w:t>默认/示例</w:t>
            </w:r>
          </w:p>
        </w:tc>
        <w:tc>
          <w:tcPr>
            <w:tcW w:type="dxa" w:w="3331"/>
            <w:shd w:fill="173B63"/>
            <w:tcMar>
              <w:top w:w="105" w:type="dxa"/>
              <w:start w:w="110" w:type="dxa"/>
              <w:bottom w:w="105" w:type="dxa"/>
              <w:end w:w="110" w:type="dxa"/>
            </w:tcMar>
            <w:vAlign w:val="center"/>
          </w:tcPr>
          <w:p>
            <w:pPr>
              <w:spacing w:after="0"/>
            </w:pPr>
            <w:r>
              <w:rPr>
                <w:b/>
                <w:color w:val="FFFFFF"/>
                <w:sz w:val="16"/>
              </w:rPr>
              <w:t>用途与安全说明</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DATABASE_URL</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sqlite:///./data/platform.db</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可设置 postgresql+psycopg://…；生产凭证不得写进代码或提交到仓库</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APP_ENV</w:t>
            </w:r>
          </w:p>
        </w:tc>
        <w:tc>
          <w:tcPr>
            <w:tcW w:type="dxa" w:w="3331"/>
            <w:tcMar>
              <w:top w:w="95" w:type="dxa"/>
              <w:start w:w="105" w:type="dxa"/>
              <w:bottom w:w="95" w:type="dxa"/>
              <w:end w:w="105" w:type="dxa"/>
            </w:tcMar>
            <w:vAlign w:val="center"/>
          </w:tcPr>
          <w:p>
            <w:pPr>
              <w:spacing w:after="0" w:line="240" w:lineRule="auto"/>
            </w:pPr>
            <w:r>
              <w:rPr>
                <w:color w:val="283548"/>
                <w:sz w:val="16"/>
              </w:rPr>
              <w:t>未设置</w:t>
            </w:r>
          </w:p>
        </w:tc>
        <w:tc>
          <w:tcPr>
            <w:tcW w:type="dxa" w:w="3331"/>
            <w:tcMar>
              <w:top w:w="95" w:type="dxa"/>
              <w:start w:w="105" w:type="dxa"/>
              <w:bottom w:w="95" w:type="dxa"/>
              <w:end w:w="105" w:type="dxa"/>
            </w:tcMar>
            <w:vAlign w:val="center"/>
          </w:tcPr>
          <w:p>
            <w:pPr>
              <w:spacing w:after="0" w:line="240" w:lineRule="auto"/>
            </w:pPr>
            <w:r>
              <w:rPr>
                <w:color w:val="283548"/>
                <w:sz w:val="16"/>
              </w:rPr>
              <w:t>建议区分 local/test/staging/prod；生产应禁用调试页面和热重载</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LOG_LEVEL</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INFO</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生产按环境配置；避免将 SQL 参数和用户自由输入直接写入日志</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OTEL_EXPORTER_OTLP_ENDPOINT</w:t>
            </w:r>
          </w:p>
        </w:tc>
        <w:tc>
          <w:tcPr>
            <w:tcW w:type="dxa" w:w="3331"/>
            <w:tcMar>
              <w:top w:w="95" w:type="dxa"/>
              <w:start w:w="105" w:type="dxa"/>
              <w:bottom w:w="95" w:type="dxa"/>
              <w:end w:w="105" w:type="dxa"/>
            </w:tcMar>
            <w:vAlign w:val="center"/>
          </w:tcPr>
          <w:p>
            <w:pPr>
              <w:spacing w:after="0" w:line="240" w:lineRule="auto"/>
            </w:pPr>
            <w:r>
              <w:rPr>
                <w:color w:val="283548"/>
                <w:sz w:val="16"/>
              </w:rPr>
              <w:t>未实现</w:t>
            </w:r>
          </w:p>
        </w:tc>
        <w:tc>
          <w:tcPr>
            <w:tcW w:type="dxa" w:w="3331"/>
            <w:tcMar>
              <w:top w:w="95" w:type="dxa"/>
              <w:start w:w="105" w:type="dxa"/>
              <w:bottom w:w="95" w:type="dxa"/>
              <w:end w:w="105" w:type="dxa"/>
            </w:tcMar>
            <w:vAlign w:val="center"/>
          </w:tcPr>
          <w:p>
            <w:pPr>
              <w:spacing w:after="0" w:line="240" w:lineRule="auto"/>
            </w:pPr>
            <w:r>
              <w:rPr>
                <w:color w:val="283548"/>
                <w:sz w:val="16"/>
              </w:rPr>
              <w:t>生产启用 OpenTelemetry SDK 后配置；需配套认证、TLS 和网络策略</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AUTH_ISSUER / AUTH_AUDIENCE</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未实现</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接入 OIDC/SSO 时配置；验证 issuer、audience、签名和令牌过期</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SECRET_*</w:t>
            </w:r>
          </w:p>
        </w:tc>
        <w:tc>
          <w:tcPr>
            <w:tcW w:type="dxa" w:w="3331"/>
            <w:tcMar>
              <w:top w:w="95" w:type="dxa"/>
              <w:start w:w="105" w:type="dxa"/>
              <w:bottom w:w="95" w:type="dxa"/>
              <w:end w:w="105" w:type="dxa"/>
            </w:tcMar>
            <w:vAlign w:val="center"/>
          </w:tcPr>
          <w:p>
            <w:pPr>
              <w:spacing w:after="0" w:line="240" w:lineRule="auto"/>
            </w:pPr>
            <w:r>
              <w:rPr>
                <w:color w:val="283548"/>
                <w:sz w:val="16"/>
              </w:rPr>
              <w:t>未实现</w:t>
            </w:r>
          </w:p>
        </w:tc>
        <w:tc>
          <w:tcPr>
            <w:tcW w:type="dxa" w:w="3331"/>
            <w:tcMar>
              <w:top w:w="95" w:type="dxa"/>
              <w:start w:w="105" w:type="dxa"/>
              <w:bottom w:w="95" w:type="dxa"/>
              <w:end w:w="105" w:type="dxa"/>
            </w:tcMar>
            <w:vAlign w:val="center"/>
          </w:tcPr>
          <w:p>
            <w:pPr>
              <w:spacing w:after="0" w:line="240" w:lineRule="auto"/>
            </w:pPr>
            <w:r>
              <w:rPr>
                <w:color w:val="283548"/>
                <w:sz w:val="16"/>
              </w:rPr>
              <w:t>数据库、目标引擎凭证由密钥管理系统提供，不存在模型元数据表或前端代码中</w:t>
            </w:r>
          </w:p>
        </w:tc>
      </w:tr>
    </w:tbl>
    <w:p>
      <w:pPr>
        <w:spacing w:after="40"/>
      </w:pPr>
    </w:p>
    <w:p>
      <w:pPr>
        <w:pStyle w:val="Heading2"/>
        <w:keepNext/>
      </w:pPr>
      <w:r>
        <w:t>37.4 运维故障排查顺序</w:t>
      </w:r>
    </w:p>
    <w:p>
      <w:pPr>
        <w:pStyle w:val="ListNumber"/>
        <w:spacing w:after="40"/>
      </w:pPr>
      <w:r>
        <w:t>用户操作失败：先读取页面显示的 error.code 和 request_id。</w:t>
      </w:r>
    </w:p>
    <w:p>
      <w:pPr>
        <w:pStyle w:val="ListNumber"/>
        <w:spacing w:after="40"/>
      </w:pPr>
      <w:r>
        <w:t>使用 request_id 在应用日志中定位同一请求，确认 HTTP 状态、耗时和异常类型。</w:t>
      </w:r>
    </w:p>
    <w:p>
      <w:pPr>
        <w:pStyle w:val="ListNumber"/>
        <w:spacing w:after="40"/>
      </w:pPr>
      <w:r>
        <w:t>检查业务活动/审计事件是否按设计写入；业务事务失败时应确认无部分成功状态。</w:t>
      </w:r>
    </w:p>
    <w:p>
      <w:pPr>
        <w:pStyle w:val="ListNumber"/>
        <w:spacing w:after="40"/>
      </w:pPr>
      <w:r>
        <w:t>检查数据库连接、锁等待、连接池、约束冲突及 migration 当前版本。</w:t>
      </w:r>
    </w:p>
    <w:p>
      <w:pPr>
        <w:pStyle w:val="ListNumber"/>
        <w:spacing w:after="40"/>
      </w:pPr>
      <w:r>
        <w:t>如果是 DDL 生成问题，定位 target_engine、逻辑类型、引擎适配器和验证器输出；原型不会执行目标 SQL。</w:t>
      </w:r>
    </w:p>
    <w:p>
      <w:pPr>
        <w:pStyle w:val="ListNumber"/>
        <w:spacing w:after="40"/>
      </w:pPr>
      <w:r>
        <w:t>生产系统必须把上述流程沉淀为 runbook，并在模拟故障演练后验证告警能导航到对应排查步骤。</w:t>
      </w:r>
    </w:p>
    <w:p>
      <w:pPr>
        <w:pStyle w:val="Heading1"/>
        <w:keepNext/>
      </w:pPr>
      <w:r>
        <w:t>38. 自动化测试、验收门禁与实测结果</w:t>
      </w:r>
    </w:p>
    <w:p>
      <w:pPr>
        <w:pStyle w:val="Heading2"/>
        <w:keepNext/>
      </w:pPr>
      <w:r>
        <w:t>38.1 当前自动化覆盖</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测试场景</w:t>
            </w:r>
          </w:p>
        </w:tc>
        <w:tc>
          <w:tcPr>
            <w:tcW w:type="dxa" w:w="3331"/>
            <w:shd w:fill="173B63"/>
            <w:tcMar>
              <w:top w:w="105" w:type="dxa"/>
              <w:start w:w="110" w:type="dxa"/>
              <w:bottom w:w="105" w:type="dxa"/>
              <w:end w:w="110" w:type="dxa"/>
            </w:tcMar>
            <w:vAlign w:val="center"/>
          </w:tcPr>
          <w:p>
            <w:pPr>
              <w:spacing w:after="0"/>
            </w:pPr>
            <w:r>
              <w:rPr>
                <w:b/>
                <w:color w:val="FFFFFF"/>
                <w:sz w:val="16"/>
              </w:rPr>
              <w:t>验证点</w:t>
            </w:r>
          </w:p>
        </w:tc>
        <w:tc>
          <w:tcPr>
            <w:tcW w:type="dxa" w:w="3331"/>
            <w:shd w:fill="173B63"/>
            <w:tcMar>
              <w:top w:w="105" w:type="dxa"/>
              <w:start w:w="110" w:type="dxa"/>
              <w:bottom w:w="105" w:type="dxa"/>
              <w:end w:w="110" w:type="dxa"/>
            </w:tcMar>
            <w:vAlign w:val="center"/>
          </w:tcPr>
          <w:p>
            <w:pPr>
              <w:spacing w:after="0"/>
            </w:pPr>
            <w:r>
              <w:rPr>
                <w:b/>
                <w:color w:val="FFFFFF"/>
                <w:sz w:val="16"/>
              </w:rPr>
              <w:t>状态</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端到端生命周期</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创建模型、校验、DDL 预览、提交评审、通过、发布、版本记录与事件记录</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已通过</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乐观并发冲突</w:t>
            </w:r>
          </w:p>
        </w:tc>
        <w:tc>
          <w:tcPr>
            <w:tcW w:type="dxa" w:w="3331"/>
            <w:tcMar>
              <w:top w:w="95" w:type="dxa"/>
              <w:start w:w="105" w:type="dxa"/>
              <w:bottom w:w="95" w:type="dxa"/>
              <w:end w:w="105" w:type="dxa"/>
            </w:tcMar>
            <w:vAlign w:val="center"/>
          </w:tcPr>
          <w:p>
            <w:pPr>
              <w:spacing w:after="0" w:line="240" w:lineRule="auto"/>
            </w:pPr>
            <w:r>
              <w:rPr>
                <w:color w:val="283548"/>
                <w:sz w:val="16"/>
              </w:rPr>
              <w:t>旧 expected_revision 返回 409 REVISION_CONFLICT</w:t>
            </w:r>
          </w:p>
        </w:tc>
        <w:tc>
          <w:tcPr>
            <w:tcW w:type="dxa" w:w="3331"/>
            <w:tcMar>
              <w:top w:w="95" w:type="dxa"/>
              <w:start w:w="105" w:type="dxa"/>
              <w:bottom w:w="95" w:type="dxa"/>
              <w:end w:w="105" w:type="dxa"/>
            </w:tcMar>
            <w:vAlign w:val="center"/>
          </w:tcPr>
          <w:p>
            <w:pPr>
              <w:spacing w:after="0" w:line="240" w:lineRule="auto"/>
            </w:pPr>
            <w:r>
              <w:rPr>
                <w:color w:val="283548"/>
                <w:sz w:val="16"/>
              </w:rPr>
              <w:t>已通过</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状态守卫</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非草稿模型编辑被拒绝；状态迁移按顺序执行</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已通过</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规则校验</w:t>
            </w:r>
          </w:p>
        </w:tc>
        <w:tc>
          <w:tcPr>
            <w:tcW w:type="dxa" w:w="3331"/>
            <w:tcMar>
              <w:top w:w="95" w:type="dxa"/>
              <w:start w:w="105" w:type="dxa"/>
              <w:bottom w:w="95" w:type="dxa"/>
              <w:end w:w="105" w:type="dxa"/>
            </w:tcMar>
            <w:vAlign w:val="center"/>
          </w:tcPr>
          <w:p>
            <w:pPr>
              <w:spacing w:after="0" w:line="240" w:lineRule="auto"/>
            </w:pPr>
            <w:r>
              <w:rPr>
                <w:color w:val="283548"/>
                <w:sz w:val="16"/>
              </w:rPr>
              <w:t>不合法物理字段编码被识别为阻断错误</w:t>
            </w:r>
          </w:p>
        </w:tc>
        <w:tc>
          <w:tcPr>
            <w:tcW w:type="dxa" w:w="3331"/>
            <w:tcMar>
              <w:top w:w="95" w:type="dxa"/>
              <w:start w:w="105" w:type="dxa"/>
              <w:bottom w:w="95" w:type="dxa"/>
              <w:end w:w="105" w:type="dxa"/>
            </w:tcMar>
            <w:vAlign w:val="center"/>
          </w:tcPr>
          <w:p>
            <w:pPr>
              <w:spacing w:after="0" w:line="240" w:lineRule="auto"/>
            </w:pPr>
            <w:r>
              <w:rPr>
                <w:color w:val="283548"/>
                <w:sz w:val="16"/>
              </w:rPr>
              <w:t>已通过</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请求关联与指标</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X-Request-ID 回传；/metrics 暴露请求指标</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已通过</w:t>
            </w:r>
          </w:p>
        </w:tc>
      </w:tr>
    </w:tbl>
    <w:p>
      <w:pPr>
        <w:spacing w:after="40"/>
      </w:pPr>
    </w:p>
    <w:tbl>
      <w:tblPr>
        <w:tblStyle w:val="TableGrid"/>
        <w:tblW w:type="auto" w:w="0"/>
        <w:tblLook w:firstColumn="1" w:firstRow="1" w:lastColumn="0" w:lastRow="0" w:noHBand="0" w:noVBand="1" w:val="04A0"/>
      </w:tblPr>
      <w:tblGrid>
        <w:gridCol w:w="9994"/>
      </w:tblGrid>
      <w:tr>
        <w:tc>
          <w:tcPr>
            <w:tcW w:type="dxa" w:w="9994"/>
            <w:shd w:fill="E7F6EF"/>
            <w:tcMar>
              <w:top w:w="130" w:type="dxa"/>
              <w:start w:w="160" w:type="dxa"/>
              <w:bottom w:w="130" w:type="dxa"/>
              <w:end w:w="160" w:type="dxa"/>
            </w:tcMar>
          </w:tcPr>
          <w:p>
            <w:pPr>
              <w:spacing w:after="80"/>
            </w:pPr>
            <w:r>
              <w:rPr>
                <w:b/>
                <w:color w:val="1E4B87"/>
                <w:sz w:val="20"/>
              </w:rPr>
              <w:t>本轮实测结果</w:t>
            </w:r>
          </w:p>
          <w:p>
            <w:pPr>
              <w:spacing w:after="0"/>
            </w:pPr>
            <w:r>
              <w:rPr>
                <w:color w:val="303F52"/>
                <w:sz w:val="18"/>
              </w:rPr>
              <w:t>在生成本版本时，执行 pytest -q，结果为 4 passed。该结果只表明当前原型所包含的自动化 API 测试通过，不代表 PostgreSQL、MySQL、Hive 的真实引擎集成测试已通过，也不代表生产安全、性能或可用性已验证。</w:t>
            </w:r>
          </w:p>
        </w:tc>
      </w:tr>
    </w:tbl>
    <w:p>
      <w:pPr>
        <w:spacing w:after="20"/>
      </w:pPr>
    </w:p>
    <w:p>
      <w:pPr>
        <w:pStyle w:val="Heading2"/>
        <w:keepNext/>
      </w:pPr>
      <w:r>
        <w:t>38.2 正式验收门禁（DoD）</w:t>
      </w:r>
    </w:p>
    <w:p>
      <w:pPr>
        <w:pStyle w:val="ListBullet"/>
        <w:spacing w:after="40"/>
      </w:pPr>
      <w:r>
        <w:t>主路径由真实浏览器操作能完成，关键操作刷新后状态可持久化；不存在只有截图、没有实际 API 行为的伪交互。</w:t>
      </w:r>
    </w:p>
    <w:p>
      <w:pPr>
        <w:pStyle w:val="ListBullet"/>
        <w:spacing w:after="40"/>
      </w:pPr>
      <w:r>
        <w:t>所有写接口完成服务端状态守卫、项目资源授权、并发控制、输入验证和审计策略。</w:t>
      </w:r>
    </w:p>
    <w:p>
      <w:pPr>
        <w:pStyle w:val="ListBullet"/>
        <w:spacing w:after="40"/>
      </w:pPr>
      <w:r>
        <w:t>模型发布快照、模型状态、活动事件和安全审计遵循一致性策略；失败注入测试能证明事务整体回滚。</w:t>
      </w:r>
    </w:p>
    <w:p>
      <w:pPr>
        <w:pStyle w:val="ListBullet"/>
        <w:spacing w:after="40"/>
      </w:pPr>
      <w:r>
        <w:t>模型校验支持错误/警告分级、规则代码稳定、字段级定位和测试覆盖。</w:t>
      </w:r>
    </w:p>
    <w:p>
      <w:pPr>
        <w:pStyle w:val="ListBullet"/>
        <w:spacing w:after="40"/>
      </w:pPr>
      <w:r>
        <w:t>DDL 每种受支持引擎都有真实版本集成测试；只预览和执行两个权限边界明确隔离。</w:t>
      </w:r>
    </w:p>
    <w:p>
      <w:pPr>
        <w:pStyle w:val="ListBullet"/>
        <w:spacing w:after="40"/>
      </w:pPr>
      <w:r>
        <w:t>数据库迁移可在空库安装，也可在上一版本库升级；回滚或补偿方案经过演练。</w:t>
      </w:r>
    </w:p>
    <w:p>
      <w:pPr>
        <w:pStyle w:val="ListBullet"/>
        <w:spacing w:after="40"/>
      </w:pPr>
      <w:r>
        <w:t>关键接口具备日志、指标、Trace 关联和可执行 runbook；告警经过演练而非只检查配置存在。</w:t>
      </w:r>
    </w:p>
    <w:p>
      <w:pPr>
        <w:pStyle w:val="ListBullet"/>
        <w:spacing w:after="40"/>
      </w:pPr>
      <w:r>
        <w:t>接入企业认证、项目/模型级权限、密钥管理、备份恢复及基础安全扫描；高风险项清零或有正式接受记录。</w:t>
      </w:r>
    </w:p>
    <w:p>
      <w:pPr>
        <w:pStyle w:val="Heading2"/>
        <w:keepNext/>
      </w:pPr>
      <w:r>
        <w:t>38.3 还需补充的测试类型</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73B63"/>
            <w:tcMar>
              <w:top w:w="105" w:type="dxa"/>
              <w:start w:w="110" w:type="dxa"/>
              <w:bottom w:w="105" w:type="dxa"/>
              <w:end w:w="110" w:type="dxa"/>
            </w:tcMar>
            <w:vAlign w:val="center"/>
          </w:tcPr>
          <w:p>
            <w:pPr>
              <w:spacing w:after="0"/>
            </w:pPr>
            <w:r>
              <w:rPr>
                <w:b/>
                <w:color w:val="FFFFFF"/>
                <w:sz w:val="16"/>
              </w:rPr>
              <w:t>测试类型</w:t>
            </w:r>
          </w:p>
        </w:tc>
        <w:tc>
          <w:tcPr>
            <w:tcW w:type="dxa" w:w="4997"/>
            <w:shd w:fill="173B63"/>
            <w:tcMar>
              <w:top w:w="105" w:type="dxa"/>
              <w:start w:w="110" w:type="dxa"/>
              <w:bottom w:w="105" w:type="dxa"/>
              <w:end w:w="110" w:type="dxa"/>
            </w:tcMar>
            <w:vAlign w:val="center"/>
          </w:tcPr>
          <w:p>
            <w:pPr>
              <w:spacing w:after="0"/>
            </w:pPr>
            <w:r>
              <w:rPr>
                <w:b/>
                <w:color w:val="FFFFFF"/>
                <w:sz w:val="16"/>
              </w:rPr>
              <w:t>重点</w:t>
            </w:r>
          </w:p>
        </w:tc>
      </w:tr>
      <w:tr>
        <w:trPr>
          <w:cantSplit/>
        </w:trPr>
        <w:tc>
          <w:tcPr>
            <w:tcW w:type="dxa" w:w="4997"/>
            <w:tcMar>
              <w:top w:w="95" w:type="dxa"/>
              <w:start w:w="105" w:type="dxa"/>
              <w:bottom w:w="95" w:type="dxa"/>
              <w:end w:w="105" w:type="dxa"/>
            </w:tcMar>
            <w:vAlign w:val="center"/>
            <w:shd w:fill="F7F9FC"/>
          </w:tcPr>
          <w:p>
            <w:pPr>
              <w:spacing w:after="0" w:line="240" w:lineRule="auto"/>
            </w:pPr>
            <w:r>
              <w:rPr>
                <w:color w:val="283548"/>
                <w:sz w:val="16"/>
              </w:rPr>
              <w:t>PostgreSQL 集成</w:t>
            </w:r>
          </w:p>
        </w:tc>
        <w:tc>
          <w:tcPr>
            <w:tcW w:type="dxa" w:w="4997"/>
            <w:tcMar>
              <w:top w:w="95" w:type="dxa"/>
              <w:start w:w="105" w:type="dxa"/>
              <w:bottom w:w="95" w:type="dxa"/>
              <w:end w:w="105" w:type="dxa"/>
            </w:tcMar>
            <w:vAlign w:val="center"/>
            <w:shd w:fill="F7F9FC"/>
          </w:tcPr>
          <w:p>
            <w:pPr>
              <w:spacing w:after="0" w:line="240" w:lineRule="auto"/>
            </w:pPr>
            <w:r>
              <w:rPr>
                <w:color w:val="283548"/>
                <w:sz w:val="16"/>
              </w:rPr>
              <w:t>使用真实 PostgreSQL 容器运行 Alembic migration、事务回滚、约束和并发测试</w:t>
            </w:r>
          </w:p>
        </w:tc>
      </w:tr>
      <w:tr>
        <w:trPr>
          <w:cantSplit/>
        </w:trPr>
        <w:tc>
          <w:tcPr>
            <w:tcW w:type="dxa" w:w="4997"/>
            <w:tcMar>
              <w:top w:w="95" w:type="dxa"/>
              <w:start w:w="105" w:type="dxa"/>
              <w:bottom w:w="95" w:type="dxa"/>
              <w:end w:w="105" w:type="dxa"/>
            </w:tcMar>
            <w:vAlign w:val="center"/>
          </w:tcPr>
          <w:p>
            <w:pPr>
              <w:spacing w:after="0" w:line="240" w:lineRule="auto"/>
            </w:pPr>
            <w:r>
              <w:rPr>
                <w:color w:val="283548"/>
                <w:sz w:val="16"/>
              </w:rPr>
              <w:t>目标引擎 DDL 集成</w:t>
            </w:r>
          </w:p>
        </w:tc>
        <w:tc>
          <w:tcPr>
            <w:tcW w:type="dxa" w:w="4997"/>
            <w:tcMar>
              <w:top w:w="95" w:type="dxa"/>
              <w:start w:w="105" w:type="dxa"/>
              <w:bottom w:w="95" w:type="dxa"/>
              <w:end w:w="105" w:type="dxa"/>
            </w:tcMar>
            <w:vAlign w:val="center"/>
          </w:tcPr>
          <w:p>
            <w:pPr>
              <w:spacing w:after="0" w:line="240" w:lineRule="auto"/>
            </w:pPr>
            <w:r>
              <w:rPr>
                <w:color w:val="283548"/>
                <w:sz w:val="16"/>
              </w:rPr>
              <w:t>针对明确版本执行生成语句，校验语法、类型边界、注释、字符集、分区/存储属性</w:t>
            </w:r>
          </w:p>
        </w:tc>
      </w:tr>
      <w:tr>
        <w:trPr>
          <w:cantSplit/>
        </w:trPr>
        <w:tc>
          <w:tcPr>
            <w:tcW w:type="dxa" w:w="4997"/>
            <w:tcMar>
              <w:top w:w="95" w:type="dxa"/>
              <w:start w:w="105" w:type="dxa"/>
              <w:bottom w:w="95" w:type="dxa"/>
              <w:end w:w="105" w:type="dxa"/>
            </w:tcMar>
            <w:vAlign w:val="center"/>
            <w:shd w:fill="F7F9FC"/>
          </w:tcPr>
          <w:p>
            <w:pPr>
              <w:spacing w:after="0" w:line="240" w:lineRule="auto"/>
            </w:pPr>
            <w:r>
              <w:rPr>
                <w:color w:val="283548"/>
                <w:sz w:val="16"/>
              </w:rPr>
              <w:t>安全测试</w:t>
            </w:r>
          </w:p>
        </w:tc>
        <w:tc>
          <w:tcPr>
            <w:tcW w:type="dxa" w:w="4997"/>
            <w:tcMar>
              <w:top w:w="95" w:type="dxa"/>
              <w:start w:w="105" w:type="dxa"/>
              <w:bottom w:w="95" w:type="dxa"/>
              <w:end w:w="105" w:type="dxa"/>
            </w:tcMar>
            <w:vAlign w:val="center"/>
            <w:shd w:fill="F7F9FC"/>
          </w:tcPr>
          <w:p>
            <w:pPr>
              <w:spacing w:after="0" w:line="240" w:lineRule="auto"/>
            </w:pPr>
            <w:r>
              <w:rPr>
                <w:color w:val="283548"/>
                <w:sz w:val="16"/>
              </w:rPr>
              <w:t>鉴权绕过、跨项目访问、越权审批、SQL 注入、XSS、CSRF（视认证方式）、日志敏感信息扫描</w:t>
            </w:r>
          </w:p>
        </w:tc>
      </w:tr>
      <w:tr>
        <w:trPr>
          <w:cantSplit/>
        </w:trPr>
        <w:tc>
          <w:tcPr>
            <w:tcW w:type="dxa" w:w="4997"/>
            <w:tcMar>
              <w:top w:w="95" w:type="dxa"/>
              <w:start w:w="105" w:type="dxa"/>
              <w:bottom w:w="95" w:type="dxa"/>
              <w:end w:w="105" w:type="dxa"/>
            </w:tcMar>
            <w:vAlign w:val="center"/>
          </w:tcPr>
          <w:p>
            <w:pPr>
              <w:spacing w:after="0" w:line="240" w:lineRule="auto"/>
            </w:pPr>
            <w:r>
              <w:rPr>
                <w:color w:val="283548"/>
                <w:sz w:val="16"/>
              </w:rPr>
              <w:t>性能测试</w:t>
            </w:r>
          </w:p>
        </w:tc>
        <w:tc>
          <w:tcPr>
            <w:tcW w:type="dxa" w:w="4997"/>
            <w:tcMar>
              <w:top w:w="95" w:type="dxa"/>
              <w:start w:w="105" w:type="dxa"/>
              <w:bottom w:w="95" w:type="dxa"/>
              <w:end w:w="105" w:type="dxa"/>
            </w:tcMar>
            <w:vAlign w:val="center"/>
          </w:tcPr>
          <w:p>
            <w:pPr>
              <w:spacing w:after="0" w:line="240" w:lineRule="auto"/>
            </w:pPr>
            <w:r>
              <w:rPr>
                <w:color w:val="283548"/>
                <w:sz w:val="16"/>
              </w:rPr>
              <w:t>项目模型量、字段数、列表分页、校验耗时、DDL 生成耗时、并发保存和连接池容量</w:t>
            </w:r>
          </w:p>
        </w:tc>
      </w:tr>
      <w:tr>
        <w:trPr>
          <w:cantSplit/>
        </w:trPr>
        <w:tc>
          <w:tcPr>
            <w:tcW w:type="dxa" w:w="4997"/>
            <w:tcMar>
              <w:top w:w="95" w:type="dxa"/>
              <w:start w:w="105" w:type="dxa"/>
              <w:bottom w:w="95" w:type="dxa"/>
              <w:end w:w="105" w:type="dxa"/>
            </w:tcMar>
            <w:vAlign w:val="center"/>
            <w:shd w:fill="F7F9FC"/>
          </w:tcPr>
          <w:p>
            <w:pPr>
              <w:spacing w:after="0" w:line="240" w:lineRule="auto"/>
            </w:pPr>
            <w:r>
              <w:rPr>
                <w:color w:val="283548"/>
                <w:sz w:val="16"/>
              </w:rPr>
              <w:t>可靠性测试</w:t>
            </w:r>
          </w:p>
        </w:tc>
        <w:tc>
          <w:tcPr>
            <w:tcW w:type="dxa" w:w="4997"/>
            <w:tcMar>
              <w:top w:w="95" w:type="dxa"/>
              <w:start w:w="105" w:type="dxa"/>
              <w:bottom w:w="95" w:type="dxa"/>
              <w:end w:w="105" w:type="dxa"/>
            </w:tcMar>
            <w:vAlign w:val="center"/>
            <w:shd w:fill="F7F9FC"/>
          </w:tcPr>
          <w:p>
            <w:pPr>
              <w:spacing w:after="0" w:line="240" w:lineRule="auto"/>
            </w:pPr>
            <w:r>
              <w:rPr>
                <w:color w:val="283548"/>
                <w:sz w:val="16"/>
              </w:rPr>
              <w:t>数据库短时不可用、发布事务中断、worker 重启、连接超时、日志后端不可用和重试幂等</w:t>
            </w:r>
          </w:p>
        </w:tc>
      </w:tr>
      <w:tr>
        <w:trPr>
          <w:cantSplit/>
        </w:trPr>
        <w:tc>
          <w:tcPr>
            <w:tcW w:type="dxa" w:w="4997"/>
            <w:tcMar>
              <w:top w:w="95" w:type="dxa"/>
              <w:start w:w="105" w:type="dxa"/>
              <w:bottom w:w="95" w:type="dxa"/>
              <w:end w:w="105" w:type="dxa"/>
            </w:tcMar>
            <w:vAlign w:val="center"/>
          </w:tcPr>
          <w:p>
            <w:pPr>
              <w:spacing w:after="0" w:line="240" w:lineRule="auto"/>
            </w:pPr>
            <w:r>
              <w:rPr>
                <w:color w:val="283548"/>
                <w:sz w:val="16"/>
              </w:rPr>
              <w:t>易用性测试</w:t>
            </w:r>
          </w:p>
        </w:tc>
        <w:tc>
          <w:tcPr>
            <w:tcW w:type="dxa" w:w="4997"/>
            <w:tcMar>
              <w:top w:w="95" w:type="dxa"/>
              <w:start w:w="105" w:type="dxa"/>
              <w:bottom w:w="95" w:type="dxa"/>
              <w:end w:w="105" w:type="dxa"/>
            </w:tcMar>
            <w:vAlign w:val="center"/>
          </w:tcPr>
          <w:p>
            <w:pPr>
              <w:spacing w:after="0" w:line="240" w:lineRule="auto"/>
            </w:pPr>
            <w:r>
              <w:rPr>
                <w:color w:val="283548"/>
                <w:sz w:val="16"/>
              </w:rPr>
              <w:t>5–8 名建模/评审用户完成关键任务，观察完成率、耗时、误操作和求助频次</w:t>
            </w:r>
          </w:p>
        </w:tc>
      </w:tr>
    </w:tbl>
    <w:p>
      <w:pPr>
        <w:spacing w:after="40"/>
      </w:pPr>
    </w:p>
    <w:p>
      <w:pPr>
        <w:pStyle w:val="Heading1"/>
        <w:keepNext/>
      </w:pPr>
      <w:r>
        <w:t>39. 生产化路线图与待决事项</w:t>
      </w:r>
    </w:p>
    <w:p>
      <w:pPr>
        <w:pStyle w:val="Heading2"/>
        <w:keepNext/>
      </w:pPr>
      <w:r>
        <w:t>39.1 推荐迭代顺序</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优先级</w:t>
            </w:r>
          </w:p>
        </w:tc>
        <w:tc>
          <w:tcPr>
            <w:tcW w:type="dxa" w:w="3331"/>
            <w:shd w:fill="173B63"/>
            <w:tcMar>
              <w:top w:w="105" w:type="dxa"/>
              <w:start w:w="110" w:type="dxa"/>
              <w:bottom w:w="105" w:type="dxa"/>
              <w:end w:w="110" w:type="dxa"/>
            </w:tcMar>
            <w:vAlign w:val="center"/>
          </w:tcPr>
          <w:p>
            <w:pPr>
              <w:spacing w:after="0"/>
            </w:pPr>
            <w:r>
              <w:rPr>
                <w:b/>
                <w:color w:val="FFFFFF"/>
                <w:sz w:val="16"/>
              </w:rPr>
              <w:t>工作包</w:t>
            </w:r>
          </w:p>
        </w:tc>
        <w:tc>
          <w:tcPr>
            <w:tcW w:type="dxa" w:w="3331"/>
            <w:shd w:fill="173B63"/>
            <w:tcMar>
              <w:top w:w="105" w:type="dxa"/>
              <w:start w:w="110" w:type="dxa"/>
              <w:bottom w:w="105" w:type="dxa"/>
              <w:end w:w="110" w:type="dxa"/>
            </w:tcMar>
            <w:vAlign w:val="center"/>
          </w:tcPr>
          <w:p>
            <w:pPr>
              <w:spacing w:after="0"/>
            </w:pPr>
            <w:r>
              <w:rPr>
                <w:b/>
                <w:color w:val="FFFFFF"/>
                <w:sz w:val="16"/>
              </w:rPr>
              <w:t>进入条件/验收产物</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P0</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安全与数据边界</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明确使用范围；接入认证；项目资源权限；错误响应脱敏；敏感级别定义</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P0</w:t>
            </w:r>
          </w:p>
        </w:tc>
        <w:tc>
          <w:tcPr>
            <w:tcW w:type="dxa" w:w="3331"/>
            <w:tcMar>
              <w:top w:w="95" w:type="dxa"/>
              <w:start w:w="105" w:type="dxa"/>
              <w:bottom w:w="95" w:type="dxa"/>
              <w:end w:w="105" w:type="dxa"/>
            </w:tcMar>
            <w:vAlign w:val="center"/>
          </w:tcPr>
          <w:p>
            <w:pPr>
              <w:spacing w:after="0" w:line="240" w:lineRule="auto"/>
            </w:pPr>
            <w:r>
              <w:rPr>
                <w:color w:val="283548"/>
                <w:sz w:val="16"/>
              </w:rPr>
              <w:t>持久化与迁移</w:t>
            </w:r>
          </w:p>
        </w:tc>
        <w:tc>
          <w:tcPr>
            <w:tcW w:type="dxa" w:w="3331"/>
            <w:tcMar>
              <w:top w:w="95" w:type="dxa"/>
              <w:start w:w="105" w:type="dxa"/>
              <w:bottom w:w="95" w:type="dxa"/>
              <w:end w:w="105" w:type="dxa"/>
            </w:tcMar>
            <w:vAlign w:val="center"/>
          </w:tcPr>
          <w:p>
            <w:pPr>
              <w:spacing w:after="0" w:line="240" w:lineRule="auto"/>
            </w:pPr>
            <w:r>
              <w:rPr>
                <w:color w:val="283548"/>
                <w:sz w:val="16"/>
              </w:rPr>
              <w:t>PostgreSQL 目标 schema 评审；Alembic 初始化/升级/恢复演练；备份恢复验证</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P1</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建模交互效率</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Vue 3/TypeScript 正式前端；自动保存、防抖、冲突比较、Excel 粘贴、撤销重做</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P1</w:t>
            </w:r>
          </w:p>
        </w:tc>
        <w:tc>
          <w:tcPr>
            <w:tcW w:type="dxa" w:w="3331"/>
            <w:tcMar>
              <w:top w:w="95" w:type="dxa"/>
              <w:start w:w="105" w:type="dxa"/>
              <w:bottom w:w="95" w:type="dxa"/>
              <w:end w:w="105" w:type="dxa"/>
            </w:tcMar>
            <w:vAlign w:val="center"/>
          </w:tcPr>
          <w:p>
            <w:pPr>
              <w:spacing w:after="0" w:line="240" w:lineRule="auto"/>
            </w:pPr>
            <w:r>
              <w:rPr>
                <w:color w:val="283548"/>
                <w:sz w:val="16"/>
              </w:rPr>
              <w:t>模型生命周期</w:t>
            </w:r>
          </w:p>
        </w:tc>
        <w:tc>
          <w:tcPr>
            <w:tcW w:type="dxa" w:w="3331"/>
            <w:tcMar>
              <w:top w:w="95" w:type="dxa"/>
              <w:start w:w="105" w:type="dxa"/>
              <w:bottom w:w="95" w:type="dxa"/>
              <w:end w:w="105" w:type="dxa"/>
            </w:tcMar>
            <w:vAlign w:val="center"/>
          </w:tcPr>
          <w:p>
            <w:pPr>
              <w:spacing w:after="0" w:line="240" w:lineRule="auto"/>
            </w:pPr>
            <w:r>
              <w:rPr>
                <w:color w:val="283548"/>
                <w:sz w:val="16"/>
              </w:rPr>
              <w:t>评审任务/角色隔离、待办、评论、退回原因、评审快照和字段 diff</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P1</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引擎适配器</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优先选择一个主引擎完成执行级验证；随后再扩展第二/第三引擎</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P2</w:t>
            </w:r>
          </w:p>
        </w:tc>
        <w:tc>
          <w:tcPr>
            <w:tcW w:type="dxa" w:w="3331"/>
            <w:tcMar>
              <w:top w:w="95" w:type="dxa"/>
              <w:start w:w="105" w:type="dxa"/>
              <w:bottom w:w="95" w:type="dxa"/>
              <w:end w:w="105" w:type="dxa"/>
            </w:tcMar>
            <w:vAlign w:val="center"/>
          </w:tcPr>
          <w:p>
            <w:pPr>
              <w:spacing w:after="0" w:line="240" w:lineRule="auto"/>
            </w:pPr>
            <w:r>
              <w:rPr>
                <w:color w:val="283548"/>
                <w:sz w:val="16"/>
              </w:rPr>
              <w:t>可观测性生产化</w:t>
            </w:r>
          </w:p>
        </w:tc>
        <w:tc>
          <w:tcPr>
            <w:tcW w:type="dxa" w:w="3331"/>
            <w:tcMar>
              <w:top w:w="95" w:type="dxa"/>
              <w:start w:w="105" w:type="dxa"/>
              <w:bottom w:w="95" w:type="dxa"/>
              <w:end w:w="105" w:type="dxa"/>
            </w:tcMar>
            <w:vAlign w:val="center"/>
          </w:tcPr>
          <w:p>
            <w:pPr>
              <w:spacing w:after="0" w:line="240" w:lineRule="auto"/>
            </w:pPr>
            <w:r>
              <w:rPr>
                <w:color w:val="283548"/>
                <w:sz w:val="16"/>
              </w:rPr>
              <w:t>OpenTelemetry、指标/日志/Trace 后端、仪表盘、告警规则、runbook、SLO</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P2</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元数据扩展</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需求对象、主题域、逻辑模型、关系图、源系统采集、质量和血缘接口</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P3</w:t>
            </w:r>
          </w:p>
        </w:tc>
        <w:tc>
          <w:tcPr>
            <w:tcW w:type="dxa" w:w="3331"/>
            <w:tcMar>
              <w:top w:w="95" w:type="dxa"/>
              <w:start w:w="105" w:type="dxa"/>
              <w:bottom w:w="95" w:type="dxa"/>
              <w:end w:w="105" w:type="dxa"/>
            </w:tcMar>
            <w:vAlign w:val="center"/>
          </w:tcPr>
          <w:p>
            <w:pPr>
              <w:spacing w:after="0" w:line="240" w:lineRule="auto"/>
            </w:pPr>
            <w:r>
              <w:rPr>
                <w:color w:val="283548"/>
                <w:sz w:val="16"/>
              </w:rPr>
              <w:t>执行与影响分析</w:t>
            </w:r>
          </w:p>
        </w:tc>
        <w:tc>
          <w:tcPr>
            <w:tcW w:type="dxa" w:w="3331"/>
            <w:tcMar>
              <w:top w:w="95" w:type="dxa"/>
              <w:start w:w="105" w:type="dxa"/>
              <w:bottom w:w="95" w:type="dxa"/>
              <w:end w:w="105" w:type="dxa"/>
            </w:tcMar>
            <w:vAlign w:val="center"/>
          </w:tcPr>
          <w:p>
            <w:pPr>
              <w:spacing w:after="0" w:line="240" w:lineRule="auto"/>
            </w:pPr>
            <w:r>
              <w:rPr>
                <w:color w:val="283548"/>
                <w:sz w:val="16"/>
              </w:rPr>
              <w:t>通过审批执行 DDL、发布补偿、变更影响分析、下游引用清单和风险提示</w:t>
            </w:r>
          </w:p>
        </w:tc>
      </w:tr>
    </w:tbl>
    <w:p>
      <w:pPr>
        <w:spacing w:after="40"/>
      </w:pPr>
    </w:p>
    <w:p>
      <w:pPr>
        <w:pStyle w:val="Heading2"/>
        <w:keepNext/>
      </w:pPr>
      <w:r>
        <w:t>39.2 开发启动前待决事项</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73B63"/>
            <w:tcMar>
              <w:top w:w="105" w:type="dxa"/>
              <w:start w:w="110" w:type="dxa"/>
              <w:bottom w:w="105" w:type="dxa"/>
              <w:end w:w="110" w:type="dxa"/>
            </w:tcMar>
            <w:vAlign w:val="center"/>
          </w:tcPr>
          <w:p>
            <w:pPr>
              <w:spacing w:after="0"/>
            </w:pPr>
            <w:r>
              <w:rPr>
                <w:b/>
                <w:color w:val="FFFFFF"/>
                <w:sz w:val="16"/>
              </w:rPr>
              <w:t>待决事项</w:t>
            </w:r>
          </w:p>
        </w:tc>
        <w:tc>
          <w:tcPr>
            <w:tcW w:type="dxa" w:w="3331"/>
            <w:shd w:fill="173B63"/>
            <w:tcMar>
              <w:top w:w="105" w:type="dxa"/>
              <w:start w:w="110" w:type="dxa"/>
              <w:bottom w:w="105" w:type="dxa"/>
              <w:end w:w="110" w:type="dxa"/>
            </w:tcMar>
            <w:vAlign w:val="center"/>
          </w:tcPr>
          <w:p>
            <w:pPr>
              <w:spacing w:after="0"/>
            </w:pPr>
            <w:r>
              <w:rPr>
                <w:b/>
                <w:color w:val="FFFFFF"/>
                <w:sz w:val="16"/>
              </w:rPr>
              <w:t>为什么重要</w:t>
            </w:r>
          </w:p>
        </w:tc>
        <w:tc>
          <w:tcPr>
            <w:tcW w:type="dxa" w:w="3331"/>
            <w:shd w:fill="173B63"/>
            <w:tcMar>
              <w:top w:w="105" w:type="dxa"/>
              <w:start w:w="110" w:type="dxa"/>
              <w:bottom w:w="105" w:type="dxa"/>
              <w:end w:w="110" w:type="dxa"/>
            </w:tcMar>
            <w:vAlign w:val="center"/>
          </w:tcPr>
          <w:p>
            <w:pPr>
              <w:spacing w:after="0"/>
            </w:pPr>
            <w:r>
              <w:rPr>
                <w:b/>
                <w:color w:val="FFFFFF"/>
                <w:sz w:val="16"/>
              </w:rPr>
              <w:t>建议决策方式</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首个正式目标引擎与版本</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DDL、类型、注释、主键、分区等有引擎差异</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选择占比最高/风险最高的一个引擎作为 MVP 基准，明确版本号</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真实身份与组织权限</w:t>
            </w:r>
          </w:p>
        </w:tc>
        <w:tc>
          <w:tcPr>
            <w:tcW w:type="dxa" w:w="3331"/>
            <w:tcMar>
              <w:top w:w="95" w:type="dxa"/>
              <w:start w:w="105" w:type="dxa"/>
              <w:bottom w:w="95" w:type="dxa"/>
              <w:end w:w="105" w:type="dxa"/>
            </w:tcMar>
            <w:vAlign w:val="center"/>
          </w:tcPr>
          <w:p>
            <w:pPr>
              <w:spacing w:after="0" w:line="240" w:lineRule="auto"/>
            </w:pPr>
            <w:r>
              <w:rPr>
                <w:color w:val="283548"/>
                <w:sz w:val="16"/>
              </w:rPr>
              <w:t>影响 owner、审计人、评审人、项目访问模型</w:t>
            </w:r>
          </w:p>
        </w:tc>
        <w:tc>
          <w:tcPr>
            <w:tcW w:type="dxa" w:w="3331"/>
            <w:tcMar>
              <w:top w:w="95" w:type="dxa"/>
              <w:start w:w="105" w:type="dxa"/>
              <w:bottom w:w="95" w:type="dxa"/>
              <w:end w:w="105" w:type="dxa"/>
            </w:tcMar>
            <w:vAlign w:val="center"/>
          </w:tcPr>
          <w:p>
            <w:pPr>
              <w:spacing w:after="0" w:line="240" w:lineRule="auto"/>
            </w:pPr>
            <w:r>
              <w:rPr>
                <w:color w:val="283548"/>
                <w:sz w:val="16"/>
              </w:rPr>
              <w:t>确认企业 SSO/OIDC、用户/组来源及项目权限管理方式</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评审策略</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影响状态机、任务分派、代理审批和发布授权</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定义谁可提交、谁评审、是否双人复核、何时允许发布</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建模方法标准</w:t>
            </w:r>
          </w:p>
        </w:tc>
        <w:tc>
          <w:tcPr>
            <w:tcW w:type="dxa" w:w="3331"/>
            <w:tcMar>
              <w:top w:w="95" w:type="dxa"/>
              <w:start w:w="105" w:type="dxa"/>
              <w:bottom w:w="95" w:type="dxa"/>
              <w:end w:w="105" w:type="dxa"/>
            </w:tcMar>
            <w:vAlign w:val="center"/>
          </w:tcPr>
          <w:p>
            <w:pPr>
              <w:spacing w:after="0" w:line="240" w:lineRule="auto"/>
            </w:pPr>
            <w:r>
              <w:rPr>
                <w:color w:val="283548"/>
                <w:sz w:val="16"/>
              </w:rPr>
              <w:t>分层/主题域/主键/技术字段并非所有企业一致</w:t>
            </w:r>
          </w:p>
        </w:tc>
        <w:tc>
          <w:tcPr>
            <w:tcW w:type="dxa" w:w="3331"/>
            <w:tcMar>
              <w:top w:w="95" w:type="dxa"/>
              <w:start w:w="105" w:type="dxa"/>
              <w:bottom w:w="95" w:type="dxa"/>
              <w:end w:w="105" w:type="dxa"/>
            </w:tcMar>
            <w:vAlign w:val="center"/>
          </w:tcPr>
          <w:p>
            <w:pPr>
              <w:spacing w:after="0" w:line="240" w:lineRule="auto"/>
            </w:pPr>
            <w:r>
              <w:rPr>
                <w:color w:val="283548"/>
                <w:sz w:val="16"/>
              </w:rPr>
              <w:t>由数据架构负责人维护版本化规范与规则集</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DDL 执行边界</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执行变更可能影响生产数据</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明确预览、审批、执行、回滚/补偿四道边界；首期可只交付工件</w:t>
            </w:r>
          </w:p>
        </w:tc>
      </w:tr>
      <w:tr>
        <w:trPr>
          <w:cantSplit/>
        </w:trPr>
        <w:tc>
          <w:tcPr>
            <w:tcW w:type="dxa" w:w="3331"/>
            <w:tcMar>
              <w:top w:w="95" w:type="dxa"/>
              <w:start w:w="105" w:type="dxa"/>
              <w:bottom w:w="95" w:type="dxa"/>
              <w:end w:w="105" w:type="dxa"/>
            </w:tcMar>
            <w:vAlign w:val="center"/>
          </w:tcPr>
          <w:p>
            <w:pPr>
              <w:spacing w:after="0" w:line="240" w:lineRule="auto"/>
            </w:pPr>
            <w:r>
              <w:rPr>
                <w:color w:val="283548"/>
                <w:sz w:val="16"/>
              </w:rPr>
              <w:t>日志与事件保留期</w:t>
            </w:r>
          </w:p>
        </w:tc>
        <w:tc>
          <w:tcPr>
            <w:tcW w:type="dxa" w:w="3331"/>
            <w:tcMar>
              <w:top w:w="95" w:type="dxa"/>
              <w:start w:w="105" w:type="dxa"/>
              <w:bottom w:w="95" w:type="dxa"/>
              <w:end w:w="105" w:type="dxa"/>
            </w:tcMar>
            <w:vAlign w:val="center"/>
          </w:tcPr>
          <w:p>
            <w:pPr>
              <w:spacing w:after="0" w:line="240" w:lineRule="auto"/>
            </w:pPr>
            <w:r>
              <w:rPr>
                <w:color w:val="283548"/>
                <w:sz w:val="16"/>
              </w:rPr>
              <w:t>关系到成本、隐私和审计要求</w:t>
            </w:r>
          </w:p>
        </w:tc>
        <w:tc>
          <w:tcPr>
            <w:tcW w:type="dxa" w:w="3331"/>
            <w:tcMar>
              <w:top w:w="95" w:type="dxa"/>
              <w:start w:w="105" w:type="dxa"/>
              <w:bottom w:w="95" w:type="dxa"/>
              <w:end w:w="105" w:type="dxa"/>
            </w:tcMar>
            <w:vAlign w:val="center"/>
          </w:tcPr>
          <w:p>
            <w:pPr>
              <w:spacing w:after="0" w:line="240" w:lineRule="auto"/>
            </w:pPr>
            <w:r>
              <w:rPr>
                <w:color w:val="283548"/>
                <w:sz w:val="16"/>
              </w:rPr>
              <w:t>按安全制度和法规确认，不把示例保留期视为通用合规结论</w:t>
            </w:r>
          </w:p>
        </w:tc>
      </w:tr>
      <w:tr>
        <w:trPr>
          <w:cantSplit/>
        </w:trPr>
        <w:tc>
          <w:tcPr>
            <w:tcW w:type="dxa" w:w="3331"/>
            <w:tcMar>
              <w:top w:w="95" w:type="dxa"/>
              <w:start w:w="105" w:type="dxa"/>
              <w:bottom w:w="95" w:type="dxa"/>
              <w:end w:w="105" w:type="dxa"/>
            </w:tcMar>
            <w:vAlign w:val="center"/>
            <w:shd w:fill="F7F9FC"/>
          </w:tcPr>
          <w:p>
            <w:pPr>
              <w:spacing w:after="0" w:line="240" w:lineRule="auto"/>
            </w:pPr>
            <w:r>
              <w:rPr>
                <w:color w:val="283548"/>
                <w:sz w:val="16"/>
              </w:rPr>
              <w:t>部署方式与可用性目标</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决定 SQLite/PostgreSQL、单机/多实例与遥测后端</w:t>
            </w:r>
          </w:p>
        </w:tc>
        <w:tc>
          <w:tcPr>
            <w:tcW w:type="dxa" w:w="3331"/>
            <w:tcMar>
              <w:top w:w="95" w:type="dxa"/>
              <w:start w:w="105" w:type="dxa"/>
              <w:bottom w:w="95" w:type="dxa"/>
              <w:end w:w="105" w:type="dxa"/>
            </w:tcMar>
            <w:vAlign w:val="center"/>
            <w:shd w:fill="F7F9FC"/>
          </w:tcPr>
          <w:p>
            <w:pPr>
              <w:spacing w:after="0" w:line="240" w:lineRule="auto"/>
            </w:pPr>
            <w:r>
              <w:rPr>
                <w:color w:val="283548"/>
                <w:sz w:val="16"/>
              </w:rPr>
              <w:t>先明确内网试点规模、并发、RTO/RPO 和服务可用性预期</w:t>
            </w:r>
          </w:p>
        </w:tc>
      </w:tr>
    </w:tbl>
    <w:p>
      <w:pPr>
        <w:spacing w:after="40"/>
      </w:pPr>
    </w:p>
    <w:p>
      <w:pPr>
        <w:pStyle w:val="Heading1"/>
        <w:keepNext/>
      </w:pPr>
      <w:r>
        <w:t>附录 G. V0.4 源代码包目录</w:t>
      </w:r>
    </w:p>
    <w:p>
      <w:pPr>
        <w:keepLines/>
        <w:spacing w:before="60" w:after="160"/>
        <w:ind w:left="173" w:right="115"/>
        <w:shd w:fill="F0F4F9"/>
      </w:pPr>
      <w:r>
        <w:rPr>
          <w:rFonts w:ascii="Consolas" w:hAnsi="Consolas" w:eastAsia="Microsoft YaHei"/>
          <w:color w:val="263A54"/>
          <w:sz w:val="16"/>
        </w:rPr>
        <w:t>data-modeling-mvp-v04/</w:t>
      </w:r>
      <w:r>
        <w:br/>
      </w:r>
      <w:r>
        <w:rPr>
          <w:rFonts w:ascii="Consolas" w:hAnsi="Consolas" w:eastAsia="Microsoft YaHei"/>
          <w:color w:val="263A54"/>
          <w:sz w:val="16"/>
        </w:rPr>
        <w:t>├── backend/</w:t>
      </w:r>
      <w:r>
        <w:br/>
      </w:r>
      <w:r>
        <w:rPr>
          <w:rFonts w:ascii="Consolas" w:hAnsi="Consolas" w:eastAsia="Microsoft YaHei"/>
          <w:color w:val="263A54"/>
          <w:sz w:val="16"/>
        </w:rPr>
        <w:t>│   └── app/</w:t>
      </w:r>
      <w:r>
        <w:br/>
      </w:r>
      <w:r>
        <w:rPr>
          <w:rFonts w:ascii="Consolas" w:hAnsi="Consolas" w:eastAsia="Microsoft YaHei"/>
          <w:color w:val="263A54"/>
          <w:sz w:val="16"/>
        </w:rPr>
        <w:t>│       ├── main.py       # FastAPI routes, request ID, lifecycle endpoints</w:t>
      </w:r>
      <w:r>
        <w:br/>
      </w:r>
      <w:r>
        <w:rPr>
          <w:rFonts w:ascii="Consolas" w:hAnsi="Consolas" w:eastAsia="Microsoft YaHei"/>
          <w:color w:val="263A54"/>
          <w:sz w:val="16"/>
        </w:rPr>
        <w:t>│       ├── db.py         # SQLAlchemy engine/session; SQLite default</w:t>
      </w:r>
      <w:r>
        <w:br/>
      </w:r>
      <w:r>
        <w:rPr>
          <w:rFonts w:ascii="Consolas" w:hAnsi="Consolas" w:eastAsia="Microsoft YaHei"/>
          <w:color w:val="263A54"/>
          <w:sz w:val="16"/>
        </w:rPr>
        <w:t>│       ├── models.py     # minimal ORM entities</w:t>
      </w:r>
      <w:r>
        <w:br/>
      </w:r>
      <w:r>
        <w:rPr>
          <w:rFonts w:ascii="Consolas" w:hAnsi="Consolas" w:eastAsia="Microsoft YaHei"/>
          <w:color w:val="263A54"/>
          <w:sz w:val="16"/>
        </w:rPr>
        <w:t>│       ├── schemas.py    # API input validation</w:t>
      </w:r>
      <w:r>
        <w:br/>
      </w:r>
      <w:r>
        <w:rPr>
          <w:rFonts w:ascii="Consolas" w:hAnsi="Consolas" w:eastAsia="Microsoft YaHei"/>
          <w:color w:val="263A54"/>
          <w:sz w:val="16"/>
        </w:rPr>
        <w:t>│       └── ddl.py        # identifier/type mapping and DDL preview</w:t>
      </w:r>
      <w:r>
        <w:br/>
      </w:r>
      <w:r>
        <w:rPr>
          <w:rFonts w:ascii="Consolas" w:hAnsi="Consolas" w:eastAsia="Microsoft YaHei"/>
          <w:color w:val="263A54"/>
          <w:sz w:val="16"/>
        </w:rPr>
        <w:t>├── frontend/static/</w:t>
      </w:r>
      <w:r>
        <w:br/>
      </w:r>
      <w:r>
        <w:rPr>
          <w:rFonts w:ascii="Consolas" w:hAnsi="Consolas" w:eastAsia="Microsoft YaHei"/>
          <w:color w:val="263A54"/>
          <w:sz w:val="16"/>
        </w:rPr>
        <w:t>│   ├── index.html        # runnable workbench/editor shell</w:t>
      </w:r>
      <w:r>
        <w:br/>
      </w:r>
      <w:r>
        <w:rPr>
          <w:rFonts w:ascii="Consolas" w:hAnsi="Consolas" w:eastAsia="Microsoft YaHei"/>
          <w:color w:val="263A54"/>
          <w:sz w:val="16"/>
        </w:rPr>
        <w:t>│   ├── app.css           # responsive styles</w:t>
      </w:r>
      <w:r>
        <w:br/>
      </w:r>
      <w:r>
        <w:rPr>
          <w:rFonts w:ascii="Consolas" w:hAnsi="Consolas" w:eastAsia="Microsoft YaHei"/>
          <w:color w:val="263A54"/>
          <w:sz w:val="16"/>
        </w:rPr>
        <w:t>│   └── app.js            # list, editor, review/publish, event/metrics UI</w:t>
      </w:r>
      <w:r>
        <w:br/>
      </w:r>
      <w:r>
        <w:rPr>
          <w:rFonts w:ascii="Consolas" w:hAnsi="Consolas" w:eastAsia="Microsoft YaHei"/>
          <w:color w:val="263A54"/>
          <w:sz w:val="16"/>
        </w:rPr>
        <w:t>├── tests/test_api.py     # end-to-end API tests</w:t>
      </w:r>
      <w:r>
        <w:br/>
      </w:r>
      <w:r>
        <w:rPr>
          <w:rFonts w:ascii="Consolas" w:hAnsi="Consolas" w:eastAsia="Microsoft YaHei"/>
          <w:color w:val="263A54"/>
          <w:sz w:val="16"/>
        </w:rPr>
        <w:t>├── docs/                 # baseline SQL / diagrams / implementation note</w:t>
      </w:r>
      <w:r>
        <w:br/>
      </w:r>
      <w:r>
        <w:rPr>
          <w:rFonts w:ascii="Consolas" w:hAnsi="Consolas" w:eastAsia="Microsoft YaHei"/>
          <w:color w:val="263A54"/>
          <w:sz w:val="16"/>
        </w:rPr>
        <w:t>├── requirements.txt</w:t>
      </w:r>
      <w:r>
        <w:br/>
      </w:r>
      <w:r>
        <w:rPr>
          <w:rFonts w:ascii="Consolas" w:hAnsi="Consolas" w:eastAsia="Microsoft YaHei"/>
          <w:color w:val="263A54"/>
          <w:sz w:val="16"/>
        </w:rPr>
        <w:t>├── Dockerfile</w:t>
      </w:r>
      <w:r>
        <w:br/>
      </w:r>
      <w:r>
        <w:rPr>
          <w:rFonts w:ascii="Consolas" w:hAnsi="Consolas" w:eastAsia="Microsoft YaHei"/>
          <w:color w:val="263A54"/>
          <w:sz w:val="16"/>
        </w:rPr>
        <w:t>├── docker-compose.yml</w:t>
      </w:r>
      <w:r>
        <w:br/>
      </w:r>
      <w:r>
        <w:rPr>
          <w:rFonts w:ascii="Consolas" w:hAnsi="Consolas" w:eastAsia="Microsoft YaHei"/>
          <w:color w:val="263A54"/>
          <w:sz w:val="16"/>
        </w:rPr>
        <w:t>├── docker-compose.postgres.yml</w:t>
      </w:r>
      <w:r>
        <w:br/>
      </w:r>
      <w:r>
        <w:rPr>
          <w:rFonts w:ascii="Consolas" w:hAnsi="Consolas" w:eastAsia="Microsoft YaHei"/>
          <w:color w:val="263A54"/>
          <w:sz w:val="16"/>
        </w:rPr>
        <w:t>└── README.md</w:t>
      </w:r>
    </w:p>
    <w:p>
      <w:pPr>
        <w:spacing w:after="100" w:line="269" w:lineRule="auto"/>
      </w:pPr>
      <w:r>
        <w:rPr>
          <w:i w:val="0"/>
        </w:rPr>
        <w:t>源代码包中的原型 schema 是刻意缩小的验证模型；V0.2 的 schema_v02.sql 与 V0.3 的 schema_v03_addendum.sql 作为较完整目标设计的基线材料保留在 docs/ 下。两者不应在同一个数据库内盲目叠加，应先由团队整合成统一的 PostgreSQL migration。</w:t>
      </w:r>
    </w:p>
    <w:p>
      <w:pPr>
        <w:pStyle w:val="Heading1"/>
        <w:keepNext/>
      </w:pPr>
      <w:r>
        <w:t>附录 H. 核心 API 调用示例</w:t>
      </w:r>
    </w:p>
    <w:p>
      <w:pPr>
        <w:pStyle w:val="Heading2"/>
        <w:keepNext/>
      </w:pPr>
      <w:r>
        <w:t>H.1 创建模型草稿</w:t>
      </w:r>
    </w:p>
    <w:p>
      <w:pPr>
        <w:keepLines/>
        <w:spacing w:before="60" w:after="160"/>
        <w:ind w:left="173" w:right="115"/>
        <w:shd w:fill="F0F4F9"/>
      </w:pPr>
      <w:r>
        <w:rPr>
          <w:rFonts w:ascii="Consolas" w:hAnsi="Consolas" w:eastAsia="Microsoft YaHei"/>
          <w:color w:val="263A54"/>
          <w:sz w:val="15"/>
        </w:rPr>
        <w:t>POST /api/projects/1/models</w:t>
      </w:r>
      <w:r>
        <w:br/>
      </w:r>
      <w:r>
        <w:rPr>
          <w:rFonts w:ascii="Consolas" w:hAnsi="Consolas" w:eastAsia="Microsoft YaHei"/>
          <w:color w:val="263A54"/>
          <w:sz w:val="15"/>
        </w:rPr>
        <w:t>Content-Type: application/json</w:t>
      </w:r>
      <w:r>
        <w:br/>
      </w:r>
      <w:r>
        <w:rPr>
          <w:rFonts w:ascii="Consolas" w:hAnsi="Consolas" w:eastAsia="Microsoft YaHei"/>
          <w:color w:val="263A54"/>
          <w:sz w:val="15"/>
        </w:rPr>
        <w:t xml:space="preserve"> </w:t>
      </w:r>
      <w:r>
        <w:br/>
      </w:r>
      <w:r>
        <w:rPr>
          <w:rFonts w:ascii="Consolas" w:hAnsi="Consolas" w:eastAsia="Microsoft YaHei"/>
          <w:color w:val="263A54"/>
          <w:sz w:val="15"/>
        </w:rPr>
        <w:t>{</w:t>
      </w:r>
      <w:r>
        <w:br/>
      </w:r>
      <w:r>
        <w:rPr>
          <w:rFonts w:ascii="Consolas" w:hAnsi="Consolas" w:eastAsia="Microsoft YaHei"/>
          <w:color w:val="263A54"/>
          <w:sz w:val="15"/>
        </w:rPr>
        <w:t xml:space="preserve">  "model_key": "dwd_sales_order",</w:t>
      </w:r>
      <w:r>
        <w:br/>
      </w:r>
      <w:r>
        <w:rPr>
          <w:rFonts w:ascii="Consolas" w:hAnsi="Consolas" w:eastAsia="Microsoft YaHei"/>
          <w:color w:val="263A54"/>
          <w:sz w:val="15"/>
        </w:rPr>
        <w:t xml:space="preserve">  "name": "销售订单明细",</w:t>
      </w:r>
      <w:r>
        <w:br/>
      </w:r>
      <w:r>
        <w:rPr>
          <w:rFonts w:ascii="Consolas" w:hAnsi="Consolas" w:eastAsia="Microsoft YaHei"/>
          <w:color w:val="263A54"/>
          <w:sz w:val="15"/>
        </w:rPr>
        <w:t xml:space="preserve">  "description": "每行代表一条订单明细。",</w:t>
      </w:r>
      <w:r>
        <w:br/>
      </w:r>
      <w:r>
        <w:rPr>
          <w:rFonts w:ascii="Consolas" w:hAnsi="Consolas" w:eastAsia="Microsoft YaHei"/>
          <w:color w:val="263A54"/>
          <w:sz w:val="15"/>
        </w:rPr>
        <w:t xml:space="preserve">  "layer": "DWD",</w:t>
      </w:r>
      <w:r>
        <w:br/>
      </w:r>
      <w:r>
        <w:rPr>
          <w:rFonts w:ascii="Consolas" w:hAnsi="Consolas" w:eastAsia="Microsoft YaHei"/>
          <w:color w:val="263A54"/>
          <w:sz w:val="15"/>
        </w:rPr>
        <w:t xml:space="preserve">  "model_type": "FACT",</w:t>
      </w:r>
      <w:r>
        <w:br/>
      </w:r>
      <w:r>
        <w:rPr>
          <w:rFonts w:ascii="Consolas" w:hAnsi="Consolas" w:eastAsia="Microsoft YaHei"/>
          <w:color w:val="263A54"/>
          <w:sz w:val="15"/>
        </w:rPr>
        <w:t xml:space="preserve">  "target_engine": "postgresql",</w:t>
      </w:r>
      <w:r>
        <w:br/>
      </w:r>
      <w:r>
        <w:rPr>
          <w:rFonts w:ascii="Consolas" w:hAnsi="Consolas" w:eastAsia="Microsoft YaHei"/>
          <w:color w:val="263A54"/>
          <w:sz w:val="15"/>
        </w:rPr>
        <w:t xml:space="preserve">  "fields": [</w:t>
      </w:r>
      <w:r>
        <w:br/>
      </w:r>
      <w:r>
        <w:rPr>
          <w:rFonts w:ascii="Consolas" w:hAnsi="Consolas" w:eastAsia="Microsoft YaHei"/>
          <w:color w:val="263A54"/>
          <w:sz w:val="15"/>
        </w:rPr>
        <w:t xml:space="preserve">    {"field_code":"order_id","field_name":"订单编号","logical_type":"BIGINT",</w:t>
      </w:r>
      <w:r>
        <w:br/>
      </w:r>
      <w:r>
        <w:rPr>
          <w:rFonts w:ascii="Consolas" w:hAnsi="Consolas" w:eastAsia="Microsoft YaHei"/>
          <w:color w:val="263A54"/>
          <w:sz w:val="15"/>
        </w:rPr>
        <w:t xml:space="preserve">     "nullable":false,"is_primary_key":true,"description":"订单唯一标识"},</w:t>
      </w:r>
      <w:r>
        <w:br/>
      </w:r>
      <w:r>
        <w:rPr>
          <w:rFonts w:ascii="Consolas" w:hAnsi="Consolas" w:eastAsia="Microsoft YaHei"/>
          <w:color w:val="263A54"/>
          <w:sz w:val="15"/>
        </w:rPr>
        <w:t xml:space="preserve">    {"field_code":"order_amount","field_name":"订单金额","logical_type":"DECIMAL",</w:t>
      </w:r>
      <w:r>
        <w:br/>
      </w:r>
      <w:r>
        <w:rPr>
          <w:rFonts w:ascii="Consolas" w:hAnsi="Consolas" w:eastAsia="Microsoft YaHei"/>
          <w:color w:val="263A54"/>
          <w:sz w:val="15"/>
        </w:rPr>
        <w:t xml:space="preserve">     "precision":18,"scale":2,"nullable":false,"description":"订单金额"}</w:t>
      </w:r>
      <w:r>
        <w:br/>
      </w:r>
      <w:r>
        <w:rPr>
          <w:rFonts w:ascii="Consolas" w:hAnsi="Consolas" w:eastAsia="Microsoft YaHei"/>
          <w:color w:val="263A54"/>
          <w:sz w:val="15"/>
        </w:rPr>
        <w:t xml:space="preserve">  ]</w:t>
      </w:r>
      <w:r>
        <w:br/>
      </w:r>
      <w:r>
        <w:rPr>
          <w:rFonts w:ascii="Consolas" w:hAnsi="Consolas" w:eastAsia="Microsoft YaHei"/>
          <w:color w:val="263A54"/>
          <w:sz w:val="15"/>
        </w:rPr>
        <w:t>}</w:t>
      </w:r>
    </w:p>
    <w:p>
      <w:pPr>
        <w:pStyle w:val="Heading2"/>
        <w:keepNext/>
      </w:pPr>
      <w:r>
        <w:t>H.2 更新草稿并防止覆盖</w:t>
      </w:r>
    </w:p>
    <w:p>
      <w:pPr>
        <w:keepLines/>
        <w:spacing w:before="60" w:after="160"/>
        <w:ind w:left="173" w:right="115"/>
        <w:shd w:fill="F0F4F9"/>
      </w:pPr>
      <w:r>
        <w:rPr>
          <w:rFonts w:ascii="Consolas" w:hAnsi="Consolas" w:eastAsia="Microsoft YaHei"/>
          <w:color w:val="263A54"/>
          <w:sz w:val="16"/>
        </w:rPr>
        <w:t>PUT /api/models/42</w:t>
      </w:r>
      <w:r>
        <w:br/>
      </w:r>
      <w:r>
        <w:rPr>
          <w:rFonts w:ascii="Consolas" w:hAnsi="Consolas" w:eastAsia="Microsoft YaHei"/>
          <w:color w:val="263A54"/>
          <w:sz w:val="16"/>
        </w:rPr>
        <w:t>{</w:t>
      </w:r>
      <w:r>
        <w:br/>
      </w:r>
      <w:r>
        <w:rPr>
          <w:rFonts w:ascii="Consolas" w:hAnsi="Consolas" w:eastAsia="Microsoft YaHei"/>
          <w:color w:val="263A54"/>
          <w:sz w:val="16"/>
        </w:rPr>
        <w:t xml:space="preserve">  "expected_revision": 7,</w:t>
      </w:r>
      <w:r>
        <w:br/>
      </w:r>
      <w:r>
        <w:rPr>
          <w:rFonts w:ascii="Consolas" w:hAnsi="Consolas" w:eastAsia="Microsoft YaHei"/>
          <w:color w:val="263A54"/>
          <w:sz w:val="16"/>
        </w:rPr>
        <w:t xml:space="preserve">  "model_key": "dwd_sales_order",</w:t>
      </w:r>
      <w:r>
        <w:br/>
      </w:r>
      <w:r>
        <w:rPr>
          <w:rFonts w:ascii="Consolas" w:hAnsi="Consolas" w:eastAsia="Microsoft YaHei"/>
          <w:color w:val="263A54"/>
          <w:sz w:val="16"/>
        </w:rPr>
        <w:t xml:space="preserve">  "name": "销售订单明细",</w:t>
      </w:r>
      <w:r>
        <w:br/>
      </w:r>
      <w:r>
        <w:rPr>
          <w:rFonts w:ascii="Consolas" w:hAnsi="Consolas" w:eastAsia="Microsoft YaHei"/>
          <w:color w:val="263A54"/>
          <w:sz w:val="16"/>
        </w:rPr>
        <w:t xml:space="preserve">  "description": "补充了订单金额口径。",</w:t>
      </w:r>
      <w:r>
        <w:br/>
      </w:r>
      <w:r>
        <w:rPr>
          <w:rFonts w:ascii="Consolas" w:hAnsi="Consolas" w:eastAsia="Microsoft YaHei"/>
          <w:color w:val="263A54"/>
          <w:sz w:val="16"/>
        </w:rPr>
        <w:t xml:space="preserve">  "layer": "DWD", "model_type": "FACT", "target_engine": "postgresql",</w:t>
      </w:r>
      <w:r>
        <w:br/>
      </w:r>
      <w:r>
        <w:rPr>
          <w:rFonts w:ascii="Consolas" w:hAnsi="Consolas" w:eastAsia="Microsoft YaHei"/>
          <w:color w:val="263A54"/>
          <w:sz w:val="16"/>
        </w:rPr>
        <w:t xml:space="preserve">  "fields": [ /* 完整字段集合 */ ]</w:t>
      </w:r>
      <w:r>
        <w:br/>
      </w:r>
      <w:r>
        <w:rPr>
          <w:rFonts w:ascii="Consolas" w:hAnsi="Consolas" w:eastAsia="Microsoft YaHei"/>
          <w:color w:val="263A54"/>
          <w:sz w:val="16"/>
        </w:rPr>
        <w:t>}</w:t>
      </w:r>
      <w:r>
        <w:br/>
      </w:r>
      <w:r>
        <w:rPr>
          <w:rFonts w:ascii="Consolas" w:hAnsi="Consolas" w:eastAsia="Microsoft YaHei"/>
          <w:color w:val="263A54"/>
          <w:sz w:val="16"/>
        </w:rPr>
        <w:t xml:space="preserve"> </w:t>
      </w:r>
      <w:r>
        <w:br/>
      </w:r>
      <w:r>
        <w:rPr>
          <w:rFonts w:ascii="Consolas" w:hAnsi="Consolas" w:eastAsia="Microsoft YaHei"/>
          <w:color w:val="263A54"/>
          <w:sz w:val="16"/>
        </w:rPr>
        <w:t>若服务端当前 edit_revision=8，返回 409 REVISION_CONFLICT，</w:t>
      </w:r>
      <w:r>
        <w:br/>
      </w:r>
      <w:r>
        <w:rPr>
          <w:rFonts w:ascii="Consolas" w:hAnsi="Consolas" w:eastAsia="Microsoft YaHei"/>
          <w:color w:val="263A54"/>
          <w:sz w:val="16"/>
        </w:rPr>
        <w:t>前端必须保留本地内容，不能用旧 revision 强行覆盖。</w:t>
      </w:r>
    </w:p>
    <w:p>
      <w:pPr>
        <w:pStyle w:val="Heading2"/>
        <w:keepNext/>
      </w:pPr>
      <w:r>
        <w:t>H.3 发布与 DDL 预览</w:t>
      </w:r>
    </w:p>
    <w:p>
      <w:pPr>
        <w:keepLines/>
        <w:spacing w:before="60" w:after="160"/>
        <w:ind w:left="173" w:right="115"/>
        <w:shd w:fill="F0F4F9"/>
      </w:pPr>
      <w:r>
        <w:rPr>
          <w:rFonts w:ascii="Consolas" w:hAnsi="Consolas" w:eastAsia="Microsoft YaHei"/>
          <w:color w:val="263A54"/>
          <w:sz w:val="16"/>
        </w:rPr>
        <w:t>POST /api/models/42/submit-review   {}</w:t>
      </w:r>
      <w:r>
        <w:br/>
      </w:r>
      <w:r>
        <w:rPr>
          <w:rFonts w:ascii="Consolas" w:hAnsi="Consolas" w:eastAsia="Microsoft YaHei"/>
          <w:color w:val="263A54"/>
          <w:sz w:val="16"/>
        </w:rPr>
        <w:t>POST /api/models/42/approve          {"comment":"业务口径确认，模型设计通过"}</w:t>
      </w:r>
      <w:r>
        <w:br/>
      </w:r>
      <w:r>
        <w:rPr>
          <w:rFonts w:ascii="Consolas" w:hAnsi="Consolas" w:eastAsia="Microsoft YaHei"/>
          <w:color w:val="263A54"/>
          <w:sz w:val="16"/>
        </w:rPr>
        <w:t>POST /api/models/42/publish          {"comment":"正式发布 V1"}</w:t>
      </w:r>
      <w:r>
        <w:br/>
      </w:r>
      <w:r>
        <w:rPr>
          <w:rFonts w:ascii="Consolas" w:hAnsi="Consolas" w:eastAsia="Microsoft YaHei"/>
          <w:color w:val="263A54"/>
          <w:sz w:val="16"/>
        </w:rPr>
        <w:t>POST /api/models/42/ddl              {"target_engine":"postgresql","schema_name":"analytics"}</w:t>
      </w:r>
      <w:r>
        <w:br/>
      </w:r>
      <w:r>
        <w:rPr>
          <w:rFonts w:ascii="Consolas" w:hAnsi="Consolas" w:eastAsia="Microsoft YaHei"/>
          <w:color w:val="263A54"/>
          <w:sz w:val="16"/>
        </w:rPr>
        <w:t xml:space="preserve"> </w:t>
      </w:r>
      <w:r>
        <w:br/>
      </w:r>
      <w:r>
        <w:rPr>
          <w:rFonts w:ascii="Consolas" w:hAnsi="Consolas" w:eastAsia="Microsoft YaHei"/>
          <w:color w:val="263A54"/>
          <w:sz w:val="16"/>
        </w:rPr>
        <w:t>DDL response includes execute_on_target=false; no SQL is executed by the prototype.</w:t>
      </w:r>
    </w:p>
    <w:p>
      <w:pPr>
        <w:pStyle w:val="Heading1"/>
        <w:keepNext/>
      </w:pPr>
      <w:r>
        <w:t>附录 I. 参考资料与版本策略</w:t>
      </w:r>
    </w:p>
    <w:p>
      <w:pPr>
        <w:spacing w:after="100" w:line="269" w:lineRule="auto"/>
      </w:pPr>
      <w:r>
        <w:rPr>
          <w:i w:val="0"/>
        </w:rPr>
        <w:t>以下官方资料用于指导实施，不替代团队针对所选版本进行锁定、兼容性测试和安全审查。链接核对日期：2026-10-21。</w:t>
      </w:r>
    </w:p>
    <w:p>
      <w:pPr>
        <w:pStyle w:val="ListBullet"/>
        <w:spacing w:after="40"/>
      </w:pPr>
      <w:r>
        <w:t>FastAPI — Lifespan Events: https://fastapi.tiangolo.com/advanced/events/ （应用启动/关闭资源的推荐生命周期机制）。</w:t>
      </w:r>
    </w:p>
    <w:p>
      <w:pPr>
        <w:pStyle w:val="ListBullet"/>
        <w:spacing w:after="40"/>
      </w:pPr>
      <w:r>
        <w:t>SQLAlchemy 2.0 ORM: https://docs.sqlalchemy.org/en/20/orm/ （声明式实体、Session、事务、关系和数据库访问机制）。</w:t>
      </w:r>
    </w:p>
    <w:p>
      <w:pPr>
        <w:pStyle w:val="ListBullet"/>
        <w:spacing w:after="40"/>
      </w:pPr>
      <w:r>
        <w:t>OpenTelemetry Python: https://opentelemetry.io/docs/languages/python/ （Python 应用产生和导出 traces、metrics 与 logs 的官方资料）。</w:t>
      </w:r>
    </w:p>
    <w:p>
      <w:pPr>
        <w:pStyle w:val="ListBullet"/>
        <w:spacing w:after="40"/>
      </w:pPr>
      <w:r>
        <w:t>OpenTelemetry Python Instrumentation: https://opentelemetry.io/docs/languages/python/instrumentation/ （手工埋点、span 和属性配置）。</w:t>
      </w:r>
    </w:p>
    <w:p>
      <w:pPr>
        <w:spacing w:after="100" w:line="269" w:lineRule="auto"/>
      </w:pPr>
      <w:r>
        <w:rPr>
          <w:i w:val="0"/>
        </w:rPr>
        <w:t>依赖管理建议：开发阶段可使用兼容范围，进入联调和生产候选阶段应锁定完整依赖版本、生成可复现安装清单、执行漏洞扫描和升级回归测试。不要以“文档写了某版本”替代实际 lockfile 与 CI 验证。</w:t>
      </w:r>
    </w:p>
    <w:p>
      <w:pPr>
        <w:pStyle w:val="Heading1"/>
        <w:keepNext/>
      </w:pPr>
      <w:r>
        <w:t>附录 J. 发布前检查清单</w:t>
      </w:r>
    </w:p>
    <w:p>
      <w:pPr>
        <w:spacing w:after="100" w:line="269" w:lineRule="auto"/>
      </w:pPr>
      <w:r>
        <w:rPr>
          <w:i w:val="0"/>
        </w:rPr>
        <w:t xml:space="preserve"> [ ] 需求、交互、API 契约、状态机、元数据 ERD 已由产品/架构/研发/治理相关人评审。</w:t>
      </w:r>
    </w:p>
    <w:p>
      <w:pPr>
        <w:spacing w:after="100" w:line="269" w:lineRule="auto"/>
      </w:pPr>
      <w:r>
        <w:rPr>
          <w:i w:val="0"/>
        </w:rPr>
        <w:t xml:space="preserve"> [ ] 明确实际部署引擎及版本；所有 SQL/DDL 均通过相应版本集成测试。</w:t>
      </w:r>
    </w:p>
    <w:p>
      <w:pPr>
        <w:spacing w:after="100" w:line="269" w:lineRule="auto"/>
      </w:pPr>
      <w:r>
        <w:rPr>
          <w:i w:val="0"/>
        </w:rPr>
        <w:t xml:space="preserve"> [ ] 已接入真实身份认证；后端每个读写接口都执行资源级授权。</w:t>
      </w:r>
    </w:p>
    <w:p>
      <w:pPr>
        <w:spacing w:after="100" w:line="269" w:lineRule="auto"/>
      </w:pPr>
      <w:r>
        <w:rPr>
          <w:i w:val="0"/>
        </w:rPr>
        <w:t xml:space="preserve"> [ ] 已完成 Alembic migration、空库安装、上一版本升级和备份恢复演练。</w:t>
      </w:r>
    </w:p>
    <w:p>
      <w:pPr>
        <w:spacing w:after="100" w:line="269" w:lineRule="auto"/>
      </w:pPr>
      <w:r>
        <w:rPr>
          <w:i w:val="0"/>
        </w:rPr>
        <w:t xml:space="preserve"> [ ] 已验证发布状态、版本快照、业务事件、安全审计事务一致性。</w:t>
      </w:r>
    </w:p>
    <w:p>
      <w:pPr>
        <w:spacing w:after="100" w:line="269" w:lineRule="auto"/>
      </w:pPr>
      <w:r>
        <w:rPr>
          <w:i w:val="0"/>
        </w:rPr>
        <w:t xml:space="preserve"> [ ] 自动保存、并发冲突、网络中断和浏览器离开页面行为均通过交互测试。</w:t>
      </w:r>
    </w:p>
    <w:p>
      <w:pPr>
        <w:spacing w:after="100" w:line="269" w:lineRule="auto"/>
      </w:pPr>
      <w:r>
        <w:rPr>
          <w:i w:val="0"/>
        </w:rPr>
        <w:t xml:space="preserve"> [ ] 日志脱敏、指标无高基数敏感标签、Trace 不包含字段样例/密码/令牌。</w:t>
      </w:r>
    </w:p>
    <w:p>
      <w:pPr>
        <w:spacing w:after="100" w:line="269" w:lineRule="auto"/>
      </w:pPr>
      <w:r>
        <w:rPr>
          <w:i w:val="0"/>
        </w:rPr>
        <w:t xml:space="preserve"> [ ] 健康检查、告警、仪表盘、runbook 和责任人已配置并完成演练。</w:t>
      </w:r>
    </w:p>
    <w:p>
      <w:pPr>
        <w:spacing w:after="100" w:line="269" w:lineRule="auto"/>
      </w:pPr>
      <w:r>
        <w:rPr>
          <w:i w:val="0"/>
        </w:rPr>
        <w:t xml:space="preserve"> [ ] 性能、安全和可访问性测试已达标；未关闭的风险已被具名负责人正式接受。</w:t>
      </w:r>
    </w:p>
    <w:p>
      <w:pPr>
        <w:spacing w:after="100" w:line="269" w:lineRule="auto"/>
      </w:pPr>
      <w:r>
        <w:rPr>
          <w:i w:val="0"/>
        </w:rPr>
        <w:t xml:space="preserve"> [ ] 数据保留、归档、删除、权限审查及变更审计策略已获批准。</w:t>
      </w:r>
    </w:p>
    <w:p>
      <w:r>
        <w:br w:type="page"/>
      </w:r>
    </w:p>
    <w:p>
      <w:pPr>
        <w:spacing w:before="720"/>
        <w:jc w:val="center"/>
      </w:pPr>
      <w:r>
        <w:rPr>
          <w:rFonts w:ascii="Microsoft YaHei" w:hAnsi="Microsoft YaHei" w:eastAsia="Microsoft YaHei"/>
          <w:b/>
          <w:color w:val="17365D"/>
          <w:sz w:val="48"/>
        </w:rPr>
        <w:t>V0.5 工程化增强补充说明</w:t>
      </w:r>
    </w:p>
    <w:p>
      <w:pPr>
        <w:jc w:val="center"/>
      </w:pPr>
      <w:r>
        <w:rPr>
          <w:color w:val="5A646E"/>
          <w:sz w:val="24"/>
        </w:rPr>
        <w:t>从可运行参考原型走向可维护工程的基础改造</w:t>
      </w:r>
    </w:p>
    <w:p/>
    <w:tbl>
      <w:tblPr>
        <w:tblStyle w:val="TableGrid"/>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60"/>
            </w:pPr>
            <w:r>
              <w:rPr>
                <w:b/>
                <w:color w:val="7D5000"/>
              </w:rPr>
              <w:t>版本定位</w:t>
            </w:r>
          </w:p>
          <w:p>
            <w:pPr>
              <w:spacing w:after="0"/>
            </w:pPr>
            <w:r>
              <w:rPr>
                <w:sz w:val="18"/>
              </w:rPr>
              <w:t>V0.5 重点建设 schema migration、配置/启动契约、健康检查、结构化日志和可验证的工程工作流。它不是一次性完成生产安全体系；企业认证、资源级授权、真实引擎集成与生产遥测仍需独立实施和验收。</w:t>
            </w:r>
          </w:p>
        </w:tc>
      </w:tr>
    </w:tbl>
    <w:p>
      <w:pPr>
        <w:spacing w:after="20"/>
      </w:pPr>
    </w:p>
    <w:p>
      <w:pPr>
        <w:pStyle w:val="Heading1"/>
        <w:keepNext/>
      </w:pPr>
      <w:r>
        <w:t>40. 版本目标与变更摘要</w:t>
      </w:r>
    </w:p>
    <w:p>
      <w:pPr>
        <w:spacing w:after="100" w:line="269" w:lineRule="auto"/>
      </w:pPr>
      <w:r>
        <w:t>V0.4 已验证项目、模型草稿、字段、校验、评审状态、版本快照、DDL 预览和活动时间线等业务主路径。V0.5 主要解决原型向可持续开发演进时暴露的工程债：依赖 create_all 的隐式 schema 初始化、运行时配置分散、健康接口无法区分存活与就绪、日志缺乏标准字段，以及旧数据库无版本记录时的迁移风险。</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17365D"/>
            <w:vAlign w:val="center"/>
            <w:tcMar>
              <w:top w:w="90" w:type="dxa"/>
              <w:start w:w="100" w:type="dxa"/>
              <w:bottom w:w="90" w:type="dxa"/>
              <w:end w:w="100" w:type="dxa"/>
            </w:tcMar>
          </w:tcPr>
          <w:p>
            <w:pPr>
              <w:spacing w:after="0"/>
            </w:pPr>
            <w:r>
              <w:rPr>
                <w:b/>
                <w:color w:val="FFFFFF"/>
                <w:sz w:val="17"/>
              </w:rPr>
              <w:t>领域</w:t>
            </w:r>
          </w:p>
        </w:tc>
        <w:tc>
          <w:tcPr>
            <w:tcW w:type="dxa" w:w="2376"/>
            <w:shd w:fill="17365D"/>
            <w:vAlign w:val="center"/>
            <w:tcMar>
              <w:top w:w="90" w:type="dxa"/>
              <w:start w:w="100" w:type="dxa"/>
              <w:bottom w:w="90" w:type="dxa"/>
              <w:end w:w="100" w:type="dxa"/>
            </w:tcMar>
          </w:tcPr>
          <w:p>
            <w:pPr>
              <w:spacing w:after="0"/>
            </w:pPr>
            <w:r>
              <w:rPr>
                <w:b/>
                <w:color w:val="FFFFFF"/>
                <w:sz w:val="17"/>
              </w:rPr>
              <w:t>V0.4 状态</w:t>
            </w:r>
          </w:p>
        </w:tc>
        <w:tc>
          <w:tcPr>
            <w:tcW w:type="dxa" w:w="3024"/>
            <w:shd w:fill="17365D"/>
            <w:vAlign w:val="center"/>
            <w:tcMar>
              <w:top w:w="90" w:type="dxa"/>
              <w:start w:w="100" w:type="dxa"/>
              <w:bottom w:w="90" w:type="dxa"/>
              <w:end w:w="100" w:type="dxa"/>
            </w:tcMar>
          </w:tcPr>
          <w:p>
            <w:pPr>
              <w:spacing w:after="0"/>
            </w:pPr>
            <w:r>
              <w:rPr>
                <w:b/>
                <w:color w:val="FFFFFF"/>
                <w:sz w:val="17"/>
              </w:rPr>
              <w:t>V0.5 改进</w:t>
            </w:r>
          </w:p>
        </w:tc>
        <w:tc>
          <w:tcPr>
            <w:tcW w:type="dxa" w:w="2232"/>
            <w:shd w:fill="17365D"/>
            <w:vAlign w:val="center"/>
            <w:tcMar>
              <w:top w:w="90" w:type="dxa"/>
              <w:start w:w="100" w:type="dxa"/>
              <w:bottom w:w="90" w:type="dxa"/>
              <w:end w:w="100" w:type="dxa"/>
            </w:tcMar>
          </w:tcPr>
          <w:p>
            <w:pPr>
              <w:spacing w:after="0"/>
            </w:pPr>
            <w:r>
              <w:rPr>
                <w:b/>
                <w:color w:val="FFFFFF"/>
                <w:sz w:val="17"/>
              </w:rPr>
              <w:t>验收表现</w:t>
            </w:r>
          </w:p>
        </w:tc>
      </w:tr>
      <w:tr>
        <w:trPr>
          <w:cantSplit/>
        </w:trPr>
        <w:tc>
          <w:tcPr>
            <w:tcW w:type="dxa" w:w="1512"/>
            <w:vAlign w:val="center"/>
            <w:tcMar>
              <w:top w:w="90" w:type="dxa"/>
              <w:start w:w="100" w:type="dxa"/>
              <w:bottom w:w="90" w:type="dxa"/>
              <w:end w:w="100" w:type="dxa"/>
            </w:tcMar>
          </w:tcPr>
          <w:p>
            <w:pPr>
              <w:spacing w:after="0" w:line="240" w:lineRule="auto"/>
            </w:pPr>
            <w:r>
              <w:rPr>
                <w:sz w:val="17"/>
              </w:rPr>
              <w:t>数据库 schema</w:t>
            </w:r>
          </w:p>
        </w:tc>
        <w:tc>
          <w:tcPr>
            <w:tcW w:type="dxa" w:w="2376"/>
            <w:vAlign w:val="center"/>
            <w:tcMar>
              <w:top w:w="90" w:type="dxa"/>
              <w:start w:w="100" w:type="dxa"/>
              <w:bottom w:w="90" w:type="dxa"/>
              <w:end w:w="100" w:type="dxa"/>
            </w:tcMar>
          </w:tcPr>
          <w:p>
            <w:pPr>
              <w:spacing w:after="0" w:line="240" w:lineRule="auto"/>
            </w:pPr>
            <w:r>
              <w:rPr>
                <w:sz w:val="17"/>
              </w:rPr>
              <w:t>启动时 create_all；无迁移历史</w:t>
            </w:r>
          </w:p>
        </w:tc>
        <w:tc>
          <w:tcPr>
            <w:tcW w:type="dxa" w:w="3024"/>
            <w:vAlign w:val="center"/>
            <w:tcMar>
              <w:top w:w="90" w:type="dxa"/>
              <w:start w:w="100" w:type="dxa"/>
              <w:bottom w:w="90" w:type="dxa"/>
              <w:end w:w="100" w:type="dxa"/>
            </w:tcMar>
          </w:tcPr>
          <w:p>
            <w:pPr>
              <w:spacing w:after="0" w:line="240" w:lineRule="auto"/>
            </w:pPr>
            <w:r>
              <w:rPr>
                <w:sz w:val="17"/>
              </w:rPr>
              <w:t>引入 Alembic 初始 revision 与升级命令</w:t>
            </w:r>
          </w:p>
        </w:tc>
        <w:tc>
          <w:tcPr>
            <w:tcW w:type="dxa" w:w="2232"/>
            <w:vAlign w:val="center"/>
            <w:tcMar>
              <w:top w:w="90" w:type="dxa"/>
              <w:start w:w="100" w:type="dxa"/>
              <w:bottom w:w="90" w:type="dxa"/>
              <w:end w:w="100" w:type="dxa"/>
            </w:tcMar>
          </w:tcPr>
          <w:p>
            <w:pPr>
              <w:spacing w:after="0" w:line="240" w:lineRule="auto"/>
            </w:pPr>
            <w:r>
              <w:rPr>
                <w:sz w:val="17"/>
              </w:rPr>
              <w:t>空库 upgrade/current/downgrade/upgrade 烟测通过</w:t>
            </w:r>
          </w:p>
        </w:tc>
      </w:tr>
      <w:tr>
        <w:trPr>
          <w:cantSplit/>
        </w:trPr>
        <w:tc>
          <w:tcPr>
            <w:tcW w:type="dxa" w:w="1512"/>
            <w:vAlign w:val="center"/>
            <w:tcMar>
              <w:top w:w="90" w:type="dxa"/>
              <w:start w:w="100" w:type="dxa"/>
              <w:bottom w:w="90" w:type="dxa"/>
              <w:end w:w="100" w:type="dxa"/>
            </w:tcMar>
            <w:shd w:fill="F4F7FA"/>
          </w:tcPr>
          <w:p>
            <w:pPr>
              <w:spacing w:after="0" w:line="240" w:lineRule="auto"/>
            </w:pPr>
            <w:r>
              <w:rPr>
                <w:sz w:val="17"/>
              </w:rPr>
              <w:t>启动配置</w:t>
            </w:r>
          </w:p>
        </w:tc>
        <w:tc>
          <w:tcPr>
            <w:tcW w:type="dxa" w:w="2376"/>
            <w:vAlign w:val="center"/>
            <w:tcMar>
              <w:top w:w="90" w:type="dxa"/>
              <w:start w:w="100" w:type="dxa"/>
              <w:bottom w:w="90" w:type="dxa"/>
              <w:end w:w="100" w:type="dxa"/>
            </w:tcMar>
            <w:shd w:fill="F4F7FA"/>
          </w:tcPr>
          <w:p>
            <w:pPr>
              <w:spacing w:after="0" w:line="240" w:lineRule="auto"/>
            </w:pPr>
            <w:r>
              <w:rPr>
                <w:sz w:val="17"/>
              </w:rPr>
              <w:t>环境变量直接在模块读取</w:t>
            </w:r>
          </w:p>
        </w:tc>
        <w:tc>
          <w:tcPr>
            <w:tcW w:type="dxa" w:w="3024"/>
            <w:vAlign w:val="center"/>
            <w:tcMar>
              <w:top w:w="90" w:type="dxa"/>
              <w:start w:w="100" w:type="dxa"/>
              <w:bottom w:w="90" w:type="dxa"/>
              <w:end w:w="100" w:type="dxa"/>
            </w:tcMar>
            <w:shd w:fill="F4F7FA"/>
          </w:tcPr>
          <w:p>
            <w:pPr>
              <w:spacing w:after="0" w:line="240" w:lineRule="auto"/>
            </w:pPr>
            <w:r>
              <w:rPr>
                <w:sz w:val="17"/>
              </w:rPr>
              <w:t>集中 Settings；按环境限制启动</w:t>
            </w:r>
          </w:p>
        </w:tc>
        <w:tc>
          <w:tcPr>
            <w:tcW w:type="dxa" w:w="2232"/>
            <w:vAlign w:val="center"/>
            <w:tcMar>
              <w:top w:w="90" w:type="dxa"/>
              <w:start w:w="100" w:type="dxa"/>
              <w:bottom w:w="90" w:type="dxa"/>
              <w:end w:w="100" w:type="dxa"/>
            </w:tcMar>
            <w:shd w:fill="F4F7FA"/>
          </w:tcPr>
          <w:p>
            <w:pPr>
              <w:spacing w:after="0" w:line="240" w:lineRule="auto"/>
            </w:pPr>
            <w:r>
              <w:rPr>
                <w:sz w:val="17"/>
              </w:rPr>
              <w:t>production/staging 被拒绝启动</w:t>
            </w:r>
          </w:p>
        </w:tc>
      </w:tr>
      <w:tr>
        <w:trPr>
          <w:cantSplit/>
        </w:trPr>
        <w:tc>
          <w:tcPr>
            <w:tcW w:type="dxa" w:w="1512"/>
            <w:vAlign w:val="center"/>
            <w:tcMar>
              <w:top w:w="90" w:type="dxa"/>
              <w:start w:w="100" w:type="dxa"/>
              <w:bottom w:w="90" w:type="dxa"/>
              <w:end w:w="100" w:type="dxa"/>
            </w:tcMar>
          </w:tcPr>
          <w:p>
            <w:pPr>
              <w:spacing w:after="0" w:line="240" w:lineRule="auto"/>
            </w:pPr>
            <w:r>
              <w:rPr>
                <w:sz w:val="17"/>
              </w:rPr>
              <w:t>就绪性</w:t>
            </w:r>
          </w:p>
        </w:tc>
        <w:tc>
          <w:tcPr>
            <w:tcW w:type="dxa" w:w="2376"/>
            <w:vAlign w:val="center"/>
            <w:tcMar>
              <w:top w:w="90" w:type="dxa"/>
              <w:start w:w="100" w:type="dxa"/>
              <w:bottom w:w="90" w:type="dxa"/>
              <w:end w:w="100" w:type="dxa"/>
            </w:tcMar>
          </w:tcPr>
          <w:p>
            <w:pPr>
              <w:spacing w:after="0" w:line="240" w:lineRule="auto"/>
            </w:pPr>
            <w:r>
              <w:rPr>
                <w:sz w:val="17"/>
              </w:rPr>
              <w:t>单一 health 端点</w:t>
            </w:r>
          </w:p>
        </w:tc>
        <w:tc>
          <w:tcPr>
            <w:tcW w:type="dxa" w:w="3024"/>
            <w:vAlign w:val="center"/>
            <w:tcMar>
              <w:top w:w="90" w:type="dxa"/>
              <w:start w:w="100" w:type="dxa"/>
              <w:bottom w:w="90" w:type="dxa"/>
              <w:end w:w="100" w:type="dxa"/>
            </w:tcMar>
          </w:tcPr>
          <w:p>
            <w:pPr>
              <w:spacing w:after="0" w:line="240" w:lineRule="auto"/>
            </w:pPr>
            <w:r>
              <w:rPr>
                <w:sz w:val="17"/>
              </w:rPr>
              <w:t>live 与 ready 分离，ready 检查 DB 和 revision</w:t>
            </w:r>
          </w:p>
        </w:tc>
        <w:tc>
          <w:tcPr>
            <w:tcW w:type="dxa" w:w="2232"/>
            <w:vAlign w:val="center"/>
            <w:tcMar>
              <w:top w:w="90" w:type="dxa"/>
              <w:start w:w="100" w:type="dxa"/>
              <w:bottom w:w="90" w:type="dxa"/>
              <w:end w:w="100" w:type="dxa"/>
            </w:tcMar>
          </w:tcPr>
          <w:p>
            <w:pPr>
              <w:spacing w:after="0" w:line="240" w:lineRule="auto"/>
            </w:pPr>
            <w:r>
              <w:rPr>
                <w:sz w:val="17"/>
              </w:rPr>
              <w:t>schema 非 head 时不就绪</w:t>
            </w:r>
          </w:p>
        </w:tc>
      </w:tr>
      <w:tr>
        <w:trPr>
          <w:cantSplit/>
        </w:trPr>
        <w:tc>
          <w:tcPr>
            <w:tcW w:type="dxa" w:w="1512"/>
            <w:vAlign w:val="center"/>
            <w:tcMar>
              <w:top w:w="90" w:type="dxa"/>
              <w:start w:w="100" w:type="dxa"/>
              <w:bottom w:w="90" w:type="dxa"/>
              <w:end w:w="100" w:type="dxa"/>
            </w:tcMar>
            <w:shd w:fill="F4F7FA"/>
          </w:tcPr>
          <w:p>
            <w:pPr>
              <w:spacing w:after="0" w:line="240" w:lineRule="auto"/>
            </w:pPr>
            <w:r>
              <w:rPr>
                <w:sz w:val="17"/>
              </w:rPr>
              <w:t>日志关联</w:t>
            </w:r>
          </w:p>
        </w:tc>
        <w:tc>
          <w:tcPr>
            <w:tcW w:type="dxa" w:w="2376"/>
            <w:vAlign w:val="center"/>
            <w:tcMar>
              <w:top w:w="90" w:type="dxa"/>
              <w:start w:w="100" w:type="dxa"/>
              <w:bottom w:w="90" w:type="dxa"/>
              <w:end w:w="100" w:type="dxa"/>
            </w:tcMar>
            <w:shd w:fill="F4F7FA"/>
          </w:tcPr>
          <w:p>
            <w:pPr>
              <w:spacing w:after="0" w:line="240" w:lineRule="auto"/>
            </w:pPr>
            <w:r>
              <w:rPr>
                <w:sz w:val="17"/>
              </w:rPr>
              <w:t>文本日志含部分请求字段</w:t>
            </w:r>
          </w:p>
        </w:tc>
        <w:tc>
          <w:tcPr>
            <w:tcW w:type="dxa" w:w="3024"/>
            <w:vAlign w:val="center"/>
            <w:tcMar>
              <w:top w:w="90" w:type="dxa"/>
              <w:start w:w="100" w:type="dxa"/>
              <w:bottom w:w="90" w:type="dxa"/>
              <w:end w:w="100" w:type="dxa"/>
            </w:tcMar>
            <w:shd w:fill="F4F7FA"/>
          </w:tcPr>
          <w:p>
            <w:pPr>
              <w:spacing w:after="0" w:line="240" w:lineRule="auto"/>
            </w:pPr>
            <w:r>
              <w:rPr>
                <w:sz w:val="17"/>
              </w:rPr>
              <w:t>JSON 日志、request_id、route/status/duration</w:t>
            </w:r>
          </w:p>
        </w:tc>
        <w:tc>
          <w:tcPr>
            <w:tcW w:type="dxa" w:w="2232"/>
            <w:vAlign w:val="center"/>
            <w:tcMar>
              <w:top w:w="90" w:type="dxa"/>
              <w:start w:w="100" w:type="dxa"/>
              <w:bottom w:w="90" w:type="dxa"/>
              <w:end w:w="100" w:type="dxa"/>
            </w:tcMar>
            <w:shd w:fill="F4F7FA"/>
          </w:tcPr>
          <w:p>
            <w:pPr>
              <w:spacing w:after="0" w:line="240" w:lineRule="auto"/>
            </w:pPr>
            <w:r>
              <w:rPr>
                <w:sz w:val="17"/>
              </w:rPr>
              <w:t>错误响应与响应头 request ID 一致</w:t>
            </w:r>
          </w:p>
        </w:tc>
      </w:tr>
      <w:tr>
        <w:trPr>
          <w:cantSplit/>
        </w:trPr>
        <w:tc>
          <w:tcPr>
            <w:tcW w:type="dxa" w:w="1512"/>
            <w:vAlign w:val="center"/>
            <w:tcMar>
              <w:top w:w="90" w:type="dxa"/>
              <w:start w:w="100" w:type="dxa"/>
              <w:bottom w:w="90" w:type="dxa"/>
              <w:end w:w="100" w:type="dxa"/>
            </w:tcMar>
          </w:tcPr>
          <w:p>
            <w:pPr>
              <w:spacing w:after="0" w:line="240" w:lineRule="auto"/>
            </w:pPr>
            <w:r>
              <w:rPr>
                <w:sz w:val="17"/>
              </w:rPr>
              <w:t>数据完整性</w:t>
            </w:r>
          </w:p>
        </w:tc>
        <w:tc>
          <w:tcPr>
            <w:tcW w:type="dxa" w:w="2376"/>
            <w:vAlign w:val="center"/>
            <w:tcMar>
              <w:top w:w="90" w:type="dxa"/>
              <w:start w:w="100" w:type="dxa"/>
              <w:bottom w:w="90" w:type="dxa"/>
              <w:end w:w="100" w:type="dxa"/>
            </w:tcMar>
          </w:tcPr>
          <w:p>
            <w:pPr>
              <w:spacing w:after="0" w:line="240" w:lineRule="auto"/>
            </w:pPr>
            <w:r>
              <w:rPr>
                <w:sz w:val="17"/>
              </w:rPr>
              <w:t>SQLite 外键默认行为依赖环境</w:t>
            </w:r>
          </w:p>
        </w:tc>
        <w:tc>
          <w:tcPr>
            <w:tcW w:type="dxa" w:w="3024"/>
            <w:vAlign w:val="center"/>
            <w:tcMar>
              <w:top w:w="90" w:type="dxa"/>
              <w:start w:w="100" w:type="dxa"/>
              <w:bottom w:w="90" w:type="dxa"/>
              <w:end w:w="100" w:type="dxa"/>
            </w:tcMar>
          </w:tcPr>
          <w:p>
            <w:pPr>
              <w:spacing w:after="0" w:line="240" w:lineRule="auto"/>
            </w:pPr>
            <w:r>
              <w:rPr>
                <w:sz w:val="17"/>
              </w:rPr>
              <w:t>显式打开 SQLite foreign_keys</w:t>
            </w:r>
          </w:p>
        </w:tc>
        <w:tc>
          <w:tcPr>
            <w:tcW w:type="dxa" w:w="2232"/>
            <w:vAlign w:val="center"/>
            <w:tcMar>
              <w:top w:w="90" w:type="dxa"/>
              <w:start w:w="100" w:type="dxa"/>
              <w:bottom w:w="90" w:type="dxa"/>
              <w:end w:w="100" w:type="dxa"/>
            </w:tcMar>
          </w:tcPr>
          <w:p>
            <w:pPr>
              <w:spacing w:after="0" w:line="240" w:lineRule="auto"/>
            </w:pPr>
            <w:r>
              <w:rPr>
                <w:sz w:val="17"/>
              </w:rPr>
              <w:t>外键约束受数据库执行</w:t>
            </w:r>
          </w:p>
        </w:tc>
      </w:tr>
      <w:tr>
        <w:trPr>
          <w:cantSplit/>
        </w:trPr>
        <w:tc>
          <w:tcPr>
            <w:tcW w:type="dxa" w:w="1512"/>
            <w:vAlign w:val="center"/>
            <w:tcMar>
              <w:top w:w="90" w:type="dxa"/>
              <w:start w:w="100" w:type="dxa"/>
              <w:bottom w:w="90" w:type="dxa"/>
              <w:end w:w="100" w:type="dxa"/>
            </w:tcMar>
            <w:shd w:fill="F4F7FA"/>
          </w:tcPr>
          <w:p>
            <w:pPr>
              <w:spacing w:after="0" w:line="240" w:lineRule="auto"/>
            </w:pPr>
            <w:r>
              <w:rPr>
                <w:sz w:val="17"/>
              </w:rPr>
              <w:t>交付验证</w:t>
            </w:r>
          </w:p>
        </w:tc>
        <w:tc>
          <w:tcPr>
            <w:tcW w:type="dxa" w:w="2376"/>
            <w:vAlign w:val="center"/>
            <w:tcMar>
              <w:top w:w="90" w:type="dxa"/>
              <w:start w:w="100" w:type="dxa"/>
              <w:bottom w:w="90" w:type="dxa"/>
              <w:end w:w="100" w:type="dxa"/>
            </w:tcMar>
            <w:shd w:fill="F4F7FA"/>
          </w:tcPr>
          <w:p>
            <w:pPr>
              <w:spacing w:after="0" w:line="240" w:lineRule="auto"/>
            </w:pPr>
            <w:r>
              <w:rPr>
                <w:sz w:val="17"/>
              </w:rPr>
              <w:t>6 项 API 测试</w:t>
            </w:r>
          </w:p>
        </w:tc>
        <w:tc>
          <w:tcPr>
            <w:tcW w:type="dxa" w:w="3024"/>
            <w:vAlign w:val="center"/>
            <w:tcMar>
              <w:top w:w="90" w:type="dxa"/>
              <w:start w:w="100" w:type="dxa"/>
              <w:bottom w:w="90" w:type="dxa"/>
              <w:end w:w="100" w:type="dxa"/>
            </w:tcMar>
            <w:shd w:fill="F4F7FA"/>
          </w:tcPr>
          <w:p>
            <w:pPr>
              <w:spacing w:after="0" w:line="240" w:lineRule="auto"/>
            </w:pPr>
            <w:r>
              <w:rPr>
                <w:sz w:val="17"/>
              </w:rPr>
              <w:t>10 项测试 + SQLite migration smoke test</w:t>
            </w:r>
          </w:p>
        </w:tc>
        <w:tc>
          <w:tcPr>
            <w:tcW w:type="dxa" w:w="2232"/>
            <w:vAlign w:val="center"/>
            <w:tcMar>
              <w:top w:w="90" w:type="dxa"/>
              <w:start w:w="100" w:type="dxa"/>
              <w:bottom w:w="90" w:type="dxa"/>
              <w:end w:w="100" w:type="dxa"/>
            </w:tcMar>
            <w:shd w:fill="F4F7FA"/>
          </w:tcPr>
          <w:p>
            <w:pPr>
              <w:spacing w:after="0" w:line="240" w:lineRule="auto"/>
            </w:pPr>
            <w:r>
              <w:rPr>
                <w:sz w:val="17"/>
              </w:rPr>
              <w:t>测试与边界说明随包交付</w:t>
            </w:r>
          </w:p>
        </w:tc>
      </w:tr>
    </w:tbl>
    <w:p>
      <w:pPr>
        <w:spacing w:after="20"/>
      </w:pPr>
    </w:p>
    <w:p>
      <w:pPr>
        <w:pStyle w:val="Heading1"/>
        <w:keepNext/>
      </w:pPr>
      <w:r>
        <w:t>41. 运行时架构与边界</w:t>
      </w:r>
    </w:p>
    <w:p>
      <w:pPr>
        <w:spacing w:after="100" w:line="269" w:lineRule="auto"/>
      </w:pPr>
      <w:r>
        <w:t>V0.5 保持轻量单体架构，避免在功能和数据模型仍快速演进时过早引入微服务。应用按 API/路由、领域规则、ORM 与 schema migration、DDL 方言适配、运行配置及可观测性分层。模块边界先靠 Python 包、依赖方向和测试约束，不以独立部署服务为第一阶段目标。</w:t>
      </w:r>
    </w:p>
    <w:p>
      <w:pPr>
        <w:jc w:val="center"/>
      </w:pPr>
      <w:r>
        <w:drawing>
          <wp:inline xmlns:a="http://schemas.openxmlformats.org/drawingml/2006/main" xmlns:pic="http://schemas.openxmlformats.org/drawingml/2006/picture">
            <wp:extent cx="5715000" cy="333375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15000" cy="3333750"/>
                    </a:xfrm>
                    <a:prstGeom prst="rect"/>
                  </pic:spPr>
                </pic:pic>
              </a:graphicData>
            </a:graphic>
          </wp:inline>
        </w:drawing>
      </w:r>
    </w:p>
    <w:p>
      <w:pPr>
        <w:jc w:val="center"/>
      </w:pPr>
      <w:r>
        <w:rPr>
          <w:i/>
          <w:color w:val="6B7280"/>
          <w:sz w:val="16"/>
        </w:rPr>
        <w:t>图 40-1  平台逻辑架构基线（沿用 V0.4 架构图；V0.5 新增 migration/config/health 运行保障）</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365D"/>
            <w:vAlign w:val="center"/>
            <w:tcMar>
              <w:top w:w="90" w:type="dxa"/>
              <w:start w:w="100" w:type="dxa"/>
              <w:bottom w:w="90" w:type="dxa"/>
              <w:end w:w="100" w:type="dxa"/>
            </w:tcMar>
          </w:tcPr>
          <w:p>
            <w:pPr>
              <w:spacing w:after="0"/>
            </w:pPr>
            <w:r>
              <w:rPr>
                <w:b/>
                <w:color w:val="FFFFFF"/>
                <w:sz w:val="17"/>
              </w:rPr>
              <w:t>组件边界</w:t>
            </w:r>
          </w:p>
        </w:tc>
        <w:tc>
          <w:tcPr>
            <w:tcW w:type="dxa" w:w="3672"/>
            <w:shd w:fill="17365D"/>
            <w:vAlign w:val="center"/>
            <w:tcMar>
              <w:top w:w="90" w:type="dxa"/>
              <w:start w:w="100" w:type="dxa"/>
              <w:bottom w:w="90" w:type="dxa"/>
              <w:end w:w="100" w:type="dxa"/>
            </w:tcMar>
          </w:tcPr>
          <w:p>
            <w:pPr>
              <w:spacing w:after="0"/>
            </w:pPr>
            <w:r>
              <w:rPr>
                <w:b/>
                <w:color w:val="FFFFFF"/>
                <w:sz w:val="17"/>
              </w:rPr>
              <w:t>职责</w:t>
            </w:r>
          </w:p>
        </w:tc>
        <w:tc>
          <w:tcPr>
            <w:tcW w:type="dxa" w:w="3816"/>
            <w:shd w:fill="17365D"/>
            <w:vAlign w:val="center"/>
            <w:tcMar>
              <w:top w:w="90" w:type="dxa"/>
              <w:start w:w="100" w:type="dxa"/>
              <w:bottom w:w="90" w:type="dxa"/>
              <w:end w:w="100" w:type="dxa"/>
            </w:tcMar>
          </w:tcPr>
          <w:p>
            <w:pPr>
              <w:spacing w:after="0"/>
            </w:pPr>
            <w:r>
              <w:rPr>
                <w:b/>
                <w:color w:val="FFFFFF"/>
                <w:sz w:val="17"/>
              </w:rPr>
              <w:t>不可越界的责任</w:t>
            </w:r>
          </w:p>
        </w:tc>
      </w:tr>
      <w:tr>
        <w:trPr>
          <w:cantSplit/>
        </w:trPr>
        <w:tc>
          <w:tcPr>
            <w:tcW w:type="dxa" w:w="1656"/>
            <w:vAlign w:val="center"/>
            <w:tcMar>
              <w:top w:w="90" w:type="dxa"/>
              <w:start w:w="100" w:type="dxa"/>
              <w:bottom w:w="90" w:type="dxa"/>
              <w:end w:w="100" w:type="dxa"/>
            </w:tcMar>
          </w:tcPr>
          <w:p>
            <w:pPr>
              <w:spacing w:after="0" w:line="240" w:lineRule="auto"/>
            </w:pPr>
            <w:r>
              <w:rPr>
                <w:sz w:val="17"/>
              </w:rPr>
              <w:t>API 层</w:t>
            </w:r>
          </w:p>
        </w:tc>
        <w:tc>
          <w:tcPr>
            <w:tcW w:type="dxa" w:w="3672"/>
            <w:vAlign w:val="center"/>
            <w:tcMar>
              <w:top w:w="90" w:type="dxa"/>
              <w:start w:w="100" w:type="dxa"/>
              <w:bottom w:w="90" w:type="dxa"/>
              <w:end w:w="100" w:type="dxa"/>
            </w:tcMar>
          </w:tcPr>
          <w:p>
            <w:pPr>
              <w:spacing w:after="0" w:line="240" w:lineRule="auto"/>
            </w:pPr>
            <w:r>
              <w:rPr>
                <w:sz w:val="17"/>
              </w:rPr>
              <w:t>参数校验、HTTP 状态码、request_id、调用用例</w:t>
            </w:r>
          </w:p>
        </w:tc>
        <w:tc>
          <w:tcPr>
            <w:tcW w:type="dxa" w:w="3816"/>
            <w:vAlign w:val="center"/>
            <w:tcMar>
              <w:top w:w="90" w:type="dxa"/>
              <w:start w:w="100" w:type="dxa"/>
              <w:bottom w:w="90" w:type="dxa"/>
              <w:end w:w="100" w:type="dxa"/>
            </w:tcMar>
          </w:tcPr>
          <w:p>
            <w:pPr>
              <w:spacing w:after="0" w:line="240" w:lineRule="auto"/>
            </w:pPr>
            <w:r>
              <w:rPr>
                <w:sz w:val="17"/>
              </w:rPr>
              <w:t>不在 route 内拼装复杂 DDL 或直接创建表</w:t>
            </w:r>
          </w:p>
        </w:tc>
      </w:tr>
      <w:tr>
        <w:trPr>
          <w:cantSplit/>
        </w:trPr>
        <w:tc>
          <w:tcPr>
            <w:tcW w:type="dxa" w:w="1656"/>
            <w:vAlign w:val="center"/>
            <w:tcMar>
              <w:top w:w="90" w:type="dxa"/>
              <w:start w:w="100" w:type="dxa"/>
              <w:bottom w:w="90" w:type="dxa"/>
              <w:end w:w="100" w:type="dxa"/>
            </w:tcMar>
            <w:shd w:fill="F4F7FA"/>
          </w:tcPr>
          <w:p>
            <w:pPr>
              <w:spacing w:after="0" w:line="240" w:lineRule="auto"/>
            </w:pPr>
            <w:r>
              <w:rPr>
                <w:sz w:val="17"/>
              </w:rPr>
              <w:t>领域/用例逻辑</w:t>
            </w:r>
          </w:p>
        </w:tc>
        <w:tc>
          <w:tcPr>
            <w:tcW w:type="dxa" w:w="3672"/>
            <w:vAlign w:val="center"/>
            <w:tcMar>
              <w:top w:w="90" w:type="dxa"/>
              <w:start w:w="100" w:type="dxa"/>
              <w:bottom w:w="90" w:type="dxa"/>
              <w:end w:w="100" w:type="dxa"/>
            </w:tcMar>
            <w:shd w:fill="F4F7FA"/>
          </w:tcPr>
          <w:p>
            <w:pPr>
              <w:spacing w:after="0" w:line="240" w:lineRule="auto"/>
            </w:pPr>
            <w:r>
              <w:rPr>
                <w:sz w:val="17"/>
              </w:rPr>
              <w:t>模型状态守卫、规则校验、版本发布事务</w:t>
            </w:r>
          </w:p>
        </w:tc>
        <w:tc>
          <w:tcPr>
            <w:tcW w:type="dxa" w:w="3816"/>
            <w:vAlign w:val="center"/>
            <w:tcMar>
              <w:top w:w="90" w:type="dxa"/>
              <w:start w:w="100" w:type="dxa"/>
              <w:bottom w:w="90" w:type="dxa"/>
              <w:end w:w="100" w:type="dxa"/>
            </w:tcMar>
            <w:shd w:fill="F4F7FA"/>
          </w:tcPr>
          <w:p>
            <w:pPr>
              <w:spacing w:after="0" w:line="240" w:lineRule="auto"/>
            </w:pPr>
            <w:r>
              <w:rPr>
                <w:sz w:val="17"/>
              </w:rPr>
              <w:t>状态流转需原子提交，不把审批当普通字段更新</w:t>
            </w:r>
          </w:p>
        </w:tc>
      </w:tr>
      <w:tr>
        <w:trPr>
          <w:cantSplit/>
        </w:trPr>
        <w:tc>
          <w:tcPr>
            <w:tcW w:type="dxa" w:w="1656"/>
            <w:vAlign w:val="center"/>
            <w:tcMar>
              <w:top w:w="90" w:type="dxa"/>
              <w:start w:w="100" w:type="dxa"/>
              <w:bottom w:w="90" w:type="dxa"/>
              <w:end w:w="100" w:type="dxa"/>
            </w:tcMar>
          </w:tcPr>
          <w:p>
            <w:pPr>
              <w:spacing w:after="0" w:line="240" w:lineRule="auto"/>
            </w:pPr>
            <w:r>
              <w:rPr>
                <w:sz w:val="17"/>
              </w:rPr>
              <w:t>ORM/schema</w:t>
            </w:r>
          </w:p>
        </w:tc>
        <w:tc>
          <w:tcPr>
            <w:tcW w:type="dxa" w:w="3672"/>
            <w:vAlign w:val="center"/>
            <w:tcMar>
              <w:top w:w="90" w:type="dxa"/>
              <w:start w:w="100" w:type="dxa"/>
              <w:bottom w:w="90" w:type="dxa"/>
              <w:end w:w="100" w:type="dxa"/>
            </w:tcMar>
          </w:tcPr>
          <w:p>
            <w:pPr>
              <w:spacing w:after="0" w:line="240" w:lineRule="auto"/>
            </w:pPr>
            <w:r>
              <w:rPr>
                <w:sz w:val="17"/>
              </w:rPr>
              <w:t>当前 MVP 的六张业务表与关系</w:t>
            </w:r>
          </w:p>
        </w:tc>
        <w:tc>
          <w:tcPr>
            <w:tcW w:type="dxa" w:w="3816"/>
            <w:vAlign w:val="center"/>
            <w:tcMar>
              <w:top w:w="90" w:type="dxa"/>
              <w:start w:w="100" w:type="dxa"/>
              <w:bottom w:w="90" w:type="dxa"/>
              <w:end w:w="100" w:type="dxa"/>
            </w:tcMar>
          </w:tcPr>
          <w:p>
            <w:pPr>
              <w:spacing w:after="0" w:line="240" w:lineRule="auto"/>
            </w:pPr>
            <w:r>
              <w:rPr>
                <w:sz w:val="17"/>
              </w:rPr>
              <w:t>schema 变更必须产生 Alembic revision</w:t>
            </w:r>
          </w:p>
        </w:tc>
      </w:tr>
      <w:tr>
        <w:trPr>
          <w:cantSplit/>
        </w:trPr>
        <w:tc>
          <w:tcPr>
            <w:tcW w:type="dxa" w:w="1656"/>
            <w:vAlign w:val="center"/>
            <w:tcMar>
              <w:top w:w="90" w:type="dxa"/>
              <w:start w:w="100" w:type="dxa"/>
              <w:bottom w:w="90" w:type="dxa"/>
              <w:end w:w="100" w:type="dxa"/>
            </w:tcMar>
            <w:shd w:fill="F4F7FA"/>
          </w:tcPr>
          <w:p>
            <w:pPr>
              <w:spacing w:after="0" w:line="240" w:lineRule="auto"/>
            </w:pPr>
            <w:r>
              <w:rPr>
                <w:sz w:val="17"/>
              </w:rPr>
              <w:t>适配层</w:t>
            </w:r>
          </w:p>
        </w:tc>
        <w:tc>
          <w:tcPr>
            <w:tcW w:type="dxa" w:w="3672"/>
            <w:vAlign w:val="center"/>
            <w:tcMar>
              <w:top w:w="90" w:type="dxa"/>
              <w:start w:w="100" w:type="dxa"/>
              <w:bottom w:w="90" w:type="dxa"/>
              <w:end w:w="100" w:type="dxa"/>
            </w:tcMar>
            <w:shd w:fill="F4F7FA"/>
          </w:tcPr>
          <w:p>
            <w:pPr>
              <w:spacing w:after="0" w:line="240" w:lineRule="auto"/>
            </w:pPr>
            <w:r>
              <w:rPr>
                <w:sz w:val="17"/>
              </w:rPr>
              <w:t>逻辑类型到目标引擎类型、标识符与 DDL 预览</w:t>
            </w:r>
          </w:p>
        </w:tc>
        <w:tc>
          <w:tcPr>
            <w:tcW w:type="dxa" w:w="3816"/>
            <w:vAlign w:val="center"/>
            <w:tcMar>
              <w:top w:w="90" w:type="dxa"/>
              <w:start w:w="100" w:type="dxa"/>
              <w:bottom w:w="90" w:type="dxa"/>
              <w:end w:w="100" w:type="dxa"/>
            </w:tcMar>
            <w:shd w:fill="F4F7FA"/>
          </w:tcPr>
          <w:p>
            <w:pPr>
              <w:spacing w:after="0" w:line="240" w:lineRule="auto"/>
            </w:pPr>
            <w:r>
              <w:rPr>
                <w:sz w:val="17"/>
              </w:rPr>
              <w:t>预览不等于目标数据库执行成功</w:t>
            </w:r>
          </w:p>
        </w:tc>
      </w:tr>
      <w:tr>
        <w:trPr>
          <w:cantSplit/>
        </w:trPr>
        <w:tc>
          <w:tcPr>
            <w:tcW w:type="dxa" w:w="1656"/>
            <w:vAlign w:val="center"/>
            <w:tcMar>
              <w:top w:w="90" w:type="dxa"/>
              <w:start w:w="100" w:type="dxa"/>
              <w:bottom w:w="90" w:type="dxa"/>
              <w:end w:w="100" w:type="dxa"/>
            </w:tcMar>
          </w:tcPr>
          <w:p>
            <w:pPr>
              <w:spacing w:after="0" w:line="240" w:lineRule="auto"/>
            </w:pPr>
            <w:r>
              <w:rPr>
                <w:sz w:val="17"/>
              </w:rPr>
              <w:t>可观测性</w:t>
            </w:r>
          </w:p>
        </w:tc>
        <w:tc>
          <w:tcPr>
            <w:tcW w:type="dxa" w:w="3672"/>
            <w:vAlign w:val="center"/>
            <w:tcMar>
              <w:top w:w="90" w:type="dxa"/>
              <w:start w:w="100" w:type="dxa"/>
              <w:bottom w:w="90" w:type="dxa"/>
              <w:end w:w="100" w:type="dxa"/>
            </w:tcMar>
          </w:tcPr>
          <w:p>
            <w:pPr>
              <w:spacing w:after="0" w:line="240" w:lineRule="auto"/>
            </w:pPr>
            <w:r>
              <w:rPr>
                <w:sz w:val="17"/>
              </w:rPr>
              <w:t>结构化日志、请求 ID、健康探针、简化指标</w:t>
            </w:r>
          </w:p>
        </w:tc>
        <w:tc>
          <w:tcPr>
            <w:tcW w:type="dxa" w:w="3816"/>
            <w:vAlign w:val="center"/>
            <w:tcMar>
              <w:top w:w="90" w:type="dxa"/>
              <w:start w:w="100" w:type="dxa"/>
              <w:bottom w:w="90" w:type="dxa"/>
              <w:end w:w="100" w:type="dxa"/>
            </w:tcMar>
          </w:tcPr>
          <w:p>
            <w:pPr>
              <w:spacing w:after="0" w:line="240" w:lineRule="auto"/>
            </w:pPr>
            <w:r>
              <w:rPr>
                <w:sz w:val="17"/>
              </w:rPr>
              <w:t>不记录密钥、token、敏感字段值或完整请求载荷</w:t>
            </w:r>
          </w:p>
        </w:tc>
      </w:tr>
    </w:tbl>
    <w:p>
      <w:pPr>
        <w:spacing w:after="20"/>
      </w:pPr>
    </w:p>
    <w:p>
      <w:pPr>
        <w:pStyle w:val="Heading1"/>
        <w:keepNext/>
      </w:pPr>
      <w:r>
        <w:t>42. 规范 schema 决策与迁移策略</w:t>
      </w:r>
    </w:p>
    <w:p>
      <w:pPr>
        <w:spacing w:after="100" w:line="269" w:lineRule="auto"/>
      </w:pPr>
      <w:r>
        <w:t>为避免 V0.2 的完整目标元数据设计 SQL 与 V0.4 的轻量 ORM schema 被误认为同一套可直接部署的结构，V0.5 形成 ADR-001：当前应用唯一的运行 schema 为 backend/app/models.py 对应的 MVP schema；唯一迁移历史为 migrations/versions 下的 Alembic revision。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7365D"/>
            <w:vAlign w:val="center"/>
            <w:tcMar>
              <w:top w:w="90" w:type="dxa"/>
              <w:start w:w="100" w:type="dxa"/>
              <w:bottom w:w="90" w:type="dxa"/>
              <w:end w:w="100" w:type="dxa"/>
            </w:tcMar>
          </w:tcPr>
          <w:p>
            <w:pPr>
              <w:spacing w:after="0"/>
            </w:pPr>
            <w:r>
              <w:rPr>
                <w:b/>
                <w:color w:val="FFFFFF"/>
                <w:sz w:val="17"/>
              </w:rPr>
              <w:t>表</w:t>
            </w:r>
          </w:p>
        </w:tc>
        <w:tc>
          <w:tcPr>
            <w:tcW w:type="dxa" w:w="3384"/>
            <w:shd w:fill="17365D"/>
            <w:vAlign w:val="center"/>
            <w:tcMar>
              <w:top w:w="90" w:type="dxa"/>
              <w:start w:w="100" w:type="dxa"/>
              <w:bottom w:w="90" w:type="dxa"/>
              <w:end w:w="100" w:type="dxa"/>
            </w:tcMar>
          </w:tcPr>
          <w:p>
            <w:pPr>
              <w:spacing w:after="0"/>
            </w:pPr>
            <w:r>
              <w:rPr>
                <w:b/>
                <w:color w:val="FFFFFF"/>
                <w:sz w:val="17"/>
              </w:rPr>
              <w:t>当前用途</w:t>
            </w:r>
          </w:p>
        </w:tc>
        <w:tc>
          <w:tcPr>
            <w:tcW w:type="dxa" w:w="3744"/>
            <w:shd w:fill="17365D"/>
            <w:vAlign w:val="center"/>
            <w:tcMar>
              <w:top w:w="90" w:type="dxa"/>
              <w:start w:w="100" w:type="dxa"/>
              <w:bottom w:w="90" w:type="dxa"/>
              <w:end w:w="100" w:type="dxa"/>
            </w:tcMar>
          </w:tcPr>
          <w:p>
            <w:pPr>
              <w:spacing w:after="0"/>
            </w:pPr>
            <w:r>
              <w:rPr>
                <w:b/>
                <w:color w:val="FFFFFF"/>
                <w:sz w:val="17"/>
              </w:rPr>
              <w:t>后续计划</w:t>
            </w:r>
          </w:p>
        </w:tc>
      </w:tr>
      <w:tr>
        <w:trPr>
          <w:cantSplit/>
        </w:trPr>
        <w:tc>
          <w:tcPr>
            <w:tcW w:type="dxa" w:w="2016"/>
            <w:vAlign w:val="center"/>
            <w:tcMar>
              <w:top w:w="90" w:type="dxa"/>
              <w:start w:w="100" w:type="dxa"/>
              <w:bottom w:w="90" w:type="dxa"/>
              <w:end w:w="100" w:type="dxa"/>
            </w:tcMar>
          </w:tcPr>
          <w:p>
            <w:pPr>
              <w:spacing w:after="0" w:line="240" w:lineRule="auto"/>
            </w:pPr>
            <w:r>
              <w:rPr>
                <w:sz w:val="17"/>
              </w:rPr>
              <w:t>projects</w:t>
            </w:r>
          </w:p>
        </w:tc>
        <w:tc>
          <w:tcPr>
            <w:tcW w:type="dxa" w:w="3384"/>
            <w:vAlign w:val="center"/>
            <w:tcMar>
              <w:top w:w="90" w:type="dxa"/>
              <w:start w:w="100" w:type="dxa"/>
              <w:bottom w:w="90" w:type="dxa"/>
              <w:end w:w="100" w:type="dxa"/>
            </w:tcMar>
          </w:tcPr>
          <w:p>
            <w:pPr>
              <w:spacing w:after="0" w:line="240" w:lineRule="auto"/>
            </w:pPr>
            <w:r>
              <w:rPr>
                <w:sz w:val="17"/>
              </w:rPr>
              <w:t>项目基础信息</w:t>
            </w:r>
          </w:p>
        </w:tc>
        <w:tc>
          <w:tcPr>
            <w:tcW w:type="dxa" w:w="3744"/>
            <w:vAlign w:val="center"/>
            <w:tcMar>
              <w:top w:w="90" w:type="dxa"/>
              <w:start w:w="100" w:type="dxa"/>
              <w:bottom w:w="90" w:type="dxa"/>
              <w:end w:w="100" w:type="dxa"/>
            </w:tcMar>
          </w:tcPr>
          <w:p>
            <w:pPr>
              <w:spacing w:after="0" w:line="240" w:lineRule="auto"/>
            </w:pPr>
            <w:r>
              <w:rPr>
                <w:sz w:val="17"/>
              </w:rPr>
              <w:t>后续可补租户/域/成员关系</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7"/>
              </w:rPr>
              <w:t>data_models</w:t>
            </w:r>
          </w:p>
        </w:tc>
        <w:tc>
          <w:tcPr>
            <w:tcW w:type="dxa" w:w="3384"/>
            <w:vAlign w:val="center"/>
            <w:tcMar>
              <w:top w:w="90" w:type="dxa"/>
              <w:start w:w="100" w:type="dxa"/>
              <w:bottom w:w="90" w:type="dxa"/>
              <w:end w:w="100" w:type="dxa"/>
            </w:tcMar>
            <w:shd w:fill="F4F7FA"/>
          </w:tcPr>
          <w:p>
            <w:pPr>
              <w:spacing w:after="0" w:line="240" w:lineRule="auto"/>
            </w:pPr>
            <w:r>
              <w:rPr>
                <w:sz w:val="17"/>
              </w:rPr>
              <w:t>模型身份、当前状态和编辑 revision</w:t>
            </w:r>
          </w:p>
        </w:tc>
        <w:tc>
          <w:tcPr>
            <w:tcW w:type="dxa" w:w="3744"/>
            <w:vAlign w:val="center"/>
            <w:tcMar>
              <w:top w:w="90" w:type="dxa"/>
              <w:start w:w="100" w:type="dxa"/>
              <w:bottom w:w="90" w:type="dxa"/>
              <w:end w:w="100" w:type="dxa"/>
            </w:tcMar>
            <w:shd w:fill="F4F7FA"/>
          </w:tcPr>
          <w:p>
            <w:pPr>
              <w:spacing w:after="0" w:line="240" w:lineRule="auto"/>
            </w:pPr>
            <w:r>
              <w:rPr>
                <w:sz w:val="17"/>
              </w:rPr>
              <w:t>后续拆分模型定义与逻辑/物理版本语义</w:t>
            </w:r>
          </w:p>
        </w:tc>
      </w:tr>
      <w:tr>
        <w:trPr>
          <w:cantSplit/>
        </w:trPr>
        <w:tc>
          <w:tcPr>
            <w:tcW w:type="dxa" w:w="2016"/>
            <w:vAlign w:val="center"/>
            <w:tcMar>
              <w:top w:w="90" w:type="dxa"/>
              <w:start w:w="100" w:type="dxa"/>
              <w:bottom w:w="90" w:type="dxa"/>
              <w:end w:w="100" w:type="dxa"/>
            </w:tcMar>
          </w:tcPr>
          <w:p>
            <w:pPr>
              <w:spacing w:after="0" w:line="240" w:lineRule="auto"/>
            </w:pPr>
            <w:r>
              <w:rPr>
                <w:sz w:val="17"/>
              </w:rPr>
              <w:t>model_fields</w:t>
            </w:r>
          </w:p>
        </w:tc>
        <w:tc>
          <w:tcPr>
            <w:tcW w:type="dxa" w:w="3384"/>
            <w:vAlign w:val="center"/>
            <w:tcMar>
              <w:top w:w="90" w:type="dxa"/>
              <w:start w:w="100" w:type="dxa"/>
              <w:bottom w:w="90" w:type="dxa"/>
              <w:end w:w="100" w:type="dxa"/>
            </w:tcMar>
          </w:tcPr>
          <w:p>
            <w:pPr>
              <w:spacing w:after="0" w:line="240" w:lineRule="auto"/>
            </w:pPr>
            <w:r>
              <w:rPr>
                <w:sz w:val="17"/>
              </w:rPr>
              <w:t>字段定义和基础来源信息</w:t>
            </w:r>
          </w:p>
        </w:tc>
        <w:tc>
          <w:tcPr>
            <w:tcW w:type="dxa" w:w="3744"/>
            <w:vAlign w:val="center"/>
            <w:tcMar>
              <w:top w:w="90" w:type="dxa"/>
              <w:start w:w="100" w:type="dxa"/>
              <w:bottom w:w="90" w:type="dxa"/>
              <w:end w:w="100" w:type="dxa"/>
            </w:tcMar>
          </w:tcPr>
          <w:p>
            <w:pPr>
              <w:spacing w:after="0" w:line="240" w:lineRule="auto"/>
            </w:pPr>
            <w:r>
              <w:rPr>
                <w:sz w:val="17"/>
              </w:rPr>
              <w:t>后续支持字段映射、默认规则、血缘边</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7"/>
              </w:rPr>
              <w:t>model_versions</w:t>
            </w:r>
          </w:p>
        </w:tc>
        <w:tc>
          <w:tcPr>
            <w:tcW w:type="dxa" w:w="3384"/>
            <w:vAlign w:val="center"/>
            <w:tcMar>
              <w:top w:w="90" w:type="dxa"/>
              <w:start w:w="100" w:type="dxa"/>
              <w:bottom w:w="90" w:type="dxa"/>
              <w:end w:w="100" w:type="dxa"/>
            </w:tcMar>
            <w:shd w:fill="F4F7FA"/>
          </w:tcPr>
          <w:p>
            <w:pPr>
              <w:spacing w:after="0" w:line="240" w:lineRule="auto"/>
            </w:pPr>
            <w:r>
              <w:rPr>
                <w:sz w:val="17"/>
              </w:rPr>
              <w:t>发布版本快照</w:t>
            </w:r>
          </w:p>
        </w:tc>
        <w:tc>
          <w:tcPr>
            <w:tcW w:type="dxa" w:w="3744"/>
            <w:vAlign w:val="center"/>
            <w:tcMar>
              <w:top w:w="90" w:type="dxa"/>
              <w:start w:w="100" w:type="dxa"/>
              <w:bottom w:w="90" w:type="dxa"/>
              <w:end w:w="100" w:type="dxa"/>
            </w:tcMar>
            <w:shd w:fill="F4F7FA"/>
          </w:tcPr>
          <w:p>
            <w:pPr>
              <w:spacing w:after="0" w:line="240" w:lineRule="auto"/>
            </w:pPr>
            <w:r>
              <w:rPr>
                <w:sz w:val="17"/>
              </w:rPr>
              <w:t>后续补差异摘要、审批任务和制品校验和</w:t>
            </w:r>
          </w:p>
        </w:tc>
      </w:tr>
      <w:tr>
        <w:trPr>
          <w:cantSplit/>
        </w:trPr>
        <w:tc>
          <w:tcPr>
            <w:tcW w:type="dxa" w:w="2016"/>
            <w:vAlign w:val="center"/>
            <w:tcMar>
              <w:top w:w="90" w:type="dxa"/>
              <w:start w:w="100" w:type="dxa"/>
              <w:bottom w:w="90" w:type="dxa"/>
              <w:end w:w="100" w:type="dxa"/>
            </w:tcMar>
          </w:tcPr>
          <w:p>
            <w:pPr>
              <w:spacing w:after="0" w:line="240" w:lineRule="auto"/>
            </w:pPr>
            <w:r>
              <w:rPr>
                <w:sz w:val="17"/>
              </w:rPr>
              <w:t>activity_events</w:t>
            </w:r>
          </w:p>
        </w:tc>
        <w:tc>
          <w:tcPr>
            <w:tcW w:type="dxa" w:w="3384"/>
            <w:vAlign w:val="center"/>
            <w:tcMar>
              <w:top w:w="90" w:type="dxa"/>
              <w:start w:w="100" w:type="dxa"/>
              <w:bottom w:w="90" w:type="dxa"/>
              <w:end w:w="100" w:type="dxa"/>
            </w:tcMar>
          </w:tcPr>
          <w:p>
            <w:pPr>
              <w:spacing w:after="0" w:line="240" w:lineRule="auto"/>
            </w:pPr>
            <w:r>
              <w:rPr>
                <w:sz w:val="17"/>
              </w:rPr>
              <w:t>业务时间线事件</w:t>
            </w:r>
          </w:p>
        </w:tc>
        <w:tc>
          <w:tcPr>
            <w:tcW w:type="dxa" w:w="3744"/>
            <w:vAlign w:val="center"/>
            <w:tcMar>
              <w:top w:w="90" w:type="dxa"/>
              <w:start w:w="100" w:type="dxa"/>
              <w:bottom w:w="90" w:type="dxa"/>
              <w:end w:w="100" w:type="dxa"/>
            </w:tcMar>
          </w:tcPr>
          <w:p>
            <w:pPr>
              <w:spacing w:after="0" w:line="240" w:lineRule="auto"/>
            </w:pPr>
            <w:r>
              <w:rPr>
                <w:sz w:val="17"/>
              </w:rPr>
              <w:t>后续接事件 outbox 或消息总线</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7"/>
              </w:rPr>
              <w:t>audit_logs</w:t>
            </w:r>
          </w:p>
        </w:tc>
        <w:tc>
          <w:tcPr>
            <w:tcW w:type="dxa" w:w="3384"/>
            <w:vAlign w:val="center"/>
            <w:tcMar>
              <w:top w:w="90" w:type="dxa"/>
              <w:start w:w="100" w:type="dxa"/>
              <w:bottom w:w="90" w:type="dxa"/>
              <w:end w:w="100" w:type="dxa"/>
            </w:tcMar>
            <w:shd w:fill="F4F7FA"/>
          </w:tcPr>
          <w:p>
            <w:pPr>
              <w:spacing w:after="0" w:line="240" w:lineRule="auto"/>
            </w:pPr>
            <w:r>
              <w:rPr>
                <w:sz w:val="17"/>
              </w:rPr>
              <w:t>关键动作审计记录</w:t>
            </w:r>
          </w:p>
        </w:tc>
        <w:tc>
          <w:tcPr>
            <w:tcW w:type="dxa" w:w="3744"/>
            <w:vAlign w:val="center"/>
            <w:tcMar>
              <w:top w:w="90" w:type="dxa"/>
              <w:start w:w="100" w:type="dxa"/>
              <w:bottom w:w="90" w:type="dxa"/>
              <w:end w:w="100" w:type="dxa"/>
            </w:tcMar>
            <w:shd w:fill="F4F7FA"/>
          </w:tcPr>
          <w:p>
            <w:pPr>
              <w:spacing w:after="0" w:line="240" w:lineRule="auto"/>
            </w:pPr>
            <w:r>
              <w:rPr>
                <w:sz w:val="17"/>
              </w:rPr>
              <w:t>后续补留存策略、不可篡改与访问查询权限</w:t>
            </w:r>
          </w:p>
        </w:tc>
      </w:tr>
      <w:tr>
        <w:trPr>
          <w:cantSplit/>
        </w:trPr>
        <w:tc>
          <w:tcPr>
            <w:tcW w:type="dxa" w:w="2016"/>
            <w:vAlign w:val="center"/>
            <w:tcMar>
              <w:top w:w="90" w:type="dxa"/>
              <w:start w:w="100" w:type="dxa"/>
              <w:bottom w:w="90" w:type="dxa"/>
              <w:end w:w="100" w:type="dxa"/>
            </w:tcMar>
          </w:tcPr>
          <w:p>
            <w:pPr>
              <w:spacing w:after="0" w:line="240" w:lineRule="auto"/>
            </w:pPr>
            <w:r>
              <w:rPr>
                <w:sz w:val="17"/>
              </w:rPr>
              <w:t>alembic_version</w:t>
            </w:r>
          </w:p>
        </w:tc>
        <w:tc>
          <w:tcPr>
            <w:tcW w:type="dxa" w:w="3384"/>
            <w:vAlign w:val="center"/>
            <w:tcMar>
              <w:top w:w="90" w:type="dxa"/>
              <w:start w:w="100" w:type="dxa"/>
              <w:bottom w:w="90" w:type="dxa"/>
              <w:end w:w="100" w:type="dxa"/>
            </w:tcMar>
          </w:tcPr>
          <w:p>
            <w:pPr>
              <w:spacing w:after="0" w:line="240" w:lineRule="auto"/>
            </w:pPr>
            <w:r>
              <w:rPr>
                <w:sz w:val="17"/>
              </w:rPr>
              <w:t>Alembic 自动维护的 schema revision</w:t>
            </w:r>
          </w:p>
        </w:tc>
        <w:tc>
          <w:tcPr>
            <w:tcW w:type="dxa" w:w="3744"/>
            <w:vAlign w:val="center"/>
            <w:tcMar>
              <w:top w:w="90" w:type="dxa"/>
              <w:start w:w="100" w:type="dxa"/>
              <w:bottom w:w="90" w:type="dxa"/>
              <w:end w:w="100" w:type="dxa"/>
            </w:tcMar>
          </w:tcPr>
          <w:p>
            <w:pPr>
              <w:spacing w:after="0" w:line="240" w:lineRule="auto"/>
            </w:pPr>
            <w:r>
              <w:rPr>
                <w:sz w:val="17"/>
              </w:rPr>
              <w:t>禁止手工修改版本值</w:t>
            </w:r>
          </w:p>
        </w:tc>
      </w:tr>
    </w:tbl>
    <w:p>
      <w:pPr>
        <w:spacing w:after="20"/>
      </w:pPr>
    </w:p>
    <w:tbl>
      <w:tblPr>
        <w:tblStyle w:val="TableGrid"/>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60"/>
            </w:pPr>
            <w:r>
              <w:rPr>
                <w:b/>
                <w:color w:val="7D5000"/>
              </w:rPr>
              <w:t>重要限制</w:t>
            </w:r>
          </w:p>
          <w:p>
            <w:pPr>
              <w:spacing w:after="0"/>
            </w:pPr>
            <w:r>
              <w:rPr>
                <w:sz w:val="18"/>
              </w:rPr>
              <w:t>docs/schema_v02_target_design.sql 与 docs/schema_v03_addendum_target_design.sql 是完整平台目标设计材料，不是当前 MVP migration。不得把这些 SQL 与 Alembic 初始 schema 直接叠加到同一个数据库。后续引入需求、主题域、规则模板、评审任务、关系图及引擎配置时，应通过明确的增量 revision 加入。</w:t>
            </w:r>
          </w:p>
        </w:tc>
      </w:tr>
    </w:tbl>
    <w:p>
      <w:pPr>
        <w:spacing w:after="20"/>
      </w:pPr>
    </w:p>
    <w:p>
      <w:pPr>
        <w:pStyle w:val="Heading2"/>
        <w:keepNext/>
      </w:pPr>
      <w:r>
        <w:t>42.1 Alembic 工作约定</w:t>
      </w:r>
    </w:p>
    <w:p>
      <w:pPr>
        <w:spacing w:after="100" w:line="269" w:lineRule="auto"/>
      </w:pPr>
      <w:r>
        <w:t>Alembic 负责记录数据库 schema 的演进位置，数据库中通过 alembic_version 标记 revision。每次结构变化都应提交 revision 文件并纳入版本控制。Autogenerate 只能生成候选迁移，需要由研发人员审查；它不保证能自动识别所有数据库变更，也不能替代数据回填、业务兼容性和回滚风险评估。</w:t>
      </w:r>
    </w:p>
    <w:p>
      <w:pPr>
        <w:spacing w:after="0" w:line="240" w:lineRule="auto"/>
        <w:ind w:left="216" w:right="216"/>
        <w:shd w:fill="F3F4F6"/>
      </w:pPr>
      <w:r>
        <w:rPr>
          <w:rFonts w:ascii="Consolas" w:hAnsi="Consolas" w:eastAsia="Microsoft YaHei"/>
          <w:color w:val="1F2937"/>
          <w:sz w:val="16"/>
        </w:rPr>
        <w:t># 检查当前 revision</w:t>
      </w:r>
    </w:p>
    <w:p>
      <w:pPr>
        <w:spacing w:after="0" w:line="240" w:lineRule="auto"/>
        <w:ind w:left="216" w:right="216"/>
        <w:shd w:fill="F3F4F6"/>
      </w:pPr>
      <w:r>
        <w:rPr>
          <w:rFonts w:ascii="Consolas" w:hAnsi="Consolas" w:eastAsia="Microsoft YaHei"/>
          <w:color w:val="1F2937"/>
          <w:sz w:val="16"/>
        </w:rPr>
        <w:t>python -m alembic current</w:t>
      </w:r>
    </w:p>
    <w:p>
      <w:pPr>
        <w:spacing w:after="0" w:line="240" w:lineRule="auto"/>
        <w:ind w:left="216" w:right="216"/>
        <w:shd w:fill="F3F4F6"/>
      </w:pPr>
      <w:r>
        <w:rPr>
          <w:rFonts w:ascii="Consolas" w:hAnsi="Consolas" w:eastAsia="Microsoft YaHei"/>
          <w:color w:val="1F2937"/>
          <w:sz w:val="16"/>
        </w:rPr>
        <w:t xml:space="preserve"> </w:t>
      </w:r>
    </w:p>
    <w:p>
      <w:pPr>
        <w:spacing w:after="0" w:line="240" w:lineRule="auto"/>
        <w:ind w:left="216" w:right="216"/>
        <w:shd w:fill="F3F4F6"/>
      </w:pPr>
      <w:r>
        <w:rPr>
          <w:rFonts w:ascii="Consolas" w:hAnsi="Consolas" w:eastAsia="Microsoft YaHei"/>
          <w:color w:val="1F2937"/>
          <w:sz w:val="16"/>
        </w:rPr>
        <w:t># 从空库升级到当前 head</w:t>
      </w:r>
    </w:p>
    <w:p>
      <w:pPr>
        <w:spacing w:after="0" w:line="240" w:lineRule="auto"/>
        <w:ind w:left="216" w:right="216"/>
        <w:shd w:fill="F3F4F6"/>
      </w:pPr>
      <w:r>
        <w:rPr>
          <w:rFonts w:ascii="Consolas" w:hAnsi="Consolas" w:eastAsia="Microsoft YaHei"/>
          <w:color w:val="1F2937"/>
          <w:sz w:val="16"/>
        </w:rPr>
        <w:t>python -m alembic upgrade head</w:t>
      </w:r>
    </w:p>
    <w:p>
      <w:pPr>
        <w:spacing w:after="0" w:line="240" w:lineRule="auto"/>
        <w:ind w:left="216" w:right="216"/>
        <w:shd w:fill="F3F4F6"/>
      </w:pPr>
      <w:r>
        <w:rPr>
          <w:rFonts w:ascii="Consolas" w:hAnsi="Consolas" w:eastAsia="Microsoft YaHei"/>
          <w:color w:val="1F2937"/>
          <w:sz w:val="16"/>
        </w:rPr>
        <w:t xml:space="preserve"> </w:t>
      </w:r>
    </w:p>
    <w:p>
      <w:pPr>
        <w:spacing w:after="0" w:line="240" w:lineRule="auto"/>
        <w:ind w:left="216" w:right="216"/>
        <w:shd w:fill="F3F4F6"/>
      </w:pPr>
      <w:r>
        <w:rPr>
          <w:rFonts w:ascii="Consolas" w:hAnsi="Consolas" w:eastAsia="Microsoft YaHei"/>
          <w:color w:val="1F2937"/>
          <w:sz w:val="16"/>
        </w:rPr>
        <w:t># 生成候选 revision（审查完成后才可提交）</w:t>
      </w:r>
    </w:p>
    <w:p>
      <w:pPr>
        <w:spacing w:after="0" w:line="240" w:lineRule="auto"/>
        <w:ind w:left="216" w:right="216"/>
        <w:shd w:fill="F3F4F6"/>
      </w:pPr>
      <w:r>
        <w:rPr>
          <w:rFonts w:ascii="Consolas" w:hAnsi="Consolas" w:eastAsia="Microsoft YaHei"/>
          <w:color w:val="1F2937"/>
          <w:sz w:val="16"/>
        </w:rPr>
        <w:t>python -m alembic revision --autogenerate -m "add model relationship"</w:t>
      </w:r>
    </w:p>
    <w:p>
      <w:pPr>
        <w:spacing w:after="0" w:line="240" w:lineRule="auto"/>
        <w:ind w:left="216" w:right="216"/>
        <w:shd w:fill="F3F4F6"/>
      </w:pPr>
      <w:r>
        <w:rPr>
          <w:rFonts w:ascii="Consolas" w:hAnsi="Consolas" w:eastAsia="Microsoft YaHei"/>
          <w:color w:val="1F2937"/>
          <w:sz w:val="16"/>
        </w:rPr>
        <w:t xml:space="preserve"> </w:t>
      </w:r>
    </w:p>
    <w:p>
      <w:pPr>
        <w:spacing w:after="0" w:line="240" w:lineRule="auto"/>
        <w:ind w:left="216" w:right="216"/>
        <w:shd w:fill="F3F4F6"/>
      </w:pPr>
      <w:r>
        <w:rPr>
          <w:rFonts w:ascii="Consolas" w:hAnsi="Consolas" w:eastAsia="Microsoft YaHei"/>
          <w:color w:val="1F2937"/>
          <w:sz w:val="16"/>
        </w:rPr>
        <w:t># 查看迁移历史</w:t>
      </w:r>
    </w:p>
    <w:p>
      <w:pPr>
        <w:spacing w:after="0" w:line="240" w:lineRule="auto"/>
        <w:ind w:left="216" w:right="216"/>
        <w:shd w:fill="F3F4F6"/>
      </w:pPr>
      <w:r>
        <w:rPr>
          <w:rFonts w:ascii="Consolas" w:hAnsi="Consolas" w:eastAsia="Microsoft YaHei"/>
          <w:color w:val="1F2937"/>
          <w:sz w:val="16"/>
        </w:rPr>
        <w:t>python -m alembic history --verbose</w:t>
      </w:r>
    </w:p>
    <w:p>
      <w:pPr>
        <w:spacing w:after="100" w:line="269" w:lineRule="auto"/>
      </w:pPr>
      <w:r>
        <w:t>初始 revision：d50979bffe74。该 revision 的 downgrade 会删除 MVP 表，只可在一次性测试库演练。生产回退需要先评估向前修复、兼容性切换或备份恢复，不得简单把 downgrade 当成恢复策略。</w:t>
      </w:r>
    </w:p>
    <w:p>
      <w:pPr>
        <w:pStyle w:val="Heading1"/>
        <w:keepNext/>
      </w:pPr>
      <w:r>
        <w:t>43. 数据库启动、迁移与旧库接管</w:t>
      </w:r>
    </w:p>
    <w:p>
      <w:pPr>
        <w:spacing w:after="100" w:line="269" w:lineRule="auto"/>
      </w:pPr>
      <w:r>
        <w:t>应用启动按“环境安全检查 → schema revision 检查/迁移 → 可选演示数据初始化 → 开始接收请求”执行。AUTO_MIGRATE=true 时，在符合本地环境约束的前提下执行 alembic upgrade head；AUTO_MIGRATE=false 时，数据库必须已经处于当前 head，否则启动失败。ready 探针同样检查当前 revision 与 head 是否一致。</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vAlign w:val="center"/>
            <w:tcMar>
              <w:top w:w="90" w:type="dxa"/>
              <w:start w:w="100" w:type="dxa"/>
              <w:bottom w:w="90" w:type="dxa"/>
              <w:end w:w="100" w:type="dxa"/>
            </w:tcMar>
          </w:tcPr>
          <w:p>
            <w:pPr>
              <w:spacing w:after="0"/>
            </w:pPr>
            <w:r>
              <w:rPr>
                <w:b/>
                <w:color w:val="FFFFFF"/>
                <w:sz w:val="17"/>
              </w:rPr>
              <w:t>场景</w:t>
            </w:r>
          </w:p>
        </w:tc>
        <w:tc>
          <w:tcPr>
            <w:tcW w:type="dxa" w:w="3672"/>
            <w:shd w:fill="17365D"/>
            <w:vAlign w:val="center"/>
            <w:tcMar>
              <w:top w:w="90" w:type="dxa"/>
              <w:start w:w="100" w:type="dxa"/>
              <w:bottom w:w="90" w:type="dxa"/>
              <w:end w:w="100" w:type="dxa"/>
            </w:tcMar>
          </w:tcPr>
          <w:p>
            <w:pPr>
              <w:spacing w:after="0"/>
            </w:pPr>
            <w:r>
              <w:rPr>
                <w:b/>
                <w:color w:val="FFFFFF"/>
                <w:sz w:val="17"/>
              </w:rPr>
              <w:t>推荐操作</w:t>
            </w:r>
          </w:p>
        </w:tc>
        <w:tc>
          <w:tcPr>
            <w:tcW w:type="dxa" w:w="3456"/>
            <w:shd w:fill="17365D"/>
            <w:vAlign w:val="center"/>
            <w:tcMar>
              <w:top w:w="90" w:type="dxa"/>
              <w:start w:w="100" w:type="dxa"/>
              <w:bottom w:w="90" w:type="dxa"/>
              <w:end w:w="100" w:type="dxa"/>
            </w:tcMar>
          </w:tcPr>
          <w:p>
            <w:pPr>
              <w:spacing w:after="0"/>
            </w:pPr>
            <w:r>
              <w:rPr>
                <w:b/>
                <w:color w:val="FFFFFF"/>
                <w:sz w:val="17"/>
              </w:rPr>
              <w:t>风险控制</w:t>
            </w:r>
          </w:p>
        </w:tc>
      </w:tr>
      <w:tr>
        <w:trPr>
          <w:cantSplit/>
        </w:trPr>
        <w:tc>
          <w:tcPr>
            <w:tcW w:type="dxa" w:w="2088"/>
            <w:vAlign w:val="center"/>
            <w:tcMar>
              <w:top w:w="90" w:type="dxa"/>
              <w:start w:w="100" w:type="dxa"/>
              <w:bottom w:w="90" w:type="dxa"/>
              <w:end w:w="100" w:type="dxa"/>
            </w:tcMar>
          </w:tcPr>
          <w:p>
            <w:pPr>
              <w:spacing w:after="0" w:line="240" w:lineRule="auto"/>
            </w:pPr>
            <w:r>
              <w:rPr>
                <w:sz w:val="17"/>
              </w:rPr>
              <w:t>全新本地环境</w:t>
            </w:r>
          </w:p>
        </w:tc>
        <w:tc>
          <w:tcPr>
            <w:tcW w:type="dxa" w:w="3672"/>
            <w:vAlign w:val="center"/>
            <w:tcMar>
              <w:top w:w="90" w:type="dxa"/>
              <w:start w:w="100" w:type="dxa"/>
              <w:bottom w:w="90" w:type="dxa"/>
              <w:end w:w="100" w:type="dxa"/>
            </w:tcMar>
          </w:tcPr>
          <w:p>
            <w:pPr>
              <w:spacing w:after="0" w:line="240" w:lineRule="auto"/>
            </w:pPr>
            <w:r>
              <w:rPr>
                <w:sz w:val="17"/>
              </w:rPr>
              <w:t>启动时自动 upgrade head，或显式手工执行</w:t>
            </w:r>
          </w:p>
        </w:tc>
        <w:tc>
          <w:tcPr>
            <w:tcW w:type="dxa" w:w="3456"/>
            <w:vAlign w:val="center"/>
            <w:tcMar>
              <w:top w:w="90" w:type="dxa"/>
              <w:start w:w="100" w:type="dxa"/>
              <w:bottom w:w="90" w:type="dxa"/>
              <w:end w:w="100" w:type="dxa"/>
            </w:tcMar>
          </w:tcPr>
          <w:p>
            <w:pPr>
              <w:spacing w:after="0" w:line="240" w:lineRule="auto"/>
            </w:pPr>
            <w:r>
              <w:rPr>
                <w:sz w:val="17"/>
              </w:rPr>
              <w:t>确认目标 DATABASE_URL 指向本地开发库</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测试/CI</w:t>
            </w:r>
          </w:p>
        </w:tc>
        <w:tc>
          <w:tcPr>
            <w:tcW w:type="dxa" w:w="3672"/>
            <w:vAlign w:val="center"/>
            <w:tcMar>
              <w:top w:w="90" w:type="dxa"/>
              <w:start w:w="100" w:type="dxa"/>
              <w:bottom w:w="90" w:type="dxa"/>
              <w:end w:w="100" w:type="dxa"/>
            </w:tcMar>
            <w:shd w:fill="F4F7FA"/>
          </w:tcPr>
          <w:p>
            <w:pPr>
              <w:spacing w:after="0" w:line="240" w:lineRule="auto"/>
            </w:pPr>
            <w:r>
              <w:rPr>
                <w:sz w:val="17"/>
              </w:rPr>
              <w:t>创建临时数据库，upgrade head，运行测试</w:t>
            </w:r>
          </w:p>
        </w:tc>
        <w:tc>
          <w:tcPr>
            <w:tcW w:type="dxa" w:w="3456"/>
            <w:vAlign w:val="center"/>
            <w:tcMar>
              <w:top w:w="90" w:type="dxa"/>
              <w:start w:w="100" w:type="dxa"/>
              <w:bottom w:w="90" w:type="dxa"/>
              <w:end w:w="100" w:type="dxa"/>
            </w:tcMar>
            <w:shd w:fill="F4F7FA"/>
          </w:tcPr>
          <w:p>
            <w:pPr>
              <w:spacing w:after="0" w:line="240" w:lineRule="auto"/>
            </w:pPr>
            <w:r>
              <w:rPr>
                <w:sz w:val="17"/>
              </w:rPr>
              <w:t>每组测试使用隔离数据库，不依赖本机遗留数据</w:t>
            </w:r>
          </w:p>
        </w:tc>
      </w:tr>
      <w:tr>
        <w:trPr>
          <w:cantSplit/>
        </w:trPr>
        <w:tc>
          <w:tcPr>
            <w:tcW w:type="dxa" w:w="2088"/>
            <w:vAlign w:val="center"/>
            <w:tcMar>
              <w:top w:w="90" w:type="dxa"/>
              <w:start w:w="100" w:type="dxa"/>
              <w:bottom w:w="90" w:type="dxa"/>
              <w:end w:w="100" w:type="dxa"/>
            </w:tcMar>
          </w:tcPr>
          <w:p>
            <w:pPr>
              <w:spacing w:after="0" w:line="240" w:lineRule="auto"/>
            </w:pPr>
            <w:r>
              <w:rPr>
                <w:sz w:val="17"/>
              </w:rPr>
              <w:t>应用常规发布</w:t>
            </w:r>
          </w:p>
        </w:tc>
        <w:tc>
          <w:tcPr>
            <w:tcW w:type="dxa" w:w="3672"/>
            <w:vAlign w:val="center"/>
            <w:tcMar>
              <w:top w:w="90" w:type="dxa"/>
              <w:start w:w="100" w:type="dxa"/>
              <w:bottom w:w="90" w:type="dxa"/>
              <w:end w:w="100" w:type="dxa"/>
            </w:tcMar>
          </w:tcPr>
          <w:p>
            <w:pPr>
              <w:spacing w:after="0" w:line="240" w:lineRule="auto"/>
            </w:pPr>
            <w:r>
              <w:rPr>
                <w:sz w:val="17"/>
              </w:rPr>
              <w:t>备份 → 测试副本迁移 → 检查 → 应用发布</w:t>
            </w:r>
          </w:p>
        </w:tc>
        <w:tc>
          <w:tcPr>
            <w:tcW w:type="dxa" w:w="3456"/>
            <w:vAlign w:val="center"/>
            <w:tcMar>
              <w:top w:w="90" w:type="dxa"/>
              <w:start w:w="100" w:type="dxa"/>
              <w:bottom w:w="90" w:type="dxa"/>
              <w:end w:w="100" w:type="dxa"/>
            </w:tcMar>
          </w:tcPr>
          <w:p>
            <w:pPr>
              <w:spacing w:after="0" w:line="240" w:lineRule="auto"/>
            </w:pPr>
            <w:r>
              <w:rPr>
                <w:sz w:val="17"/>
              </w:rPr>
              <w:t>记录 before/after revision 与校验结果</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关闭自动迁移</w:t>
            </w:r>
          </w:p>
        </w:tc>
        <w:tc>
          <w:tcPr>
            <w:tcW w:type="dxa" w:w="3672"/>
            <w:vAlign w:val="center"/>
            <w:tcMar>
              <w:top w:w="90" w:type="dxa"/>
              <w:start w:w="100" w:type="dxa"/>
              <w:bottom w:w="90" w:type="dxa"/>
              <w:end w:w="100" w:type="dxa"/>
            </w:tcMar>
            <w:shd w:fill="F4F7FA"/>
          </w:tcPr>
          <w:p>
            <w:pPr>
              <w:spacing w:after="0" w:line="240" w:lineRule="auto"/>
            </w:pPr>
            <w:r>
              <w:rPr>
                <w:sz w:val="17"/>
              </w:rPr>
              <w:t>先执行 alembic upgrade head，再设 AUTO_MIGRATE=false</w:t>
            </w:r>
          </w:p>
        </w:tc>
        <w:tc>
          <w:tcPr>
            <w:tcW w:type="dxa" w:w="3456"/>
            <w:vAlign w:val="center"/>
            <w:tcMar>
              <w:top w:w="90" w:type="dxa"/>
              <w:start w:w="100" w:type="dxa"/>
              <w:bottom w:w="90" w:type="dxa"/>
              <w:end w:w="100" w:type="dxa"/>
            </w:tcMar>
            <w:shd w:fill="F4F7FA"/>
          </w:tcPr>
          <w:p>
            <w:pPr>
              <w:spacing w:after="0" w:line="240" w:lineRule="auto"/>
            </w:pPr>
            <w:r>
              <w:rPr>
                <w:sz w:val="17"/>
              </w:rPr>
              <w:t>未到 head 时启动/就绪失败</w:t>
            </w:r>
          </w:p>
        </w:tc>
      </w:tr>
      <w:tr>
        <w:trPr>
          <w:cantSplit/>
        </w:trPr>
        <w:tc>
          <w:tcPr>
            <w:tcW w:type="dxa" w:w="2088"/>
            <w:vAlign w:val="center"/>
            <w:tcMar>
              <w:top w:w="90" w:type="dxa"/>
              <w:start w:w="100" w:type="dxa"/>
              <w:bottom w:w="90" w:type="dxa"/>
              <w:end w:w="100" w:type="dxa"/>
            </w:tcMar>
          </w:tcPr>
          <w:p>
            <w:pPr>
              <w:spacing w:after="0" w:line="240" w:lineRule="auto"/>
            </w:pPr>
            <w:r>
              <w:rPr>
                <w:sz w:val="17"/>
              </w:rPr>
              <w:t>V0.4 既有未版本化数据库</w:t>
            </w:r>
          </w:p>
        </w:tc>
        <w:tc>
          <w:tcPr>
            <w:tcW w:type="dxa" w:w="3672"/>
            <w:vAlign w:val="center"/>
            <w:tcMar>
              <w:top w:w="90" w:type="dxa"/>
              <w:start w:w="100" w:type="dxa"/>
              <w:bottom w:w="90" w:type="dxa"/>
              <w:end w:w="100" w:type="dxa"/>
            </w:tcMar>
          </w:tcPr>
          <w:p>
            <w:pPr>
              <w:spacing w:after="0" w:line="240" w:lineRule="auto"/>
            </w:pPr>
            <w:r>
              <w:rPr>
                <w:sz w:val="17"/>
              </w:rPr>
              <w:t>备份、核对全量 schema，在副本演练后显式接管</w:t>
            </w:r>
          </w:p>
        </w:tc>
        <w:tc>
          <w:tcPr>
            <w:tcW w:type="dxa" w:w="3456"/>
            <w:vAlign w:val="center"/>
            <w:tcMar>
              <w:top w:w="90" w:type="dxa"/>
              <w:start w:w="100" w:type="dxa"/>
              <w:bottom w:w="90" w:type="dxa"/>
              <w:end w:w="100" w:type="dxa"/>
            </w:tcMar>
          </w:tcPr>
          <w:p>
            <w:pPr>
              <w:spacing w:after="0" w:line="240" w:lineRule="auto"/>
            </w:pPr>
            <w:r>
              <w:rPr>
                <w:sz w:val="17"/>
              </w:rPr>
              <w:t>ADOPT_LEGACY_SCHEMA=true 仅用于一次性接管；校验只是关键列检查</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schema 不一致的旧库</w:t>
            </w:r>
          </w:p>
        </w:tc>
        <w:tc>
          <w:tcPr>
            <w:tcW w:type="dxa" w:w="3672"/>
            <w:vAlign w:val="center"/>
            <w:tcMar>
              <w:top w:w="90" w:type="dxa"/>
              <w:start w:w="100" w:type="dxa"/>
              <w:bottom w:w="90" w:type="dxa"/>
              <w:end w:w="100" w:type="dxa"/>
            </w:tcMar>
            <w:shd w:fill="F4F7FA"/>
          </w:tcPr>
          <w:p>
            <w:pPr>
              <w:spacing w:after="0" w:line="240" w:lineRule="auto"/>
            </w:pPr>
            <w:r>
              <w:rPr>
                <w:sz w:val="17"/>
              </w:rPr>
              <w:t>新建库 + 导出/转换/回填 + 校验切换</w:t>
            </w:r>
          </w:p>
        </w:tc>
        <w:tc>
          <w:tcPr>
            <w:tcW w:type="dxa" w:w="3456"/>
            <w:vAlign w:val="center"/>
            <w:tcMar>
              <w:top w:w="90" w:type="dxa"/>
              <w:start w:w="100" w:type="dxa"/>
              <w:bottom w:w="90" w:type="dxa"/>
              <w:end w:w="100" w:type="dxa"/>
            </w:tcMar>
            <w:shd w:fill="F4F7FA"/>
          </w:tcPr>
          <w:p>
            <w:pPr>
              <w:spacing w:after="0" w:line="240" w:lineRule="auto"/>
            </w:pPr>
            <w:r>
              <w:rPr>
                <w:sz w:val="17"/>
              </w:rPr>
              <w:t>不要强行 stamp，不要在唯一副本试错</w:t>
            </w:r>
          </w:p>
        </w:tc>
      </w:tr>
    </w:tbl>
    <w:p>
      <w:pPr>
        <w:spacing w:after="20"/>
      </w:pPr>
    </w:p>
    <w:p>
      <w:pPr>
        <w:pStyle w:val="Heading2"/>
        <w:keepNext/>
      </w:pPr>
      <w:r>
        <w:t>43.1 V0.4 数据库接管边界</w:t>
      </w:r>
    </w:p>
    <w:p>
      <w:pPr>
        <w:spacing w:after="100" w:line="269" w:lineRule="auto"/>
      </w:pPr>
      <w:r>
        <w:t>V0.4 通过 create_all 建表，原库没有 Alembic revision。V0.5 默认拒绝在“已存在业务表但缺少 Alembic 版本记录”的库上自动升级。只有操作者设置 ADOPT_LEGACY_SCHEMA=true 时，程序才会检查必需表及关键列并 stamp 到初始 revision。这个检查不等于完整结构比较：索引、约束、类型、默认值和数据语义仍需人工比对。接管完成必须关闭该开关。</w:t>
      </w:r>
    </w:p>
    <w:p>
      <w:pPr>
        <w:pStyle w:val="ListNumber"/>
        <w:spacing w:after="40"/>
      </w:pPr>
      <w:r>
        <w:t>停止应用，创建数据库级备份；对 SQLite 复制数据库文件前先停写，对 PostgreSQL 使用适当的 dump/snapshot 方式。</w:t>
      </w:r>
    </w:p>
    <w:p>
      <w:pPr>
        <w:pStyle w:val="ListNumber"/>
        <w:spacing w:after="40"/>
      </w:pPr>
      <w:r>
        <w:t>在备份副本对比当前 ORM 元数据、实际表/列、唯一约束、索引、外键及数据完整性。</w:t>
      </w:r>
    </w:p>
    <w:p>
      <w:pPr>
        <w:pStyle w:val="ListNumber"/>
        <w:spacing w:after="40"/>
      </w:pPr>
      <w:r>
        <w:t>在隔离副本执行一次接管，验证核心 API、模型版本和事件查询。</w:t>
      </w:r>
    </w:p>
    <w:p>
      <w:pPr>
        <w:pStyle w:val="ListNumber"/>
        <w:spacing w:after="40"/>
      </w:pPr>
      <w:r>
        <w:t>切换前留存原始备份和验证记录；接管后将 ADOPT_LEGACY_SCHEMA=false。</w:t>
      </w:r>
    </w:p>
    <w:p>
      <w:pPr>
        <w:pStyle w:val="Heading1"/>
        <w:keepNext/>
      </w:pPr>
      <w:r>
        <w:t>44. 配置、启动契约与健康检查</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7365D"/>
            <w:vAlign w:val="center"/>
            <w:tcMar>
              <w:top w:w="90" w:type="dxa"/>
              <w:start w:w="100" w:type="dxa"/>
              <w:bottom w:w="90" w:type="dxa"/>
              <w:end w:w="100" w:type="dxa"/>
            </w:tcMar>
          </w:tcPr>
          <w:p>
            <w:pPr>
              <w:spacing w:after="0"/>
            </w:pPr>
            <w:r>
              <w:rPr>
                <w:b/>
                <w:color w:val="FFFFFF"/>
                <w:sz w:val="17"/>
              </w:rPr>
              <w:t>配置项</w:t>
            </w:r>
          </w:p>
        </w:tc>
        <w:tc>
          <w:tcPr>
            <w:tcW w:type="dxa" w:w="1944"/>
            <w:shd w:fill="17365D"/>
            <w:vAlign w:val="center"/>
            <w:tcMar>
              <w:top w:w="90" w:type="dxa"/>
              <w:start w:w="100" w:type="dxa"/>
              <w:bottom w:w="90" w:type="dxa"/>
              <w:end w:w="100" w:type="dxa"/>
            </w:tcMar>
          </w:tcPr>
          <w:p>
            <w:pPr>
              <w:spacing w:after="0"/>
            </w:pPr>
            <w:r>
              <w:rPr>
                <w:b/>
                <w:color w:val="FFFFFF"/>
                <w:sz w:val="17"/>
              </w:rPr>
              <w:t>默认值</w:t>
            </w:r>
          </w:p>
        </w:tc>
        <w:tc>
          <w:tcPr>
            <w:tcW w:type="dxa" w:w="4824"/>
            <w:shd w:fill="17365D"/>
            <w:vAlign w:val="center"/>
            <w:tcMar>
              <w:top w:w="90" w:type="dxa"/>
              <w:start w:w="100" w:type="dxa"/>
              <w:bottom w:w="90" w:type="dxa"/>
              <w:end w:w="100" w:type="dxa"/>
            </w:tcMar>
          </w:tcPr>
          <w:p>
            <w:pPr>
              <w:spacing w:after="0"/>
            </w:pPr>
            <w:r>
              <w:rPr>
                <w:b/>
                <w:color w:val="FFFFFF"/>
                <w:sz w:val="17"/>
              </w:rPr>
              <w:t>行为与边界</w:t>
            </w:r>
          </w:p>
        </w:tc>
      </w:tr>
      <w:tr>
        <w:trPr>
          <w:cantSplit/>
        </w:trPr>
        <w:tc>
          <w:tcPr>
            <w:tcW w:type="dxa" w:w="2448"/>
            <w:vAlign w:val="center"/>
            <w:tcMar>
              <w:top w:w="90" w:type="dxa"/>
              <w:start w:w="100" w:type="dxa"/>
              <w:bottom w:w="90" w:type="dxa"/>
              <w:end w:w="100" w:type="dxa"/>
            </w:tcMar>
          </w:tcPr>
          <w:p>
            <w:pPr>
              <w:spacing w:after="0" w:line="240" w:lineRule="auto"/>
            </w:pPr>
            <w:r>
              <w:rPr>
                <w:sz w:val="17"/>
              </w:rPr>
              <w:t>APP_ENV</w:t>
            </w:r>
          </w:p>
        </w:tc>
        <w:tc>
          <w:tcPr>
            <w:tcW w:type="dxa" w:w="1944"/>
            <w:vAlign w:val="center"/>
            <w:tcMar>
              <w:top w:w="90" w:type="dxa"/>
              <w:start w:w="100" w:type="dxa"/>
              <w:bottom w:w="90" w:type="dxa"/>
              <w:end w:w="100" w:type="dxa"/>
            </w:tcMar>
          </w:tcPr>
          <w:p>
            <w:pPr>
              <w:spacing w:after="0" w:line="240" w:lineRule="auto"/>
            </w:pPr>
            <w:r>
              <w:rPr>
                <w:sz w:val="17"/>
              </w:rPr>
              <w:t>local</w:t>
            </w:r>
          </w:p>
        </w:tc>
        <w:tc>
          <w:tcPr>
            <w:tcW w:type="dxa" w:w="4824"/>
            <w:vAlign w:val="center"/>
            <w:tcMar>
              <w:top w:w="90" w:type="dxa"/>
              <w:start w:w="100" w:type="dxa"/>
              <w:bottom w:w="90" w:type="dxa"/>
              <w:end w:w="100" w:type="dxa"/>
            </w:tcMar>
          </w:tcPr>
          <w:p>
            <w:pPr>
              <w:spacing w:after="0" w:line="240" w:lineRule="auto"/>
            </w:pPr>
            <w:r>
              <w:rPr>
                <w:sz w:val="17"/>
              </w:rPr>
              <w:t>仅接受 local/dev/development/test；production/staging 在本版本中 fail-closed</w:t>
            </w:r>
          </w:p>
        </w:tc>
      </w:tr>
      <w:tr>
        <w:trPr>
          <w:cantSplit/>
        </w:trPr>
        <w:tc>
          <w:tcPr>
            <w:tcW w:type="dxa" w:w="2448"/>
            <w:vAlign w:val="center"/>
            <w:tcMar>
              <w:top w:w="90" w:type="dxa"/>
              <w:start w:w="100" w:type="dxa"/>
              <w:bottom w:w="90" w:type="dxa"/>
              <w:end w:w="100" w:type="dxa"/>
            </w:tcMar>
            <w:shd w:fill="F4F7FA"/>
          </w:tcPr>
          <w:p>
            <w:pPr>
              <w:spacing w:after="0" w:line="240" w:lineRule="auto"/>
            </w:pPr>
            <w:r>
              <w:rPr>
                <w:sz w:val="17"/>
              </w:rPr>
              <w:t>DATABASE_URL</w:t>
            </w:r>
          </w:p>
        </w:tc>
        <w:tc>
          <w:tcPr>
            <w:tcW w:type="dxa" w:w="1944"/>
            <w:vAlign w:val="center"/>
            <w:tcMar>
              <w:top w:w="90" w:type="dxa"/>
              <w:start w:w="100" w:type="dxa"/>
              <w:bottom w:w="90" w:type="dxa"/>
              <w:end w:w="100" w:type="dxa"/>
            </w:tcMar>
            <w:shd w:fill="F4F7FA"/>
          </w:tcPr>
          <w:p>
            <w:pPr>
              <w:spacing w:after="0" w:line="240" w:lineRule="auto"/>
            </w:pPr>
            <w:r>
              <w:rPr>
                <w:sz w:val="17"/>
              </w:rPr>
              <w:t>sqlite:///./data/platform.db</w:t>
            </w:r>
          </w:p>
        </w:tc>
        <w:tc>
          <w:tcPr>
            <w:tcW w:type="dxa" w:w="4824"/>
            <w:vAlign w:val="center"/>
            <w:tcMar>
              <w:top w:w="90" w:type="dxa"/>
              <w:start w:w="100" w:type="dxa"/>
              <w:bottom w:w="90" w:type="dxa"/>
              <w:end w:w="100" w:type="dxa"/>
            </w:tcMar>
            <w:shd w:fill="F4F7FA"/>
          </w:tcPr>
          <w:p>
            <w:pPr>
              <w:spacing w:after="0" w:line="240" w:lineRule="auto"/>
            </w:pPr>
            <w:r>
              <w:rPr>
                <w:sz w:val="17"/>
              </w:rPr>
              <w:t>所有 ORM 与 migration 共用同一配置来源</w:t>
            </w:r>
          </w:p>
        </w:tc>
      </w:tr>
      <w:tr>
        <w:trPr>
          <w:cantSplit/>
        </w:trPr>
        <w:tc>
          <w:tcPr>
            <w:tcW w:type="dxa" w:w="2448"/>
            <w:vAlign w:val="center"/>
            <w:tcMar>
              <w:top w:w="90" w:type="dxa"/>
              <w:start w:w="100" w:type="dxa"/>
              <w:bottom w:w="90" w:type="dxa"/>
              <w:end w:w="100" w:type="dxa"/>
            </w:tcMar>
          </w:tcPr>
          <w:p>
            <w:pPr>
              <w:spacing w:after="0" w:line="240" w:lineRule="auto"/>
            </w:pPr>
            <w:r>
              <w:rPr>
                <w:sz w:val="17"/>
              </w:rPr>
              <w:t>AUTO_MIGRATE</w:t>
            </w:r>
          </w:p>
        </w:tc>
        <w:tc>
          <w:tcPr>
            <w:tcW w:type="dxa" w:w="1944"/>
            <w:vAlign w:val="center"/>
            <w:tcMar>
              <w:top w:w="90" w:type="dxa"/>
              <w:start w:w="100" w:type="dxa"/>
              <w:bottom w:w="90" w:type="dxa"/>
              <w:end w:w="100" w:type="dxa"/>
            </w:tcMar>
          </w:tcPr>
          <w:p>
            <w:pPr>
              <w:spacing w:after="0" w:line="240" w:lineRule="auto"/>
            </w:pPr>
            <w:r>
              <w:rPr>
                <w:sz w:val="17"/>
              </w:rPr>
              <w:t>非 production 默认 true</w:t>
            </w:r>
          </w:p>
        </w:tc>
        <w:tc>
          <w:tcPr>
            <w:tcW w:type="dxa" w:w="4824"/>
            <w:vAlign w:val="center"/>
            <w:tcMar>
              <w:top w:w="90" w:type="dxa"/>
              <w:start w:w="100" w:type="dxa"/>
              <w:bottom w:w="90" w:type="dxa"/>
              <w:end w:w="100" w:type="dxa"/>
            </w:tcMar>
          </w:tcPr>
          <w:p>
            <w:pPr>
              <w:spacing w:after="0" w:line="240" w:lineRule="auto"/>
            </w:pPr>
            <w:r>
              <w:rPr>
                <w:sz w:val="17"/>
              </w:rPr>
              <w:t>启用升级；关闭时要求 schema 已在 head</w:t>
            </w:r>
          </w:p>
        </w:tc>
      </w:tr>
      <w:tr>
        <w:trPr>
          <w:cantSplit/>
        </w:trPr>
        <w:tc>
          <w:tcPr>
            <w:tcW w:type="dxa" w:w="2448"/>
            <w:vAlign w:val="center"/>
            <w:tcMar>
              <w:top w:w="90" w:type="dxa"/>
              <w:start w:w="100" w:type="dxa"/>
              <w:bottom w:w="90" w:type="dxa"/>
              <w:end w:w="100" w:type="dxa"/>
            </w:tcMar>
            <w:shd w:fill="F4F7FA"/>
          </w:tcPr>
          <w:p>
            <w:pPr>
              <w:spacing w:after="0" w:line="240" w:lineRule="auto"/>
            </w:pPr>
            <w:r>
              <w:rPr>
                <w:sz w:val="17"/>
              </w:rPr>
              <w:t>SEED_DEMO_DATA</w:t>
            </w:r>
          </w:p>
        </w:tc>
        <w:tc>
          <w:tcPr>
            <w:tcW w:type="dxa" w:w="1944"/>
            <w:vAlign w:val="center"/>
            <w:tcMar>
              <w:top w:w="90" w:type="dxa"/>
              <w:start w:w="100" w:type="dxa"/>
              <w:bottom w:w="90" w:type="dxa"/>
              <w:end w:w="100" w:type="dxa"/>
            </w:tcMar>
            <w:shd w:fill="F4F7FA"/>
          </w:tcPr>
          <w:p>
            <w:pPr>
              <w:spacing w:after="0" w:line="240" w:lineRule="auto"/>
            </w:pPr>
            <w:r>
              <w:rPr>
                <w:sz w:val="17"/>
              </w:rPr>
              <w:t>本地默认 true</w:t>
            </w:r>
          </w:p>
        </w:tc>
        <w:tc>
          <w:tcPr>
            <w:tcW w:type="dxa" w:w="4824"/>
            <w:vAlign w:val="center"/>
            <w:tcMar>
              <w:top w:w="90" w:type="dxa"/>
              <w:start w:w="100" w:type="dxa"/>
              <w:bottom w:w="90" w:type="dxa"/>
              <w:end w:w="100" w:type="dxa"/>
            </w:tcMar>
            <w:shd w:fill="F4F7FA"/>
          </w:tcPr>
          <w:p>
            <w:pPr>
              <w:spacing w:after="0" w:line="240" w:lineRule="auto"/>
            </w:pPr>
            <w:r>
              <w:rPr>
                <w:sz w:val="17"/>
              </w:rPr>
              <w:t>只在空库注入演示项目/模型；正式业务库必须禁用</w:t>
            </w:r>
          </w:p>
        </w:tc>
      </w:tr>
      <w:tr>
        <w:trPr>
          <w:cantSplit/>
        </w:trPr>
        <w:tc>
          <w:tcPr>
            <w:tcW w:type="dxa" w:w="2448"/>
            <w:vAlign w:val="center"/>
            <w:tcMar>
              <w:top w:w="90" w:type="dxa"/>
              <w:start w:w="100" w:type="dxa"/>
              <w:bottom w:w="90" w:type="dxa"/>
              <w:end w:w="100" w:type="dxa"/>
            </w:tcMar>
          </w:tcPr>
          <w:p>
            <w:pPr>
              <w:spacing w:after="0" w:line="240" w:lineRule="auto"/>
            </w:pPr>
            <w:r>
              <w:rPr>
                <w:sz w:val="17"/>
              </w:rPr>
              <w:t>ALLOW_DEMO_ACTOR_HEADER</w:t>
            </w:r>
          </w:p>
        </w:tc>
        <w:tc>
          <w:tcPr>
            <w:tcW w:type="dxa" w:w="1944"/>
            <w:vAlign w:val="center"/>
            <w:tcMar>
              <w:top w:w="90" w:type="dxa"/>
              <w:start w:w="100" w:type="dxa"/>
              <w:bottom w:w="90" w:type="dxa"/>
              <w:end w:w="100" w:type="dxa"/>
            </w:tcMar>
          </w:tcPr>
          <w:p>
            <w:pPr>
              <w:spacing w:after="0" w:line="240" w:lineRule="auto"/>
            </w:pPr>
            <w:r>
              <w:rPr>
                <w:sz w:val="17"/>
              </w:rPr>
              <w:t>本地默认 true</w:t>
            </w:r>
          </w:p>
        </w:tc>
        <w:tc>
          <w:tcPr>
            <w:tcW w:type="dxa" w:w="4824"/>
            <w:vAlign w:val="center"/>
            <w:tcMar>
              <w:top w:w="90" w:type="dxa"/>
              <w:start w:w="100" w:type="dxa"/>
              <w:bottom w:w="90" w:type="dxa"/>
              <w:end w:w="100" w:type="dxa"/>
            </w:tcMar>
          </w:tcPr>
          <w:p>
            <w:pPr>
              <w:spacing w:after="0" w:line="240" w:lineRule="auto"/>
            </w:pPr>
            <w:r>
              <w:rPr>
                <w:sz w:val="17"/>
              </w:rPr>
              <w:t>仅演示用途；X-Actor 不是可信身份声明</w:t>
            </w:r>
          </w:p>
        </w:tc>
      </w:tr>
      <w:tr>
        <w:trPr>
          <w:cantSplit/>
        </w:trPr>
        <w:tc>
          <w:tcPr>
            <w:tcW w:type="dxa" w:w="2448"/>
            <w:vAlign w:val="center"/>
            <w:tcMar>
              <w:top w:w="90" w:type="dxa"/>
              <w:start w:w="100" w:type="dxa"/>
              <w:bottom w:w="90" w:type="dxa"/>
              <w:end w:w="100" w:type="dxa"/>
            </w:tcMar>
            <w:shd w:fill="F4F7FA"/>
          </w:tcPr>
          <w:p>
            <w:pPr>
              <w:spacing w:after="0" w:line="240" w:lineRule="auto"/>
            </w:pPr>
            <w:r>
              <w:rPr>
                <w:sz w:val="17"/>
              </w:rPr>
              <w:t>ADOPT_LEGACY_SCHEMA</w:t>
            </w:r>
          </w:p>
        </w:tc>
        <w:tc>
          <w:tcPr>
            <w:tcW w:type="dxa" w:w="1944"/>
            <w:vAlign w:val="center"/>
            <w:tcMar>
              <w:top w:w="90" w:type="dxa"/>
              <w:start w:w="100" w:type="dxa"/>
              <w:bottom w:w="90" w:type="dxa"/>
              <w:end w:w="100" w:type="dxa"/>
            </w:tcMar>
            <w:shd w:fill="F4F7FA"/>
          </w:tcPr>
          <w:p>
            <w:pPr>
              <w:spacing w:after="0" w:line="240" w:lineRule="auto"/>
            </w:pPr>
            <w:r>
              <w:rPr>
                <w:sz w:val="17"/>
              </w:rPr>
              <w:t>false</w:t>
            </w:r>
          </w:p>
        </w:tc>
        <w:tc>
          <w:tcPr>
            <w:tcW w:type="dxa" w:w="4824"/>
            <w:vAlign w:val="center"/>
            <w:tcMar>
              <w:top w:w="90" w:type="dxa"/>
              <w:start w:w="100" w:type="dxa"/>
              <w:bottom w:w="90" w:type="dxa"/>
              <w:end w:w="100" w:type="dxa"/>
            </w:tcMar>
            <w:shd w:fill="F4F7FA"/>
          </w:tcPr>
          <w:p>
            <w:pPr>
              <w:spacing w:after="0" w:line="240" w:lineRule="auto"/>
            </w:pPr>
            <w:r>
              <w:rPr>
                <w:sz w:val="17"/>
              </w:rPr>
              <w:t>旧库接管危险开关，需备份与人工核验</w:t>
            </w:r>
          </w:p>
        </w:tc>
      </w:tr>
      <w:tr>
        <w:trPr>
          <w:cantSplit/>
        </w:trPr>
        <w:tc>
          <w:tcPr>
            <w:tcW w:type="dxa" w:w="2448"/>
            <w:vAlign w:val="center"/>
            <w:tcMar>
              <w:top w:w="90" w:type="dxa"/>
              <w:start w:w="100" w:type="dxa"/>
              <w:bottom w:w="90" w:type="dxa"/>
              <w:end w:w="100" w:type="dxa"/>
            </w:tcMar>
          </w:tcPr>
          <w:p>
            <w:pPr>
              <w:spacing w:after="0" w:line="240" w:lineRule="auto"/>
            </w:pPr>
            <w:r>
              <w:rPr>
                <w:sz w:val="17"/>
              </w:rPr>
              <w:t>LOG_LEVEL</w:t>
            </w:r>
          </w:p>
        </w:tc>
        <w:tc>
          <w:tcPr>
            <w:tcW w:type="dxa" w:w="1944"/>
            <w:vAlign w:val="center"/>
            <w:tcMar>
              <w:top w:w="90" w:type="dxa"/>
              <w:start w:w="100" w:type="dxa"/>
              <w:bottom w:w="90" w:type="dxa"/>
              <w:end w:w="100" w:type="dxa"/>
            </w:tcMar>
          </w:tcPr>
          <w:p>
            <w:pPr>
              <w:spacing w:after="0" w:line="240" w:lineRule="auto"/>
            </w:pPr>
            <w:r>
              <w:rPr>
                <w:sz w:val="17"/>
              </w:rPr>
              <w:t>INFO</w:t>
            </w:r>
          </w:p>
        </w:tc>
        <w:tc>
          <w:tcPr>
            <w:tcW w:type="dxa" w:w="4824"/>
            <w:vAlign w:val="center"/>
            <w:tcMar>
              <w:top w:w="90" w:type="dxa"/>
              <w:start w:w="100" w:type="dxa"/>
              <w:bottom w:w="90" w:type="dxa"/>
              <w:end w:w="100" w:type="dxa"/>
            </w:tcMar>
          </w:tcPr>
          <w:p>
            <w:pPr>
              <w:spacing w:after="0" w:line="240" w:lineRule="auto"/>
            </w:pPr>
            <w:r>
              <w:rPr>
                <w:sz w:val="17"/>
              </w:rPr>
              <w:t>结构化日志等级</w:t>
            </w:r>
          </w:p>
        </w:tc>
      </w:tr>
      <w:tr>
        <w:trPr>
          <w:cantSplit/>
        </w:trPr>
        <w:tc>
          <w:tcPr>
            <w:tcW w:type="dxa" w:w="2448"/>
            <w:vAlign w:val="center"/>
            <w:tcMar>
              <w:top w:w="90" w:type="dxa"/>
              <w:start w:w="100" w:type="dxa"/>
              <w:bottom w:w="90" w:type="dxa"/>
              <w:end w:w="100" w:type="dxa"/>
            </w:tcMar>
            <w:shd w:fill="F4F7FA"/>
          </w:tcPr>
          <w:p>
            <w:pPr>
              <w:spacing w:after="0" w:line="240" w:lineRule="auto"/>
            </w:pPr>
            <w:r>
              <w:rPr>
                <w:sz w:val="17"/>
              </w:rPr>
              <w:t>DATA_DIR</w:t>
            </w:r>
          </w:p>
        </w:tc>
        <w:tc>
          <w:tcPr>
            <w:tcW w:type="dxa" w:w="1944"/>
            <w:vAlign w:val="center"/>
            <w:tcMar>
              <w:top w:w="90" w:type="dxa"/>
              <w:start w:w="100" w:type="dxa"/>
              <w:bottom w:w="90" w:type="dxa"/>
              <w:end w:w="100" w:type="dxa"/>
            </w:tcMar>
            <w:shd w:fill="F4F7FA"/>
          </w:tcPr>
          <w:p>
            <w:pPr>
              <w:spacing w:after="0" w:line="240" w:lineRule="auto"/>
            </w:pPr>
            <w:r>
              <w:rPr>
                <w:sz w:val="17"/>
              </w:rPr>
              <w:t>./data</w:t>
            </w:r>
          </w:p>
        </w:tc>
        <w:tc>
          <w:tcPr>
            <w:tcW w:type="dxa" w:w="4824"/>
            <w:vAlign w:val="center"/>
            <w:tcMar>
              <w:top w:w="90" w:type="dxa"/>
              <w:start w:w="100" w:type="dxa"/>
              <w:bottom w:w="90" w:type="dxa"/>
              <w:end w:w="100" w:type="dxa"/>
            </w:tcMar>
            <w:shd w:fill="F4F7FA"/>
          </w:tcPr>
          <w:p>
            <w:pPr>
              <w:spacing w:after="0" w:line="240" w:lineRule="auto"/>
            </w:pPr>
            <w:r>
              <w:rPr>
                <w:sz w:val="17"/>
              </w:rPr>
              <w:t>SQLite 本地目录；连接串仍是数据库路径的权威配置</w:t>
            </w:r>
          </w:p>
        </w:tc>
      </w:tr>
    </w:tbl>
    <w:p>
      <w:pPr>
        <w:spacing w:after="2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36"/>
            <w:shd w:fill="17365D"/>
            <w:vAlign w:val="center"/>
            <w:tcMar>
              <w:top w:w="90" w:type="dxa"/>
              <w:start w:w="100" w:type="dxa"/>
              <w:bottom w:w="90" w:type="dxa"/>
              <w:end w:w="100" w:type="dxa"/>
            </w:tcMar>
          </w:tcPr>
          <w:p>
            <w:pPr>
              <w:spacing w:after="0"/>
            </w:pPr>
            <w:r>
              <w:rPr>
                <w:b/>
                <w:color w:val="FFFFFF"/>
                <w:sz w:val="17"/>
              </w:rPr>
              <w:t>探针</w:t>
            </w:r>
          </w:p>
        </w:tc>
        <w:tc>
          <w:tcPr>
            <w:tcW w:type="dxa" w:w="3528"/>
            <w:shd w:fill="17365D"/>
            <w:vAlign w:val="center"/>
            <w:tcMar>
              <w:top w:w="90" w:type="dxa"/>
              <w:start w:w="100" w:type="dxa"/>
              <w:bottom w:w="90" w:type="dxa"/>
              <w:end w:w="100" w:type="dxa"/>
            </w:tcMar>
          </w:tcPr>
          <w:p>
            <w:pPr>
              <w:spacing w:after="0"/>
            </w:pPr>
            <w:r>
              <w:rPr>
                <w:b/>
                <w:color w:val="FFFFFF"/>
                <w:sz w:val="17"/>
              </w:rPr>
              <w:t>成功含义</w:t>
            </w:r>
          </w:p>
        </w:tc>
        <w:tc>
          <w:tcPr>
            <w:tcW w:type="dxa" w:w="2952"/>
            <w:shd w:fill="17365D"/>
            <w:vAlign w:val="center"/>
            <w:tcMar>
              <w:top w:w="90" w:type="dxa"/>
              <w:start w:w="100" w:type="dxa"/>
              <w:bottom w:w="90" w:type="dxa"/>
              <w:end w:w="100" w:type="dxa"/>
            </w:tcMar>
          </w:tcPr>
          <w:p>
            <w:pPr>
              <w:spacing w:after="0"/>
            </w:pPr>
            <w:r>
              <w:rPr>
                <w:b/>
                <w:color w:val="FFFFFF"/>
                <w:sz w:val="17"/>
              </w:rPr>
              <w:t>失败处理建议</w:t>
            </w:r>
          </w:p>
        </w:tc>
      </w:tr>
      <w:tr>
        <w:trPr>
          <w:cantSplit/>
        </w:trPr>
        <w:tc>
          <w:tcPr>
            <w:tcW w:type="dxa" w:w="2736"/>
            <w:vAlign w:val="center"/>
            <w:tcMar>
              <w:top w:w="90" w:type="dxa"/>
              <w:start w:w="100" w:type="dxa"/>
              <w:bottom w:w="90" w:type="dxa"/>
              <w:end w:w="100" w:type="dxa"/>
            </w:tcMar>
          </w:tcPr>
          <w:p>
            <w:pPr>
              <w:spacing w:after="0" w:line="240" w:lineRule="auto"/>
            </w:pPr>
            <w:r>
              <w:rPr>
                <w:sz w:val="17"/>
              </w:rPr>
              <w:t>/api/health/live</w:t>
            </w:r>
          </w:p>
        </w:tc>
        <w:tc>
          <w:tcPr>
            <w:tcW w:type="dxa" w:w="3528"/>
            <w:vAlign w:val="center"/>
            <w:tcMar>
              <w:top w:w="90" w:type="dxa"/>
              <w:start w:w="100" w:type="dxa"/>
              <w:bottom w:w="90" w:type="dxa"/>
              <w:end w:w="100" w:type="dxa"/>
            </w:tcMar>
          </w:tcPr>
          <w:p>
            <w:pPr>
              <w:spacing w:after="0" w:line="240" w:lineRule="auto"/>
            </w:pPr>
            <w:r>
              <w:rPr>
                <w:sz w:val="17"/>
              </w:rPr>
              <w:t>进程可响应；不依赖数据库</w:t>
            </w:r>
          </w:p>
        </w:tc>
        <w:tc>
          <w:tcPr>
            <w:tcW w:type="dxa" w:w="2952"/>
            <w:vAlign w:val="center"/>
            <w:tcMar>
              <w:top w:w="90" w:type="dxa"/>
              <w:start w:w="100" w:type="dxa"/>
              <w:bottom w:w="90" w:type="dxa"/>
              <w:end w:w="100" w:type="dxa"/>
            </w:tcMar>
          </w:tcPr>
          <w:p>
            <w:pPr>
              <w:spacing w:after="0" w:line="240" w:lineRule="auto"/>
            </w:pPr>
            <w:r>
              <w:rPr>
                <w:sz w:val="17"/>
              </w:rPr>
              <w:t>仅在进程失去响应时重启，避免数据库故障引起重启风暴</w:t>
            </w:r>
          </w:p>
        </w:tc>
      </w:tr>
      <w:tr>
        <w:trPr>
          <w:cantSplit/>
        </w:trPr>
        <w:tc>
          <w:tcPr>
            <w:tcW w:type="dxa" w:w="2736"/>
            <w:vAlign w:val="center"/>
            <w:tcMar>
              <w:top w:w="90" w:type="dxa"/>
              <w:start w:w="100" w:type="dxa"/>
              <w:bottom w:w="90" w:type="dxa"/>
              <w:end w:w="100" w:type="dxa"/>
            </w:tcMar>
            <w:shd w:fill="F4F7FA"/>
          </w:tcPr>
          <w:p>
            <w:pPr>
              <w:spacing w:after="0" w:line="240" w:lineRule="auto"/>
            </w:pPr>
            <w:r>
              <w:rPr>
                <w:sz w:val="17"/>
              </w:rPr>
              <w:t>/api/health/ready</w:t>
            </w:r>
          </w:p>
        </w:tc>
        <w:tc>
          <w:tcPr>
            <w:tcW w:type="dxa" w:w="3528"/>
            <w:vAlign w:val="center"/>
            <w:tcMar>
              <w:top w:w="90" w:type="dxa"/>
              <w:start w:w="100" w:type="dxa"/>
              <w:bottom w:w="90" w:type="dxa"/>
              <w:end w:w="100" w:type="dxa"/>
            </w:tcMar>
            <w:shd w:fill="F4F7FA"/>
          </w:tcPr>
          <w:p>
            <w:pPr>
              <w:spacing w:after="0" w:line="240" w:lineRule="auto"/>
            </w:pPr>
            <w:r>
              <w:rPr>
                <w:sz w:val="17"/>
              </w:rPr>
              <w:t>数据库可连接且 Alembic revision 与 head 一致</w:t>
            </w:r>
          </w:p>
        </w:tc>
        <w:tc>
          <w:tcPr>
            <w:tcW w:type="dxa" w:w="2952"/>
            <w:vAlign w:val="center"/>
            <w:tcMar>
              <w:top w:w="90" w:type="dxa"/>
              <w:start w:w="100" w:type="dxa"/>
              <w:bottom w:w="90" w:type="dxa"/>
              <w:end w:w="100" w:type="dxa"/>
            </w:tcMar>
            <w:shd w:fill="F4F7FA"/>
          </w:tcPr>
          <w:p>
            <w:pPr>
              <w:spacing w:after="0" w:line="240" w:lineRule="auto"/>
            </w:pPr>
            <w:r>
              <w:rPr>
                <w:sz w:val="17"/>
              </w:rPr>
              <w:t>从流量中摘除实例，查看 DB 连通和 migration 日志</w:t>
            </w:r>
          </w:p>
        </w:tc>
      </w:tr>
      <w:tr>
        <w:trPr>
          <w:cantSplit/>
        </w:trPr>
        <w:tc>
          <w:tcPr>
            <w:tcW w:type="dxa" w:w="2736"/>
            <w:vAlign w:val="center"/>
            <w:tcMar>
              <w:top w:w="90" w:type="dxa"/>
              <w:start w:w="100" w:type="dxa"/>
              <w:bottom w:w="90" w:type="dxa"/>
              <w:end w:w="100" w:type="dxa"/>
            </w:tcMar>
          </w:tcPr>
          <w:p>
            <w:pPr>
              <w:spacing w:after="0" w:line="240" w:lineRule="auto"/>
            </w:pPr>
            <w:r>
              <w:rPr>
                <w:sz w:val="17"/>
              </w:rPr>
              <w:t>/api/health（兼容）</w:t>
            </w:r>
          </w:p>
        </w:tc>
        <w:tc>
          <w:tcPr>
            <w:tcW w:type="dxa" w:w="3528"/>
            <w:vAlign w:val="center"/>
            <w:tcMar>
              <w:top w:w="90" w:type="dxa"/>
              <w:start w:w="100" w:type="dxa"/>
              <w:bottom w:w="90" w:type="dxa"/>
              <w:end w:w="100" w:type="dxa"/>
            </w:tcMar>
          </w:tcPr>
          <w:p>
            <w:pPr>
              <w:spacing w:after="0" w:line="240" w:lineRule="auto"/>
            </w:pPr>
            <w:r>
              <w:rPr>
                <w:sz w:val="17"/>
              </w:rPr>
              <w:t>等价于 ready</w:t>
            </w:r>
          </w:p>
        </w:tc>
        <w:tc>
          <w:tcPr>
            <w:tcW w:type="dxa" w:w="2952"/>
            <w:vAlign w:val="center"/>
            <w:tcMar>
              <w:top w:w="90" w:type="dxa"/>
              <w:start w:w="100" w:type="dxa"/>
              <w:bottom w:w="90" w:type="dxa"/>
              <w:end w:w="100" w:type="dxa"/>
            </w:tcMar>
          </w:tcPr>
          <w:p>
            <w:pPr>
              <w:spacing w:after="0" w:line="240" w:lineRule="auto"/>
            </w:pPr>
            <w:r>
              <w:rPr>
                <w:sz w:val="17"/>
              </w:rPr>
              <w:t>新部署应明确切换到 live/ready 双探针</w:t>
            </w:r>
          </w:p>
        </w:tc>
      </w:tr>
    </w:tbl>
    <w:p>
      <w:pPr>
        <w:spacing w:after="20"/>
      </w:pPr>
    </w:p>
    <w:p>
      <w:pPr>
        <w:spacing w:after="100" w:line="269" w:lineRule="auto"/>
      </w:pPr>
      <w:r>
        <w:t>本版本会拒绝 APP_ENV=production 启动，这是有意的保护措施：真实 OIDC/SSO 和资源级 RBAC 尚未实现，不能仅靠关闭演示 Header 就宣称安全。接入可信身份和项目权限后，应另行建立生产启动配置与安全验收。</w:t>
      </w:r>
    </w:p>
    <w:p>
      <w:pPr>
        <w:pStyle w:val="Heading1"/>
        <w:keepNext/>
      </w:pPr>
      <w:r>
        <w:t>45. 可观测性 V0.5 实施规格</w:t>
      </w:r>
    </w:p>
    <w:p>
      <w:pPr>
        <w:spacing w:after="100" w:line="269" w:lineRule="auto"/>
      </w:pPr>
      <w:r>
        <w:t>V0.5 建立可关联的最低运行信息：所有响应回传 X-Request-ID；JSON 日志记录 timestamp、level、logger、message、request_id、method、route template、status_code 和 duration_ms；业务活动时间线保留与 request_id 的关联；ready 探针暴露数据库与 migration 状态。</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365D"/>
            <w:vAlign w:val="center"/>
            <w:tcMar>
              <w:top w:w="90" w:type="dxa"/>
              <w:start w:w="100" w:type="dxa"/>
              <w:bottom w:w="90" w:type="dxa"/>
              <w:end w:w="100" w:type="dxa"/>
            </w:tcMar>
          </w:tcPr>
          <w:p>
            <w:pPr>
              <w:spacing w:after="0"/>
            </w:pPr>
            <w:r>
              <w:rPr>
                <w:b/>
                <w:color w:val="FFFFFF"/>
                <w:sz w:val="17"/>
              </w:rPr>
              <w:t>能力</w:t>
            </w:r>
          </w:p>
        </w:tc>
        <w:tc>
          <w:tcPr>
            <w:tcW w:type="dxa" w:w="3528"/>
            <w:shd w:fill="17365D"/>
            <w:vAlign w:val="center"/>
            <w:tcMar>
              <w:top w:w="90" w:type="dxa"/>
              <w:start w:w="100" w:type="dxa"/>
              <w:bottom w:w="90" w:type="dxa"/>
              <w:end w:w="100" w:type="dxa"/>
            </w:tcMar>
          </w:tcPr>
          <w:p>
            <w:pPr>
              <w:spacing w:after="0"/>
            </w:pPr>
            <w:r>
              <w:rPr>
                <w:b/>
                <w:color w:val="FFFFFF"/>
                <w:sz w:val="17"/>
              </w:rPr>
              <w:t>V0.5 当前实现</w:t>
            </w:r>
          </w:p>
        </w:tc>
        <w:tc>
          <w:tcPr>
            <w:tcW w:type="dxa" w:w="4104"/>
            <w:shd w:fill="17365D"/>
            <w:vAlign w:val="center"/>
            <w:tcMar>
              <w:top w:w="90" w:type="dxa"/>
              <w:start w:w="100" w:type="dxa"/>
              <w:bottom w:w="90" w:type="dxa"/>
              <w:end w:w="100" w:type="dxa"/>
            </w:tcMar>
          </w:tcPr>
          <w:p>
            <w:pPr>
              <w:spacing w:after="0"/>
            </w:pPr>
            <w:r>
              <w:rPr>
                <w:b/>
                <w:color w:val="FFFFFF"/>
                <w:sz w:val="17"/>
              </w:rPr>
              <w:t>生产化补充</w:t>
            </w:r>
          </w:p>
        </w:tc>
      </w:tr>
      <w:tr>
        <w:trPr>
          <w:cantSplit/>
        </w:trPr>
        <w:tc>
          <w:tcPr>
            <w:tcW w:type="dxa" w:w="1584"/>
            <w:vAlign w:val="center"/>
            <w:tcMar>
              <w:top w:w="90" w:type="dxa"/>
              <w:start w:w="100" w:type="dxa"/>
              <w:bottom w:w="90" w:type="dxa"/>
              <w:end w:w="100" w:type="dxa"/>
            </w:tcMar>
          </w:tcPr>
          <w:p>
            <w:pPr>
              <w:spacing w:after="0" w:line="240" w:lineRule="auto"/>
            </w:pPr>
            <w:r>
              <w:rPr>
                <w:sz w:val="17"/>
              </w:rPr>
              <w:t>请求关联</w:t>
            </w:r>
          </w:p>
        </w:tc>
        <w:tc>
          <w:tcPr>
            <w:tcW w:type="dxa" w:w="3528"/>
            <w:vAlign w:val="center"/>
            <w:tcMar>
              <w:top w:w="90" w:type="dxa"/>
              <w:start w:w="100" w:type="dxa"/>
              <w:bottom w:w="90" w:type="dxa"/>
              <w:end w:w="100" w:type="dxa"/>
            </w:tcMar>
          </w:tcPr>
          <w:p>
            <w:pPr>
              <w:spacing w:after="0" w:line="240" w:lineRule="auto"/>
            </w:pPr>
            <w:r>
              <w:rPr>
                <w:sz w:val="17"/>
              </w:rPr>
              <w:t>可接受合规 X-Request-ID，否则生成 UUID；响应头和错误 body 返回同一值</w:t>
            </w:r>
          </w:p>
        </w:tc>
        <w:tc>
          <w:tcPr>
            <w:tcW w:type="dxa" w:w="4104"/>
            <w:vAlign w:val="center"/>
            <w:tcMar>
              <w:top w:w="90" w:type="dxa"/>
              <w:start w:w="100" w:type="dxa"/>
              <w:bottom w:w="90" w:type="dxa"/>
              <w:end w:w="100" w:type="dxa"/>
            </w:tcMar>
          </w:tcPr>
          <w:p>
            <w:pPr>
              <w:spacing w:after="0" w:line="240" w:lineRule="auto"/>
            </w:pPr>
            <w:r>
              <w:rPr>
                <w:sz w:val="17"/>
              </w:rPr>
              <w:t>入口网关校验/生成 ID，跨服务透传 traceparent，限制请求 ID 字符集</w:t>
            </w:r>
          </w:p>
        </w:tc>
      </w:tr>
      <w:tr>
        <w:trPr>
          <w:cantSplit/>
        </w:trPr>
        <w:tc>
          <w:tcPr>
            <w:tcW w:type="dxa" w:w="1584"/>
            <w:vAlign w:val="center"/>
            <w:tcMar>
              <w:top w:w="90" w:type="dxa"/>
              <w:start w:w="100" w:type="dxa"/>
              <w:bottom w:w="90" w:type="dxa"/>
              <w:end w:w="100" w:type="dxa"/>
            </w:tcMar>
            <w:shd w:fill="F4F7FA"/>
          </w:tcPr>
          <w:p>
            <w:pPr>
              <w:spacing w:after="0" w:line="240" w:lineRule="auto"/>
            </w:pPr>
            <w:r>
              <w:rPr>
                <w:sz w:val="17"/>
              </w:rPr>
              <w:t>日志</w:t>
            </w:r>
          </w:p>
        </w:tc>
        <w:tc>
          <w:tcPr>
            <w:tcW w:type="dxa" w:w="3528"/>
            <w:vAlign w:val="center"/>
            <w:tcMar>
              <w:top w:w="90" w:type="dxa"/>
              <w:start w:w="100" w:type="dxa"/>
              <w:bottom w:w="90" w:type="dxa"/>
              <w:end w:w="100" w:type="dxa"/>
            </w:tcMar>
            <w:shd w:fill="F4F7FA"/>
          </w:tcPr>
          <w:p>
            <w:pPr>
              <w:spacing w:after="0" w:line="240" w:lineRule="auto"/>
            </w:pPr>
            <w:r>
              <w:rPr>
                <w:sz w:val="17"/>
              </w:rPr>
              <w:t>JSON stdout 日志，含请求方法/路由模板/状态/耗时</w:t>
            </w:r>
          </w:p>
        </w:tc>
        <w:tc>
          <w:tcPr>
            <w:tcW w:type="dxa" w:w="4104"/>
            <w:vAlign w:val="center"/>
            <w:tcMar>
              <w:top w:w="90" w:type="dxa"/>
              <w:start w:w="100" w:type="dxa"/>
              <w:bottom w:w="90" w:type="dxa"/>
              <w:end w:w="100" w:type="dxa"/>
            </w:tcMar>
            <w:shd w:fill="F4F7FA"/>
          </w:tcPr>
          <w:p>
            <w:pPr>
              <w:spacing w:after="0" w:line="240" w:lineRule="auto"/>
            </w:pPr>
            <w:r>
              <w:rPr>
                <w:sz w:val="17"/>
              </w:rPr>
              <w:t>集中日志、采样、脱敏、保留期、访问控制和告警</w:t>
            </w:r>
          </w:p>
        </w:tc>
      </w:tr>
      <w:tr>
        <w:trPr>
          <w:cantSplit/>
        </w:trPr>
        <w:tc>
          <w:tcPr>
            <w:tcW w:type="dxa" w:w="1584"/>
            <w:vAlign w:val="center"/>
            <w:tcMar>
              <w:top w:w="90" w:type="dxa"/>
              <w:start w:w="100" w:type="dxa"/>
              <w:bottom w:w="90" w:type="dxa"/>
              <w:end w:w="100" w:type="dxa"/>
            </w:tcMar>
          </w:tcPr>
          <w:p>
            <w:pPr>
              <w:spacing w:after="0" w:line="240" w:lineRule="auto"/>
            </w:pPr>
            <w:r>
              <w:rPr>
                <w:sz w:val="17"/>
              </w:rPr>
              <w:t>指标</w:t>
            </w:r>
          </w:p>
        </w:tc>
        <w:tc>
          <w:tcPr>
            <w:tcW w:type="dxa" w:w="3528"/>
            <w:vAlign w:val="center"/>
            <w:tcMar>
              <w:top w:w="90" w:type="dxa"/>
              <w:start w:w="100" w:type="dxa"/>
              <w:bottom w:w="90" w:type="dxa"/>
              <w:end w:w="100" w:type="dxa"/>
            </w:tcMar>
          </w:tcPr>
          <w:p>
            <w:pPr>
              <w:spacing w:after="0" w:line="240" w:lineRule="auto"/>
            </w:pPr>
            <w:r>
              <w:rPr>
                <w:sz w:val="17"/>
              </w:rPr>
              <w:t>/metrics 简化计数、耗时累计与 uptime；进程内存计数</w:t>
            </w:r>
          </w:p>
        </w:tc>
        <w:tc>
          <w:tcPr>
            <w:tcW w:type="dxa" w:w="4104"/>
            <w:vAlign w:val="center"/>
            <w:tcMar>
              <w:top w:w="90" w:type="dxa"/>
              <w:start w:w="100" w:type="dxa"/>
              <w:bottom w:w="90" w:type="dxa"/>
              <w:end w:w="100" w:type="dxa"/>
            </w:tcMar>
          </w:tcPr>
          <w:p>
            <w:pPr>
              <w:spacing w:after="0" w:line="240" w:lineRule="auto"/>
            </w:pPr>
            <w:r>
              <w:rPr>
                <w:sz w:val="17"/>
              </w:rPr>
              <w:t>Prometheus scrape、直方图分位数、多实例聚合、业务 SLO dashboard</w:t>
            </w:r>
          </w:p>
        </w:tc>
      </w:tr>
      <w:tr>
        <w:trPr>
          <w:cantSplit/>
        </w:trPr>
        <w:tc>
          <w:tcPr>
            <w:tcW w:type="dxa" w:w="1584"/>
            <w:vAlign w:val="center"/>
            <w:tcMar>
              <w:top w:w="90" w:type="dxa"/>
              <w:start w:w="100" w:type="dxa"/>
              <w:bottom w:w="90" w:type="dxa"/>
              <w:end w:w="100" w:type="dxa"/>
            </w:tcMar>
            <w:shd w:fill="F4F7FA"/>
          </w:tcPr>
          <w:p>
            <w:pPr>
              <w:spacing w:after="0" w:line="240" w:lineRule="auto"/>
            </w:pPr>
            <w:r>
              <w:rPr>
                <w:sz w:val="17"/>
              </w:rPr>
              <w:t>Trace</w:t>
            </w:r>
          </w:p>
        </w:tc>
        <w:tc>
          <w:tcPr>
            <w:tcW w:type="dxa" w:w="3528"/>
            <w:vAlign w:val="center"/>
            <w:tcMar>
              <w:top w:w="90" w:type="dxa"/>
              <w:start w:w="100" w:type="dxa"/>
              <w:bottom w:w="90" w:type="dxa"/>
              <w:end w:w="100" w:type="dxa"/>
            </w:tcMar>
            <w:shd w:fill="F4F7FA"/>
          </w:tcPr>
          <w:p>
            <w:pPr>
              <w:spacing w:after="0" w:line="240" w:lineRule="auto"/>
            </w:pPr>
            <w:r>
              <w:rPr>
                <w:sz w:val="17"/>
              </w:rPr>
              <w:t>尚未集成 OTel SDK</w:t>
            </w:r>
          </w:p>
        </w:tc>
        <w:tc>
          <w:tcPr>
            <w:tcW w:type="dxa" w:w="4104"/>
            <w:vAlign w:val="center"/>
            <w:tcMar>
              <w:top w:w="90" w:type="dxa"/>
              <w:start w:w="100" w:type="dxa"/>
              <w:bottom w:w="90" w:type="dxa"/>
              <w:end w:w="100" w:type="dxa"/>
            </w:tcMar>
            <w:shd w:fill="F4F7FA"/>
          </w:tcPr>
          <w:p>
            <w:pPr>
              <w:spacing w:after="0" w:line="240" w:lineRule="auto"/>
            </w:pPr>
            <w:r>
              <w:rPr>
                <w:sz w:val="17"/>
              </w:rPr>
              <w:t>接入 OpenTelemetry SDK/exporter 与 trace_id/span_id</w:t>
            </w:r>
          </w:p>
        </w:tc>
      </w:tr>
      <w:tr>
        <w:trPr>
          <w:cantSplit/>
        </w:trPr>
        <w:tc>
          <w:tcPr>
            <w:tcW w:type="dxa" w:w="1584"/>
            <w:vAlign w:val="center"/>
            <w:tcMar>
              <w:top w:w="90" w:type="dxa"/>
              <w:start w:w="100" w:type="dxa"/>
              <w:bottom w:w="90" w:type="dxa"/>
              <w:end w:w="100" w:type="dxa"/>
            </w:tcMar>
          </w:tcPr>
          <w:p>
            <w:pPr>
              <w:spacing w:after="0" w:line="240" w:lineRule="auto"/>
            </w:pPr>
            <w:r>
              <w:rPr>
                <w:sz w:val="17"/>
              </w:rPr>
              <w:t>业务事件</w:t>
            </w:r>
          </w:p>
        </w:tc>
        <w:tc>
          <w:tcPr>
            <w:tcW w:type="dxa" w:w="3528"/>
            <w:vAlign w:val="center"/>
            <w:tcMar>
              <w:top w:w="90" w:type="dxa"/>
              <w:start w:w="100" w:type="dxa"/>
              <w:bottom w:w="90" w:type="dxa"/>
              <w:end w:w="100" w:type="dxa"/>
            </w:tcMar>
          </w:tcPr>
          <w:p>
            <w:pPr>
              <w:spacing w:after="0" w:line="240" w:lineRule="auto"/>
            </w:pPr>
            <w:r>
              <w:rPr>
                <w:sz w:val="17"/>
              </w:rPr>
              <w:t>activity_events 与审计事件持久化于当前 DB</w:t>
            </w:r>
          </w:p>
        </w:tc>
        <w:tc>
          <w:tcPr>
            <w:tcW w:type="dxa" w:w="4104"/>
            <w:vAlign w:val="center"/>
            <w:tcMar>
              <w:top w:w="90" w:type="dxa"/>
              <w:start w:w="100" w:type="dxa"/>
              <w:bottom w:w="90" w:type="dxa"/>
              <w:end w:w="100" w:type="dxa"/>
            </w:tcMar>
          </w:tcPr>
          <w:p>
            <w:pPr>
              <w:spacing w:after="0" w:line="240" w:lineRule="auto"/>
            </w:pPr>
            <w:r>
              <w:rPr>
                <w:sz w:val="17"/>
              </w:rPr>
              <w:t>事件 outbox、异步导出、留存/归档和失败重试</w:t>
            </w:r>
          </w:p>
        </w:tc>
      </w:tr>
      <w:tr>
        <w:trPr>
          <w:cantSplit/>
        </w:trPr>
        <w:tc>
          <w:tcPr>
            <w:tcW w:type="dxa" w:w="1584"/>
            <w:vAlign w:val="center"/>
            <w:tcMar>
              <w:top w:w="90" w:type="dxa"/>
              <w:start w:w="100" w:type="dxa"/>
              <w:bottom w:w="90" w:type="dxa"/>
              <w:end w:w="100" w:type="dxa"/>
            </w:tcMar>
            <w:shd w:fill="F4F7FA"/>
          </w:tcPr>
          <w:p>
            <w:pPr>
              <w:spacing w:after="0" w:line="240" w:lineRule="auto"/>
            </w:pPr>
            <w:r>
              <w:rPr>
                <w:sz w:val="17"/>
              </w:rPr>
              <w:t>健康状态</w:t>
            </w:r>
          </w:p>
        </w:tc>
        <w:tc>
          <w:tcPr>
            <w:tcW w:type="dxa" w:w="3528"/>
            <w:vAlign w:val="center"/>
            <w:tcMar>
              <w:top w:w="90" w:type="dxa"/>
              <w:start w:w="100" w:type="dxa"/>
              <w:bottom w:w="90" w:type="dxa"/>
              <w:end w:w="100" w:type="dxa"/>
            </w:tcMar>
            <w:shd w:fill="F4F7FA"/>
          </w:tcPr>
          <w:p>
            <w:pPr>
              <w:spacing w:after="0" w:line="240" w:lineRule="auto"/>
            </w:pPr>
            <w:r>
              <w:rPr>
                <w:sz w:val="17"/>
              </w:rPr>
              <w:t>live/ready 分离</w:t>
            </w:r>
          </w:p>
        </w:tc>
        <w:tc>
          <w:tcPr>
            <w:tcW w:type="dxa" w:w="4104"/>
            <w:vAlign w:val="center"/>
            <w:tcMar>
              <w:top w:w="90" w:type="dxa"/>
              <w:start w:w="100" w:type="dxa"/>
              <w:bottom w:w="90" w:type="dxa"/>
              <w:end w:w="100" w:type="dxa"/>
            </w:tcMar>
            <w:shd w:fill="F4F7FA"/>
          </w:tcPr>
          <w:p>
            <w:pPr>
              <w:spacing w:after="0" w:line="240" w:lineRule="auto"/>
            </w:pPr>
            <w:r>
              <w:rPr>
                <w:sz w:val="17"/>
              </w:rPr>
              <w:t>编排探针阈值、启动宽限、依赖降级策略</w:t>
            </w:r>
          </w:p>
        </w:tc>
      </w:tr>
    </w:tbl>
    <w:p>
      <w:pPr>
        <w:spacing w:after="20"/>
      </w:pPr>
    </w:p>
    <w:tbl>
      <w:tblPr>
        <w:tblStyle w:val="TableGrid"/>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60"/>
            </w:pPr>
            <w:r>
              <w:rPr>
                <w:b/>
                <w:color w:val="7D5000"/>
              </w:rPr>
              <w:t>告警原则</w:t>
            </w:r>
          </w:p>
          <w:p>
            <w:pPr>
              <w:spacing w:after="0"/>
            </w:pPr>
            <w:r>
              <w:rPr>
                <w:sz w:val="18"/>
              </w:rPr>
              <w:t>当前版本没有真正的外部告警系统。后续建议从可行动告警开始：连续 readiness 失败、HTTP 5xx 比例升高、P95 请求耗时超过目标、自动保存冲突/失败率上升、模型发布失败率上升、评审待办超期。每条告警都应有负责人、排查链接、阈值依据和恢复条件。</w:t>
            </w:r>
          </w:p>
        </w:tc>
      </w:tr>
    </w:tbl>
    <w:p>
      <w:pPr>
        <w:spacing w:after="20"/>
      </w:pPr>
    </w:p>
    <w:p>
      <w:pPr>
        <w:pStyle w:val="Heading2"/>
        <w:keepNext/>
      </w:pPr>
      <w:r>
        <w:t>45.1 指标质量要求</w:t>
      </w:r>
    </w:p>
    <w:p>
      <w:pPr>
        <w:pStyle w:val="ListBullet"/>
        <w:spacing w:after="40"/>
        <w:ind w:left="360"/>
      </w:pPr>
      <w:r>
        <w:t>标签必须低基数：method、route template、status 等可以作为维度；禁止使用 model_id、project_id、request_id 或用户 ID 作为 Prometheus label。</w:t>
      </w:r>
    </w:p>
    <w:p>
      <w:pPr>
        <w:pStyle w:val="ListBullet"/>
        <w:spacing w:after="40"/>
        <w:ind w:left="360"/>
      </w:pPr>
      <w:r>
        <w:t>计数器需要明确进程范围；本版值在重启后归零，不能用于长期报表或跨实例 SLO 计算。</w:t>
      </w:r>
    </w:p>
    <w:p>
      <w:pPr>
        <w:pStyle w:val="ListBullet"/>
        <w:spacing w:after="40"/>
        <w:ind w:left="360"/>
      </w:pPr>
      <w:r>
        <w:t>日志中不得写令牌、密码、完整 DATABASE_URL、默认值中的敏感文本或真实敏感字段样例。</w:t>
      </w:r>
    </w:p>
    <w:p>
      <w:pPr>
        <w:pStyle w:val="ListBullet"/>
        <w:spacing w:after="40"/>
        <w:ind w:left="360"/>
      </w:pPr>
      <w:r>
        <w:t>活动时间线与审计日志语义分离：业务活动用于协作追踪，审计用于关键操作问责，技术日志用于排障。</w:t>
      </w:r>
    </w:p>
    <w:p>
      <w:pPr>
        <w:pStyle w:val="Heading1"/>
        <w:keepNext/>
      </w:pPr>
      <w:r>
        <w:t>46. 安全边界与生产启动阻断</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365D"/>
            <w:vAlign w:val="center"/>
            <w:tcMar>
              <w:top w:w="90" w:type="dxa"/>
              <w:start w:w="100" w:type="dxa"/>
              <w:bottom w:w="90" w:type="dxa"/>
              <w:end w:w="100" w:type="dxa"/>
            </w:tcMar>
          </w:tcPr>
          <w:p>
            <w:pPr>
              <w:spacing w:after="0"/>
            </w:pPr>
            <w:r>
              <w:rPr>
                <w:b/>
                <w:color w:val="FFFFFF"/>
                <w:sz w:val="17"/>
              </w:rPr>
              <w:t>风险面</w:t>
            </w:r>
          </w:p>
        </w:tc>
        <w:tc>
          <w:tcPr>
            <w:tcW w:type="dxa" w:w="3672"/>
            <w:shd w:fill="17365D"/>
            <w:vAlign w:val="center"/>
            <w:tcMar>
              <w:top w:w="90" w:type="dxa"/>
              <w:start w:w="100" w:type="dxa"/>
              <w:bottom w:w="90" w:type="dxa"/>
              <w:end w:w="100" w:type="dxa"/>
            </w:tcMar>
          </w:tcPr>
          <w:p>
            <w:pPr>
              <w:spacing w:after="0"/>
            </w:pPr>
            <w:r>
              <w:rPr>
                <w:b/>
                <w:color w:val="FFFFFF"/>
                <w:sz w:val="17"/>
              </w:rPr>
              <w:t>当前安全措施</w:t>
            </w:r>
          </w:p>
        </w:tc>
        <w:tc>
          <w:tcPr>
            <w:tcW w:type="dxa" w:w="3960"/>
            <w:shd w:fill="17365D"/>
            <w:vAlign w:val="center"/>
            <w:tcMar>
              <w:top w:w="90" w:type="dxa"/>
              <w:start w:w="100" w:type="dxa"/>
              <w:bottom w:w="90" w:type="dxa"/>
              <w:end w:w="100" w:type="dxa"/>
            </w:tcMar>
          </w:tcPr>
          <w:p>
            <w:pPr>
              <w:spacing w:after="0"/>
            </w:pPr>
            <w:r>
              <w:rPr>
                <w:b/>
                <w:color w:val="FFFFFF"/>
                <w:sz w:val="17"/>
              </w:rPr>
              <w:t>仍需完成</w:t>
            </w:r>
          </w:p>
        </w:tc>
      </w:tr>
      <w:tr>
        <w:trPr>
          <w:cantSplit/>
        </w:trPr>
        <w:tc>
          <w:tcPr>
            <w:tcW w:type="dxa" w:w="1584"/>
            <w:vAlign w:val="center"/>
            <w:tcMar>
              <w:top w:w="90" w:type="dxa"/>
              <w:start w:w="100" w:type="dxa"/>
              <w:bottom w:w="90" w:type="dxa"/>
              <w:end w:w="100" w:type="dxa"/>
            </w:tcMar>
          </w:tcPr>
          <w:p>
            <w:pPr>
              <w:spacing w:after="0" w:line="240" w:lineRule="auto"/>
            </w:pPr>
            <w:r>
              <w:rPr>
                <w:sz w:val="17"/>
              </w:rPr>
              <w:t>身份</w:t>
            </w:r>
          </w:p>
        </w:tc>
        <w:tc>
          <w:tcPr>
            <w:tcW w:type="dxa" w:w="3672"/>
            <w:vAlign w:val="center"/>
            <w:tcMar>
              <w:top w:w="90" w:type="dxa"/>
              <w:start w:w="100" w:type="dxa"/>
              <w:bottom w:w="90" w:type="dxa"/>
              <w:end w:w="100" w:type="dxa"/>
            </w:tcMar>
          </w:tcPr>
          <w:p>
            <w:pPr>
              <w:spacing w:after="0" w:line="240" w:lineRule="auto"/>
            </w:pPr>
            <w:r>
              <w:rPr>
                <w:sz w:val="17"/>
              </w:rPr>
              <w:t>X-Actor 仅在本地/测试配置开启；production 环境启动被拒绝</w:t>
            </w:r>
          </w:p>
        </w:tc>
        <w:tc>
          <w:tcPr>
            <w:tcW w:type="dxa" w:w="3960"/>
            <w:vAlign w:val="center"/>
            <w:tcMar>
              <w:top w:w="90" w:type="dxa"/>
              <w:start w:w="100" w:type="dxa"/>
              <w:bottom w:w="90" w:type="dxa"/>
              <w:end w:w="100" w:type="dxa"/>
            </w:tcMar>
          </w:tcPr>
          <w:p>
            <w:pPr>
              <w:spacing w:after="0" w:line="240" w:lineRule="auto"/>
            </w:pPr>
            <w:r>
              <w:rPr>
                <w:sz w:val="17"/>
              </w:rPr>
              <w:t>OIDC/SSO、可信 subject、token 验证、会话策略、账号生命周期</w:t>
            </w:r>
          </w:p>
        </w:tc>
      </w:tr>
      <w:tr>
        <w:trPr>
          <w:cantSplit/>
        </w:trPr>
        <w:tc>
          <w:tcPr>
            <w:tcW w:type="dxa" w:w="1584"/>
            <w:vAlign w:val="center"/>
            <w:tcMar>
              <w:top w:w="90" w:type="dxa"/>
              <w:start w:w="100" w:type="dxa"/>
              <w:bottom w:w="90" w:type="dxa"/>
              <w:end w:w="100" w:type="dxa"/>
            </w:tcMar>
            <w:shd w:fill="F4F7FA"/>
          </w:tcPr>
          <w:p>
            <w:pPr>
              <w:spacing w:after="0" w:line="240" w:lineRule="auto"/>
            </w:pPr>
            <w:r>
              <w:rPr>
                <w:sz w:val="17"/>
              </w:rPr>
              <w:t>授权</w:t>
            </w:r>
          </w:p>
        </w:tc>
        <w:tc>
          <w:tcPr>
            <w:tcW w:type="dxa" w:w="3672"/>
            <w:vAlign w:val="center"/>
            <w:tcMar>
              <w:top w:w="90" w:type="dxa"/>
              <w:start w:w="100" w:type="dxa"/>
              <w:bottom w:w="90" w:type="dxa"/>
              <w:end w:w="100" w:type="dxa"/>
            </w:tcMar>
            <w:shd w:fill="F4F7FA"/>
          </w:tcPr>
          <w:p>
            <w:pPr>
              <w:spacing w:after="0" w:line="240" w:lineRule="auto"/>
            </w:pPr>
            <w:r>
              <w:rPr>
                <w:sz w:val="17"/>
              </w:rPr>
              <w:t>当前原型无真实资源级授权</w:t>
            </w:r>
          </w:p>
        </w:tc>
        <w:tc>
          <w:tcPr>
            <w:tcW w:type="dxa" w:w="3960"/>
            <w:vAlign w:val="center"/>
            <w:tcMar>
              <w:top w:w="90" w:type="dxa"/>
              <w:start w:w="100" w:type="dxa"/>
              <w:bottom w:w="90" w:type="dxa"/>
              <w:end w:w="100" w:type="dxa"/>
            </w:tcMar>
            <w:shd w:fill="F4F7FA"/>
          </w:tcPr>
          <w:p>
            <w:pPr>
              <w:spacing w:after="0" w:line="240" w:lineRule="auto"/>
            </w:pPr>
            <w:r>
              <w:rPr>
                <w:sz w:val="17"/>
              </w:rPr>
              <w:t>项目/模型/动作级 RBAC 或 ABAC，默认拒绝，跨项目访问测试</w:t>
            </w:r>
          </w:p>
        </w:tc>
      </w:tr>
      <w:tr>
        <w:trPr>
          <w:cantSplit/>
        </w:trPr>
        <w:tc>
          <w:tcPr>
            <w:tcW w:type="dxa" w:w="1584"/>
            <w:vAlign w:val="center"/>
            <w:tcMar>
              <w:top w:w="90" w:type="dxa"/>
              <w:start w:w="100" w:type="dxa"/>
              <w:bottom w:w="90" w:type="dxa"/>
              <w:end w:w="100" w:type="dxa"/>
            </w:tcMar>
          </w:tcPr>
          <w:p>
            <w:pPr>
              <w:spacing w:after="0" w:line="240" w:lineRule="auto"/>
            </w:pPr>
            <w:r>
              <w:rPr>
                <w:sz w:val="17"/>
              </w:rPr>
              <w:t>数据库</w:t>
            </w:r>
          </w:p>
        </w:tc>
        <w:tc>
          <w:tcPr>
            <w:tcW w:type="dxa" w:w="3672"/>
            <w:vAlign w:val="center"/>
            <w:tcMar>
              <w:top w:w="90" w:type="dxa"/>
              <w:start w:w="100" w:type="dxa"/>
              <w:bottom w:w="90" w:type="dxa"/>
              <w:end w:w="100" w:type="dxa"/>
            </w:tcMar>
          </w:tcPr>
          <w:p>
            <w:pPr>
              <w:spacing w:after="0" w:line="240" w:lineRule="auto"/>
            </w:pPr>
            <w:r>
              <w:rPr>
                <w:sz w:val="17"/>
              </w:rPr>
              <w:t>SQLite 外键开启；参数化 ORM；DDL 标识符白名单与默认值规则</w:t>
            </w:r>
          </w:p>
        </w:tc>
        <w:tc>
          <w:tcPr>
            <w:tcW w:type="dxa" w:w="3960"/>
            <w:vAlign w:val="center"/>
            <w:tcMar>
              <w:top w:w="90" w:type="dxa"/>
              <w:start w:w="100" w:type="dxa"/>
              <w:bottom w:w="90" w:type="dxa"/>
              <w:end w:w="100" w:type="dxa"/>
            </w:tcMar>
          </w:tcPr>
          <w:p>
            <w:pPr>
              <w:spacing w:after="0" w:line="240" w:lineRule="auto"/>
            </w:pPr>
            <w:r>
              <w:rPr>
                <w:sz w:val="17"/>
              </w:rPr>
              <w:t>数据库最小权限、Secret Manager、TLS、网络分区、轮换密码</w:t>
            </w:r>
          </w:p>
        </w:tc>
      </w:tr>
      <w:tr>
        <w:trPr>
          <w:cantSplit/>
        </w:trPr>
        <w:tc>
          <w:tcPr>
            <w:tcW w:type="dxa" w:w="1584"/>
            <w:vAlign w:val="center"/>
            <w:tcMar>
              <w:top w:w="90" w:type="dxa"/>
              <w:start w:w="100" w:type="dxa"/>
              <w:bottom w:w="90" w:type="dxa"/>
              <w:end w:w="100" w:type="dxa"/>
            </w:tcMar>
            <w:shd w:fill="F4F7FA"/>
          </w:tcPr>
          <w:p>
            <w:pPr>
              <w:spacing w:after="0" w:line="240" w:lineRule="auto"/>
            </w:pPr>
            <w:r>
              <w:rPr>
                <w:sz w:val="17"/>
              </w:rPr>
              <w:t>审计</w:t>
            </w:r>
          </w:p>
        </w:tc>
        <w:tc>
          <w:tcPr>
            <w:tcW w:type="dxa" w:w="3672"/>
            <w:vAlign w:val="center"/>
            <w:tcMar>
              <w:top w:w="90" w:type="dxa"/>
              <w:start w:w="100" w:type="dxa"/>
              <w:bottom w:w="90" w:type="dxa"/>
              <w:end w:w="100" w:type="dxa"/>
            </w:tcMar>
            <w:shd w:fill="F4F7FA"/>
          </w:tcPr>
          <w:p>
            <w:pPr>
              <w:spacing w:after="0" w:line="240" w:lineRule="auto"/>
            </w:pPr>
            <w:r>
              <w:rPr>
                <w:sz w:val="17"/>
              </w:rPr>
              <w:t>重要动作形成 audit_logs/activity_events</w:t>
            </w:r>
          </w:p>
        </w:tc>
        <w:tc>
          <w:tcPr>
            <w:tcW w:type="dxa" w:w="3960"/>
            <w:vAlign w:val="center"/>
            <w:tcMar>
              <w:top w:w="90" w:type="dxa"/>
              <w:start w:w="100" w:type="dxa"/>
              <w:bottom w:w="90" w:type="dxa"/>
              <w:end w:w="100" w:type="dxa"/>
            </w:tcMar>
            <w:shd w:fill="F4F7FA"/>
          </w:tcPr>
          <w:p>
            <w:pPr>
              <w:spacing w:after="0" w:line="240" w:lineRule="auto"/>
            </w:pPr>
            <w:r>
              <w:rPr>
                <w:sz w:val="17"/>
              </w:rPr>
              <w:t>审计访问权限、保留策略、导出、篡改防护与告警</w:t>
            </w:r>
          </w:p>
        </w:tc>
      </w:tr>
      <w:tr>
        <w:trPr>
          <w:cantSplit/>
        </w:trPr>
        <w:tc>
          <w:tcPr>
            <w:tcW w:type="dxa" w:w="1584"/>
            <w:vAlign w:val="center"/>
            <w:tcMar>
              <w:top w:w="90" w:type="dxa"/>
              <w:start w:w="100" w:type="dxa"/>
              <w:bottom w:w="90" w:type="dxa"/>
              <w:end w:w="100" w:type="dxa"/>
            </w:tcMar>
          </w:tcPr>
          <w:p>
            <w:pPr>
              <w:spacing w:after="0" w:line="240" w:lineRule="auto"/>
            </w:pPr>
            <w:r>
              <w:rPr>
                <w:sz w:val="17"/>
              </w:rPr>
              <w:t>部署</w:t>
            </w:r>
          </w:p>
        </w:tc>
        <w:tc>
          <w:tcPr>
            <w:tcW w:type="dxa" w:w="3672"/>
            <w:vAlign w:val="center"/>
            <w:tcMar>
              <w:top w:w="90" w:type="dxa"/>
              <w:start w:w="100" w:type="dxa"/>
              <w:bottom w:w="90" w:type="dxa"/>
              <w:end w:w="100" w:type="dxa"/>
            </w:tcMar>
          </w:tcPr>
          <w:p>
            <w:pPr>
              <w:spacing w:after="0" w:line="240" w:lineRule="auto"/>
            </w:pPr>
            <w:r>
              <w:rPr>
                <w:sz w:val="17"/>
              </w:rPr>
              <w:t>Docker 以非 root 用户运行，ready healthcheck</w:t>
            </w:r>
          </w:p>
        </w:tc>
        <w:tc>
          <w:tcPr>
            <w:tcW w:type="dxa" w:w="3960"/>
            <w:vAlign w:val="center"/>
            <w:tcMar>
              <w:top w:w="90" w:type="dxa"/>
              <w:start w:w="100" w:type="dxa"/>
              <w:bottom w:w="90" w:type="dxa"/>
              <w:end w:w="100" w:type="dxa"/>
            </w:tcMar>
          </w:tcPr>
          <w:p>
            <w:pPr>
              <w:spacing w:after="0" w:line="240" w:lineRule="auto"/>
            </w:pPr>
            <w:r>
              <w:rPr>
                <w:sz w:val="17"/>
              </w:rPr>
              <w:t>镜像扫描、资源限制、只读根文件系统、SBOM、漏洞修补流程</w:t>
            </w:r>
          </w:p>
        </w:tc>
      </w:tr>
      <w:tr>
        <w:trPr>
          <w:cantSplit/>
        </w:trPr>
        <w:tc>
          <w:tcPr>
            <w:tcW w:type="dxa" w:w="1584"/>
            <w:vAlign w:val="center"/>
            <w:tcMar>
              <w:top w:w="90" w:type="dxa"/>
              <w:start w:w="100" w:type="dxa"/>
              <w:bottom w:w="90" w:type="dxa"/>
              <w:end w:w="100" w:type="dxa"/>
            </w:tcMar>
            <w:shd w:fill="F4F7FA"/>
          </w:tcPr>
          <w:p>
            <w:pPr>
              <w:spacing w:after="0" w:line="240" w:lineRule="auto"/>
            </w:pPr>
            <w:r>
              <w:rPr>
                <w:sz w:val="17"/>
              </w:rPr>
              <w:t>接口</w:t>
            </w:r>
          </w:p>
        </w:tc>
        <w:tc>
          <w:tcPr>
            <w:tcW w:type="dxa" w:w="3672"/>
            <w:vAlign w:val="center"/>
            <w:tcMar>
              <w:top w:w="90" w:type="dxa"/>
              <w:start w:w="100" w:type="dxa"/>
              <w:bottom w:w="90" w:type="dxa"/>
              <w:end w:w="100" w:type="dxa"/>
            </w:tcMar>
            <w:shd w:fill="F4F7FA"/>
          </w:tcPr>
          <w:p>
            <w:pPr>
              <w:spacing w:after="0" w:line="240" w:lineRule="auto"/>
            </w:pPr>
            <w:r>
              <w:rPr>
                <w:sz w:val="17"/>
              </w:rPr>
              <w:t>统一错误体和 request_id</w:t>
            </w:r>
          </w:p>
        </w:tc>
        <w:tc>
          <w:tcPr>
            <w:tcW w:type="dxa" w:w="3960"/>
            <w:vAlign w:val="center"/>
            <w:tcMar>
              <w:top w:w="90" w:type="dxa"/>
              <w:start w:w="100" w:type="dxa"/>
              <w:bottom w:w="90" w:type="dxa"/>
              <w:end w:w="100" w:type="dxa"/>
            </w:tcMar>
            <w:shd w:fill="F4F7FA"/>
          </w:tcPr>
          <w:p>
            <w:pPr>
              <w:spacing w:after="0" w:line="240" w:lineRule="auto"/>
            </w:pPr>
            <w:r>
              <w:rPr>
                <w:sz w:val="17"/>
              </w:rPr>
              <w:t>认证速率限制、CORS 策略、安全响应头、输入大小限制、渗透测试</w:t>
            </w:r>
          </w:p>
        </w:tc>
      </w:tr>
    </w:tbl>
    <w:p>
      <w:pPr>
        <w:spacing w:after="20"/>
      </w:pPr>
    </w:p>
    <w:p>
      <w:pPr>
        <w:spacing w:after="100" w:line="269" w:lineRule="auto"/>
      </w:pPr>
      <w:r>
        <w:t>V0.5 中生产启动阻断比“提供一个看起来像真的登录按钮”更可信。要移除此保护，必须先完成身份集成、资源级权限、中间件信任边界、审计和安全测试，不能只改 APP_ENV 判断。</w:t>
      </w:r>
    </w:p>
    <w:p>
      <w:pPr>
        <w:pStyle w:val="Heading1"/>
        <w:keepNext/>
      </w:pPr>
      <w:r>
        <w:t>47. 测试策略与 V0.5 验证结果</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00" w:type="dxa"/>
              <w:bottom w:w="90" w:type="dxa"/>
              <w:end w:w="100" w:type="dxa"/>
            </w:tcMar>
          </w:tcPr>
          <w:p>
            <w:pPr>
              <w:spacing w:after="0"/>
            </w:pPr>
            <w:r>
              <w:rPr>
                <w:b/>
                <w:color w:val="FFFFFF"/>
                <w:sz w:val="17"/>
              </w:rPr>
              <w:t>测试类型</w:t>
            </w:r>
          </w:p>
        </w:tc>
        <w:tc>
          <w:tcPr>
            <w:tcW w:type="dxa" w:w="4464"/>
            <w:shd w:fill="17365D"/>
            <w:vAlign w:val="center"/>
            <w:tcMar>
              <w:top w:w="90" w:type="dxa"/>
              <w:start w:w="100" w:type="dxa"/>
              <w:bottom w:w="90" w:type="dxa"/>
              <w:end w:w="100" w:type="dxa"/>
            </w:tcMar>
          </w:tcPr>
          <w:p>
            <w:pPr>
              <w:spacing w:after="0"/>
            </w:pPr>
            <w:r>
              <w:rPr>
                <w:b/>
                <w:color w:val="FFFFFF"/>
                <w:sz w:val="17"/>
              </w:rPr>
              <w:t>覆盖内容</w:t>
            </w:r>
          </w:p>
        </w:tc>
        <w:tc>
          <w:tcPr>
            <w:tcW w:type="dxa" w:w="2808"/>
            <w:shd w:fill="17365D"/>
            <w:vAlign w:val="center"/>
            <w:tcMar>
              <w:top w:w="90" w:type="dxa"/>
              <w:start w:w="100" w:type="dxa"/>
              <w:bottom w:w="90" w:type="dxa"/>
              <w:end w:w="100" w:type="dxa"/>
            </w:tcMar>
          </w:tcPr>
          <w:p>
            <w:pPr>
              <w:spacing w:after="0"/>
            </w:pPr>
            <w:r>
              <w:rPr>
                <w:b/>
                <w:color w:val="FFFFFF"/>
                <w:sz w:val="17"/>
              </w:rPr>
              <w:t>结果/边界</w:t>
            </w:r>
          </w:p>
        </w:tc>
      </w:tr>
      <w:tr>
        <w:trPr>
          <w:cantSplit/>
        </w:trPr>
        <w:tc>
          <w:tcPr>
            <w:tcW w:type="dxa" w:w="1944"/>
            <w:vAlign w:val="center"/>
            <w:tcMar>
              <w:top w:w="90" w:type="dxa"/>
              <w:start w:w="100" w:type="dxa"/>
              <w:bottom w:w="90" w:type="dxa"/>
              <w:end w:w="100" w:type="dxa"/>
            </w:tcMar>
          </w:tcPr>
          <w:p>
            <w:pPr>
              <w:spacing w:after="0" w:line="240" w:lineRule="auto"/>
            </w:pPr>
            <w:r>
              <w:rPr>
                <w:sz w:val="17"/>
              </w:rPr>
              <w:t>API 回归</w:t>
            </w:r>
          </w:p>
        </w:tc>
        <w:tc>
          <w:tcPr>
            <w:tcW w:type="dxa" w:w="4464"/>
            <w:vAlign w:val="center"/>
            <w:tcMar>
              <w:top w:w="90" w:type="dxa"/>
              <w:start w:w="100" w:type="dxa"/>
              <w:bottom w:w="90" w:type="dxa"/>
              <w:end w:w="100" w:type="dxa"/>
            </w:tcMar>
          </w:tcPr>
          <w:p>
            <w:pPr>
              <w:spacing w:after="0" w:line="240" w:lineRule="auto"/>
            </w:pPr>
            <w:r>
              <w:rPr>
                <w:sz w:val="17"/>
              </w:rPr>
              <w:t>主链路、校验、发布快照、并发 revision、状态守卫、DDL 安全、静态资源</w:t>
            </w:r>
          </w:p>
        </w:tc>
        <w:tc>
          <w:tcPr>
            <w:tcW w:type="dxa" w:w="2808"/>
            <w:vAlign w:val="center"/>
            <w:tcMar>
              <w:top w:w="90" w:type="dxa"/>
              <w:start w:w="100" w:type="dxa"/>
              <w:bottom w:w="90" w:type="dxa"/>
              <w:end w:w="100" w:type="dxa"/>
            </w:tcMar>
          </w:tcPr>
          <w:p>
            <w:pPr>
              <w:spacing w:after="0" w:line="240" w:lineRule="auto"/>
            </w:pPr>
            <w:r>
              <w:rPr>
                <w:sz w:val="17"/>
              </w:rPr>
              <w:t>10 passed</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7"/>
              </w:rPr>
              <w:t>迁移烟测</w:t>
            </w:r>
          </w:p>
        </w:tc>
        <w:tc>
          <w:tcPr>
            <w:tcW w:type="dxa" w:w="4464"/>
            <w:vAlign w:val="center"/>
            <w:tcMar>
              <w:top w:w="90" w:type="dxa"/>
              <w:start w:w="100" w:type="dxa"/>
              <w:bottom w:w="90" w:type="dxa"/>
              <w:end w:w="100" w:type="dxa"/>
            </w:tcMar>
            <w:shd w:fill="F4F7FA"/>
          </w:tcPr>
          <w:p>
            <w:pPr>
              <w:spacing w:after="0" w:line="240" w:lineRule="auto"/>
            </w:pPr>
            <w:r>
              <w:rPr>
                <w:sz w:val="17"/>
              </w:rPr>
              <w:t>空 SQLite 库 upgrade → current → downgrade → upgrade</w:t>
            </w:r>
          </w:p>
        </w:tc>
        <w:tc>
          <w:tcPr>
            <w:tcW w:type="dxa" w:w="2808"/>
            <w:vAlign w:val="center"/>
            <w:tcMar>
              <w:top w:w="90" w:type="dxa"/>
              <w:start w:w="100" w:type="dxa"/>
              <w:bottom w:w="90" w:type="dxa"/>
              <w:end w:w="100" w:type="dxa"/>
            </w:tcMar>
            <w:shd w:fill="F4F7FA"/>
          </w:tcPr>
          <w:p>
            <w:pPr>
              <w:spacing w:after="0" w:line="240" w:lineRule="auto"/>
            </w:pPr>
            <w:r>
              <w:rPr>
                <w:sz w:val="17"/>
              </w:rPr>
              <w:t>通过；初始 revision d50979bffe74</w:t>
            </w:r>
          </w:p>
        </w:tc>
      </w:tr>
      <w:tr>
        <w:trPr>
          <w:cantSplit/>
        </w:trPr>
        <w:tc>
          <w:tcPr>
            <w:tcW w:type="dxa" w:w="1944"/>
            <w:vAlign w:val="center"/>
            <w:tcMar>
              <w:top w:w="90" w:type="dxa"/>
              <w:start w:w="100" w:type="dxa"/>
              <w:bottom w:w="90" w:type="dxa"/>
              <w:end w:w="100" w:type="dxa"/>
            </w:tcMar>
          </w:tcPr>
          <w:p>
            <w:pPr>
              <w:spacing w:after="0" w:line="240" w:lineRule="auto"/>
            </w:pPr>
            <w:r>
              <w:rPr>
                <w:sz w:val="17"/>
              </w:rPr>
              <w:t>幂等性</w:t>
            </w:r>
          </w:p>
        </w:tc>
        <w:tc>
          <w:tcPr>
            <w:tcW w:type="dxa" w:w="4464"/>
            <w:vAlign w:val="center"/>
            <w:tcMar>
              <w:top w:w="90" w:type="dxa"/>
              <w:start w:w="100" w:type="dxa"/>
              <w:bottom w:w="90" w:type="dxa"/>
              <w:end w:w="100" w:type="dxa"/>
            </w:tcMar>
          </w:tcPr>
          <w:p>
            <w:pPr>
              <w:spacing w:after="0" w:line="240" w:lineRule="auto"/>
            </w:pPr>
            <w:r>
              <w:rPr>
                <w:sz w:val="17"/>
              </w:rPr>
              <w:t>重复启动 TestClient，再次检查 schema revision</w:t>
            </w:r>
          </w:p>
        </w:tc>
        <w:tc>
          <w:tcPr>
            <w:tcW w:type="dxa" w:w="2808"/>
            <w:vAlign w:val="center"/>
            <w:tcMar>
              <w:top w:w="90" w:type="dxa"/>
              <w:start w:w="100" w:type="dxa"/>
              <w:bottom w:w="90" w:type="dxa"/>
              <w:end w:w="100" w:type="dxa"/>
            </w:tcMar>
          </w:tcPr>
          <w:p>
            <w:pPr>
              <w:spacing w:after="0" w:line="240" w:lineRule="auto"/>
            </w:pPr>
            <w:r>
              <w:rPr>
                <w:sz w:val="17"/>
              </w:rPr>
              <w:t>通过</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7"/>
              </w:rPr>
              <w:t>外键行为</w:t>
            </w:r>
          </w:p>
        </w:tc>
        <w:tc>
          <w:tcPr>
            <w:tcW w:type="dxa" w:w="4464"/>
            <w:vAlign w:val="center"/>
            <w:tcMar>
              <w:top w:w="90" w:type="dxa"/>
              <w:start w:w="100" w:type="dxa"/>
              <w:bottom w:w="90" w:type="dxa"/>
              <w:end w:w="100" w:type="dxa"/>
            </w:tcMar>
            <w:shd w:fill="F4F7FA"/>
          </w:tcPr>
          <w:p>
            <w:pPr>
              <w:spacing w:after="0" w:line="240" w:lineRule="auto"/>
            </w:pPr>
            <w:r>
              <w:rPr>
                <w:sz w:val="17"/>
              </w:rPr>
              <w:t>PRAGMA foreign_keys = 1</w:t>
            </w:r>
          </w:p>
        </w:tc>
        <w:tc>
          <w:tcPr>
            <w:tcW w:type="dxa" w:w="2808"/>
            <w:vAlign w:val="center"/>
            <w:tcMar>
              <w:top w:w="90" w:type="dxa"/>
              <w:start w:w="100" w:type="dxa"/>
              <w:bottom w:w="90" w:type="dxa"/>
              <w:end w:w="100" w:type="dxa"/>
            </w:tcMar>
            <w:shd w:fill="F4F7FA"/>
          </w:tcPr>
          <w:p>
            <w:pPr>
              <w:spacing w:after="0" w:line="240" w:lineRule="auto"/>
            </w:pPr>
            <w:r>
              <w:rPr>
                <w:sz w:val="17"/>
              </w:rPr>
              <w:t>通过</w:t>
            </w:r>
          </w:p>
        </w:tc>
      </w:tr>
      <w:tr>
        <w:trPr>
          <w:cantSplit/>
        </w:trPr>
        <w:tc>
          <w:tcPr>
            <w:tcW w:type="dxa" w:w="1944"/>
            <w:vAlign w:val="center"/>
            <w:tcMar>
              <w:top w:w="90" w:type="dxa"/>
              <w:start w:w="100" w:type="dxa"/>
              <w:bottom w:w="90" w:type="dxa"/>
              <w:end w:w="100" w:type="dxa"/>
            </w:tcMar>
          </w:tcPr>
          <w:p>
            <w:pPr>
              <w:spacing w:after="0" w:line="240" w:lineRule="auto"/>
            </w:pPr>
            <w:r>
              <w:rPr>
                <w:sz w:val="17"/>
              </w:rPr>
              <w:t>运行配置</w:t>
            </w:r>
          </w:p>
        </w:tc>
        <w:tc>
          <w:tcPr>
            <w:tcW w:type="dxa" w:w="4464"/>
            <w:vAlign w:val="center"/>
            <w:tcMar>
              <w:top w:w="90" w:type="dxa"/>
              <w:start w:w="100" w:type="dxa"/>
              <w:bottom w:w="90" w:type="dxa"/>
              <w:end w:w="100" w:type="dxa"/>
            </w:tcMar>
          </w:tcPr>
          <w:p>
            <w:pPr>
              <w:spacing w:after="0" w:line="240" w:lineRule="auto"/>
            </w:pPr>
            <w:r>
              <w:rPr>
                <w:sz w:val="17"/>
              </w:rPr>
              <w:t>production 设置调用 validate_startup</w:t>
            </w:r>
          </w:p>
        </w:tc>
        <w:tc>
          <w:tcPr>
            <w:tcW w:type="dxa" w:w="2808"/>
            <w:vAlign w:val="center"/>
            <w:tcMar>
              <w:top w:w="90" w:type="dxa"/>
              <w:start w:w="100" w:type="dxa"/>
              <w:bottom w:w="90" w:type="dxa"/>
              <w:end w:w="100" w:type="dxa"/>
            </w:tcMar>
          </w:tcPr>
          <w:p>
            <w:pPr>
              <w:spacing w:after="0" w:line="240" w:lineRule="auto"/>
            </w:pPr>
            <w:r>
              <w:rPr>
                <w:sz w:val="17"/>
              </w:rPr>
              <w:t>按预期 fail-closed</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7"/>
              </w:rPr>
              <w:t>真实 PostgreSQL</w:t>
            </w:r>
          </w:p>
        </w:tc>
        <w:tc>
          <w:tcPr>
            <w:tcW w:type="dxa" w:w="4464"/>
            <w:vAlign w:val="center"/>
            <w:tcMar>
              <w:top w:w="90" w:type="dxa"/>
              <w:start w:w="100" w:type="dxa"/>
              <w:bottom w:w="90" w:type="dxa"/>
              <w:end w:w="100" w:type="dxa"/>
            </w:tcMar>
            <w:shd w:fill="F4F7FA"/>
          </w:tcPr>
          <w:p>
            <w:pPr>
              <w:spacing w:after="0" w:line="240" w:lineRule="auto"/>
            </w:pPr>
            <w:r>
              <w:rPr>
                <w:sz w:val="17"/>
              </w:rPr>
              <w:t>未连接实际 PostgreSQL 实例进行迁移/并发检查</w:t>
            </w:r>
          </w:p>
        </w:tc>
        <w:tc>
          <w:tcPr>
            <w:tcW w:type="dxa" w:w="2808"/>
            <w:vAlign w:val="center"/>
            <w:tcMar>
              <w:top w:w="90" w:type="dxa"/>
              <w:start w:w="100" w:type="dxa"/>
              <w:bottom w:w="90" w:type="dxa"/>
              <w:end w:w="100" w:type="dxa"/>
            </w:tcMar>
            <w:shd w:fill="F4F7FA"/>
          </w:tcPr>
          <w:p>
            <w:pPr>
              <w:spacing w:after="0" w:line="240" w:lineRule="auto"/>
            </w:pPr>
            <w:r>
              <w:rPr>
                <w:sz w:val="17"/>
              </w:rPr>
              <w:t>待实施</w:t>
            </w:r>
          </w:p>
        </w:tc>
      </w:tr>
      <w:tr>
        <w:trPr>
          <w:cantSplit/>
        </w:trPr>
        <w:tc>
          <w:tcPr>
            <w:tcW w:type="dxa" w:w="1944"/>
            <w:vAlign w:val="center"/>
            <w:tcMar>
              <w:top w:w="90" w:type="dxa"/>
              <w:start w:w="100" w:type="dxa"/>
              <w:bottom w:w="90" w:type="dxa"/>
              <w:end w:w="100" w:type="dxa"/>
            </w:tcMar>
          </w:tcPr>
          <w:p>
            <w:pPr>
              <w:spacing w:after="0" w:line="240" w:lineRule="auto"/>
            </w:pPr>
            <w:r>
              <w:rPr>
                <w:sz w:val="17"/>
              </w:rPr>
              <w:t>真实引擎 DDL</w:t>
            </w:r>
          </w:p>
        </w:tc>
        <w:tc>
          <w:tcPr>
            <w:tcW w:type="dxa" w:w="4464"/>
            <w:vAlign w:val="center"/>
            <w:tcMar>
              <w:top w:w="90" w:type="dxa"/>
              <w:start w:w="100" w:type="dxa"/>
              <w:bottom w:w="90" w:type="dxa"/>
              <w:end w:w="100" w:type="dxa"/>
            </w:tcMar>
          </w:tcPr>
          <w:p>
            <w:pPr>
              <w:spacing w:after="0" w:line="240" w:lineRule="auto"/>
            </w:pPr>
            <w:r>
              <w:rPr>
                <w:sz w:val="17"/>
              </w:rPr>
              <w:t>没有对真实 PostgreSQL/MySQL/Hive 执行 DDL</w:t>
            </w:r>
          </w:p>
        </w:tc>
        <w:tc>
          <w:tcPr>
            <w:tcW w:type="dxa" w:w="2808"/>
            <w:vAlign w:val="center"/>
            <w:tcMar>
              <w:top w:w="90" w:type="dxa"/>
              <w:start w:w="100" w:type="dxa"/>
              <w:bottom w:w="90" w:type="dxa"/>
              <w:end w:w="100" w:type="dxa"/>
            </w:tcMar>
          </w:tcPr>
          <w:p>
            <w:pPr>
              <w:spacing w:after="0" w:line="240" w:lineRule="auto"/>
            </w:pPr>
            <w:r>
              <w:rPr>
                <w:sz w:val="17"/>
              </w:rPr>
              <w:t>待实施</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7"/>
              </w:rPr>
              <w:t>浏览器 E2E/性能/安全</w:t>
            </w:r>
          </w:p>
        </w:tc>
        <w:tc>
          <w:tcPr>
            <w:tcW w:type="dxa" w:w="4464"/>
            <w:vAlign w:val="center"/>
            <w:tcMar>
              <w:top w:w="90" w:type="dxa"/>
              <w:start w:w="100" w:type="dxa"/>
              <w:bottom w:w="90" w:type="dxa"/>
              <w:end w:w="100" w:type="dxa"/>
            </w:tcMar>
            <w:shd w:fill="F4F7FA"/>
          </w:tcPr>
          <w:p>
            <w:pPr>
              <w:spacing w:after="0" w:line="240" w:lineRule="auto"/>
            </w:pPr>
            <w:r>
              <w:rPr>
                <w:sz w:val="17"/>
              </w:rPr>
              <w:t>尚无浏览器自动化、压测、渗透和灾备演练</w:t>
            </w:r>
          </w:p>
        </w:tc>
        <w:tc>
          <w:tcPr>
            <w:tcW w:type="dxa" w:w="2808"/>
            <w:vAlign w:val="center"/>
            <w:tcMar>
              <w:top w:w="90" w:type="dxa"/>
              <w:start w:w="100" w:type="dxa"/>
              <w:bottom w:w="90" w:type="dxa"/>
              <w:end w:w="100" w:type="dxa"/>
            </w:tcMar>
            <w:shd w:fill="F4F7FA"/>
          </w:tcPr>
          <w:p>
            <w:pPr>
              <w:spacing w:after="0" w:line="240" w:lineRule="auto"/>
            </w:pPr>
            <w:r>
              <w:rPr>
                <w:sz w:val="17"/>
              </w:rPr>
              <w:t>待实施</w:t>
            </w:r>
          </w:p>
        </w:tc>
      </w:tr>
    </w:tbl>
    <w:p>
      <w:pPr>
        <w:spacing w:after="20"/>
      </w:pPr>
    </w:p>
    <w:p>
      <w:pPr>
        <w:spacing w:after="0" w:line="240" w:lineRule="auto"/>
        <w:ind w:left="216" w:right="216"/>
        <w:shd w:fill="F3F4F6"/>
      </w:pPr>
      <w:r>
        <w:rPr>
          <w:rFonts w:ascii="Consolas" w:hAnsi="Consolas" w:eastAsia="Microsoft YaHei"/>
          <w:color w:val="1F2937"/>
          <w:sz w:val="16"/>
        </w:rPr>
        <w:t># 本地自动化测试</w:t>
      </w:r>
    </w:p>
    <w:p>
      <w:pPr>
        <w:spacing w:after="0" w:line="240" w:lineRule="auto"/>
        <w:ind w:left="216" w:right="216"/>
        <w:shd w:fill="F3F4F6"/>
      </w:pPr>
      <w:r>
        <w:rPr>
          <w:rFonts w:ascii="Consolas" w:hAnsi="Consolas" w:eastAsia="Microsoft YaHei"/>
          <w:color w:val="1F2937"/>
          <w:sz w:val="16"/>
        </w:rPr>
        <w:t>pytest -q</w:t>
      </w:r>
    </w:p>
    <w:p>
      <w:pPr>
        <w:spacing w:after="0" w:line="240" w:lineRule="auto"/>
        <w:ind w:left="216" w:right="216"/>
        <w:shd w:fill="F3F4F6"/>
      </w:pPr>
      <w:r>
        <w:rPr>
          <w:rFonts w:ascii="Consolas" w:hAnsi="Consolas" w:eastAsia="Microsoft YaHei"/>
          <w:color w:val="1F2937"/>
          <w:sz w:val="16"/>
        </w:rPr>
        <w:t xml:space="preserve"> </w:t>
      </w:r>
    </w:p>
    <w:p>
      <w:pPr>
        <w:spacing w:after="0" w:line="240" w:lineRule="auto"/>
        <w:ind w:left="216" w:right="216"/>
        <w:shd w:fill="F3F4F6"/>
      </w:pPr>
      <w:r>
        <w:rPr>
          <w:rFonts w:ascii="Consolas" w:hAnsi="Consolas" w:eastAsia="Microsoft YaHei"/>
          <w:color w:val="1F2937"/>
          <w:sz w:val="16"/>
        </w:rPr>
        <w:t># 独立迁移烟测（建议先建立一次性目录）</w:t>
      </w:r>
    </w:p>
    <w:p>
      <w:pPr>
        <w:spacing w:after="0" w:line="240" w:lineRule="auto"/>
        <w:ind w:left="216" w:right="216"/>
        <w:shd w:fill="F3F4F6"/>
      </w:pPr>
      <w:r>
        <w:rPr>
          <w:rFonts w:ascii="Consolas" w:hAnsi="Consolas" w:eastAsia="Microsoft YaHei"/>
          <w:color w:val="1F2937"/>
          <w:sz w:val="16"/>
        </w:rPr>
        <w:t>DATABASE_URL=sqlite:///./data/migration_smoke.db APP_ENV=test python -m alembic upgrade head</w:t>
      </w:r>
    </w:p>
    <w:p>
      <w:pPr>
        <w:spacing w:after="0" w:line="240" w:lineRule="auto"/>
        <w:ind w:left="216" w:right="216"/>
        <w:shd w:fill="F3F4F6"/>
      </w:pPr>
      <w:r>
        <w:rPr>
          <w:rFonts w:ascii="Consolas" w:hAnsi="Consolas" w:eastAsia="Microsoft YaHei"/>
          <w:color w:val="1F2937"/>
          <w:sz w:val="16"/>
        </w:rPr>
        <w:t>DATABASE_URL=sqlite:///./data/migration_smoke.db APP_ENV=test python -m alembic current</w:t>
      </w:r>
    </w:p>
    <w:p>
      <w:pPr>
        <w:spacing w:after="0" w:line="240" w:lineRule="auto"/>
        <w:ind w:left="216" w:right="216"/>
        <w:shd w:fill="F3F4F6"/>
      </w:pPr>
      <w:r>
        <w:rPr>
          <w:rFonts w:ascii="Consolas" w:hAnsi="Consolas" w:eastAsia="Microsoft YaHei"/>
          <w:color w:val="1F2937"/>
          <w:sz w:val="16"/>
        </w:rPr>
        <w:t>DATABASE_URL=sqlite:///./data/migration_smoke.db APP_ENV=test python -m alembic downgrade -1</w:t>
      </w:r>
    </w:p>
    <w:p>
      <w:pPr>
        <w:spacing w:after="0" w:line="240" w:lineRule="auto"/>
        <w:ind w:left="216" w:right="216"/>
        <w:shd w:fill="F3F4F6"/>
      </w:pPr>
      <w:r>
        <w:rPr>
          <w:rFonts w:ascii="Consolas" w:hAnsi="Consolas" w:eastAsia="Microsoft YaHei"/>
          <w:color w:val="1F2937"/>
          <w:sz w:val="16"/>
        </w:rPr>
        <w:t>DATABASE_URL=sqlite:///./data/migration_smoke.db APP_ENV=test python -m alembic upgrade head</w:t>
      </w:r>
    </w:p>
    <w:p>
      <w:pPr>
        <w:pStyle w:val="Heading1"/>
        <w:keepNext/>
      </w:pPr>
      <w:r>
        <w:t>48. 部署、升级与回滚 Runbook</w:t>
      </w:r>
    </w:p>
    <w:p>
      <w:pPr>
        <w:pStyle w:val="Heading2"/>
        <w:keepNext/>
      </w:pPr>
      <w:r>
        <w:t>48.1 新环境部署</w:t>
      </w:r>
    </w:p>
    <w:p>
      <w:pPr>
        <w:pStyle w:val="ListNumber"/>
        <w:spacing w:after="40"/>
      </w:pPr>
      <w:r>
        <w:t>确认代码版本、依赖锁定、DATABASE_URL 与 APP_ENV；本版本只允许 local/dev/test。</w:t>
      </w:r>
    </w:p>
    <w:p>
      <w:pPr>
        <w:pStyle w:val="ListNumber"/>
        <w:spacing w:after="40"/>
      </w:pPr>
      <w:r>
        <w:t>在目标环境执行 alembic upgrade head 并记录 current revision。</w:t>
      </w:r>
    </w:p>
    <w:p>
      <w:pPr>
        <w:pStyle w:val="ListNumber"/>
        <w:spacing w:after="40"/>
      </w:pPr>
      <w:r>
        <w:t>启动应用，检查 /api/health/live 和 /api/health/ready；ready 必须显示 current=head。</w:t>
      </w:r>
    </w:p>
    <w:p>
      <w:pPr>
        <w:pStyle w:val="ListNumber"/>
        <w:spacing w:after="40"/>
      </w:pPr>
      <w:r>
        <w:t>执行一次建模 smoke test：创建测试项目和模型、校验、提交评审、发布快照、预览 DDL。</w:t>
      </w:r>
    </w:p>
    <w:p>
      <w:pPr>
        <w:pStyle w:val="ListNumber"/>
        <w:spacing w:after="40"/>
      </w:pPr>
      <w:r>
        <w:t>确认日志可以按 request_id 关联、活动事件可查询、metrics 端点可访问。</w:t>
      </w:r>
    </w:p>
    <w:p>
      <w:pPr>
        <w:pStyle w:val="Heading2"/>
        <w:keepNext/>
      </w:pPr>
      <w:r>
        <w:t>48.2 常规版本升级</w:t>
      </w:r>
    </w:p>
    <w:p>
      <w:pPr>
        <w:pStyle w:val="ListNumber"/>
        <w:spacing w:after="40"/>
      </w:pPr>
      <w:r>
        <w:t>在隔离数据库恢复一份近期备份，执行候选 migration 并验证关键数据。</w:t>
      </w:r>
    </w:p>
    <w:p>
      <w:pPr>
        <w:pStyle w:val="ListNumber"/>
        <w:spacing w:after="40"/>
      </w:pPr>
      <w:r>
        <w:t>审查 revision：列类型/可空/默认值、外键、唯一约束、索引、耗时、锁风险和回滚影响。</w:t>
      </w:r>
    </w:p>
    <w:p>
      <w:pPr>
        <w:pStyle w:val="ListNumber"/>
        <w:spacing w:after="40"/>
      </w:pPr>
      <w:r>
        <w:t>发布窗口前备份并确认恢复负责人；先完成数据库升级，再启动兼容的应用版本。</w:t>
      </w:r>
    </w:p>
    <w:p>
      <w:pPr>
        <w:pStyle w:val="ListNumber"/>
        <w:spacing w:after="40"/>
      </w:pPr>
      <w:r>
        <w:t>观察 ready、5xx、请求耗时、发布/校验失败计数与业务事件。</w:t>
      </w:r>
    </w:p>
    <w:p>
      <w:pPr>
        <w:pStyle w:val="ListNumber"/>
        <w:spacing w:after="40"/>
      </w:pPr>
      <w:r>
        <w:t>如果新旧应用版本不兼容，按预先演练的前向修复/应用回滚/备份恢复方案执行。</w:t>
      </w:r>
    </w:p>
    <w:p>
      <w:pPr>
        <w:pStyle w:val="Heading2"/>
        <w:keepNext/>
      </w:pPr>
      <w:r>
        <w:t>48.3 不可假设的回滚事项</w:t>
      </w:r>
    </w:p>
    <w:p>
      <w:pPr>
        <w:pStyle w:val="ListBullet"/>
        <w:spacing w:after="40"/>
        <w:ind w:left="360"/>
      </w:pPr>
      <w:r>
        <w:t>应用二进制版本回滚不等于数据库 schema 自动回滚。</w:t>
      </w:r>
    </w:p>
    <w:p>
      <w:pPr>
        <w:pStyle w:val="ListBullet"/>
        <w:spacing w:after="40"/>
        <w:ind w:left="360"/>
      </w:pPr>
      <w:r>
        <w:t>删列、收窄类型、重写数据和改变约束可能不可逆；应先做向前兼容迁移或影子列方案。</w:t>
      </w:r>
    </w:p>
    <w:p>
      <w:pPr>
        <w:pStyle w:val="ListBullet"/>
        <w:spacing w:after="40"/>
        <w:ind w:left="360"/>
      </w:pPr>
      <w:r>
        <w:t>初始迁移 downgrade 会删除当前 MVP 表；生产必须使用备份/PITR 方案并先在隔离环境演练。</w:t>
      </w:r>
    </w:p>
    <w:p>
      <w:pPr>
        <w:pStyle w:val="ListBullet"/>
        <w:spacing w:after="40"/>
        <w:ind w:left="360"/>
      </w:pPr>
      <w:r>
        <w:t>本版未定义或验证 RPO/RTO，不能承诺灾难恢复指标。</w:t>
      </w:r>
    </w:p>
    <w:p>
      <w:pPr>
        <w:pStyle w:val="Heading1"/>
        <w:keepNext/>
      </w:pPr>
      <w:r>
        <w:t>49. 后续工程任务优先级</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shd w:fill="17365D"/>
            <w:vAlign w:val="center"/>
            <w:tcMar>
              <w:top w:w="90" w:type="dxa"/>
              <w:start w:w="100" w:type="dxa"/>
              <w:bottom w:w="90" w:type="dxa"/>
              <w:end w:w="100" w:type="dxa"/>
            </w:tcMar>
          </w:tcPr>
          <w:p>
            <w:pPr>
              <w:spacing w:after="0"/>
            </w:pPr>
            <w:r>
              <w:rPr>
                <w:b/>
                <w:color w:val="FFFFFF"/>
                <w:sz w:val="16"/>
              </w:rPr>
              <w:t>优先级</w:t>
            </w:r>
          </w:p>
        </w:tc>
        <w:tc>
          <w:tcPr>
            <w:tcW w:type="dxa" w:w="1800"/>
            <w:shd w:fill="17365D"/>
            <w:vAlign w:val="center"/>
            <w:tcMar>
              <w:top w:w="90" w:type="dxa"/>
              <w:start w:w="100" w:type="dxa"/>
              <w:bottom w:w="90" w:type="dxa"/>
              <w:end w:w="100" w:type="dxa"/>
            </w:tcMar>
          </w:tcPr>
          <w:p>
            <w:pPr>
              <w:spacing w:after="0"/>
            </w:pPr>
            <w:r>
              <w:rPr>
                <w:b/>
                <w:color w:val="FFFFFF"/>
                <w:sz w:val="16"/>
              </w:rPr>
              <w:t>工作包</w:t>
            </w:r>
          </w:p>
        </w:tc>
        <w:tc>
          <w:tcPr>
            <w:tcW w:type="dxa" w:w="3744"/>
            <w:shd w:fill="17365D"/>
            <w:vAlign w:val="center"/>
            <w:tcMar>
              <w:top w:w="90" w:type="dxa"/>
              <w:start w:w="100" w:type="dxa"/>
              <w:bottom w:w="90" w:type="dxa"/>
              <w:end w:w="100" w:type="dxa"/>
            </w:tcMar>
          </w:tcPr>
          <w:p>
            <w:pPr>
              <w:spacing w:after="0"/>
            </w:pPr>
            <w:r>
              <w:rPr>
                <w:b/>
                <w:color w:val="FFFFFF"/>
                <w:sz w:val="16"/>
              </w:rPr>
              <w:t>具体任务</w:t>
            </w:r>
          </w:p>
        </w:tc>
        <w:tc>
          <w:tcPr>
            <w:tcW w:type="dxa" w:w="2736"/>
            <w:shd w:fill="17365D"/>
            <w:vAlign w:val="center"/>
            <w:tcMar>
              <w:top w:w="90" w:type="dxa"/>
              <w:start w:w="100" w:type="dxa"/>
              <w:bottom w:w="90" w:type="dxa"/>
              <w:end w:w="100" w:type="dxa"/>
            </w:tcMar>
          </w:tcPr>
          <w:p>
            <w:pPr>
              <w:spacing w:after="0"/>
            </w:pPr>
            <w:r>
              <w:rPr>
                <w:b/>
                <w:color w:val="FFFFFF"/>
                <w:sz w:val="16"/>
              </w:rPr>
              <w:t>完成定义</w:t>
            </w:r>
          </w:p>
        </w:tc>
      </w:tr>
      <w:tr>
        <w:trPr>
          <w:cantSplit/>
        </w:trPr>
        <w:tc>
          <w:tcPr>
            <w:tcW w:type="dxa" w:w="936"/>
            <w:vAlign w:val="center"/>
            <w:tcMar>
              <w:top w:w="90" w:type="dxa"/>
              <w:start w:w="100" w:type="dxa"/>
              <w:bottom w:w="90" w:type="dxa"/>
              <w:end w:w="100" w:type="dxa"/>
            </w:tcMar>
          </w:tcPr>
          <w:p>
            <w:pPr>
              <w:spacing w:after="0" w:line="240" w:lineRule="auto"/>
            </w:pPr>
            <w:r>
              <w:rPr>
                <w:sz w:val="16"/>
              </w:rPr>
              <w:t>P0</w:t>
            </w:r>
          </w:p>
        </w:tc>
        <w:tc>
          <w:tcPr>
            <w:tcW w:type="dxa" w:w="1800"/>
            <w:vAlign w:val="center"/>
            <w:tcMar>
              <w:top w:w="90" w:type="dxa"/>
              <w:start w:w="100" w:type="dxa"/>
              <w:bottom w:w="90" w:type="dxa"/>
              <w:end w:w="100" w:type="dxa"/>
            </w:tcMar>
          </w:tcPr>
          <w:p>
            <w:pPr>
              <w:spacing w:after="0" w:line="240" w:lineRule="auto"/>
            </w:pPr>
            <w:r>
              <w:rPr>
                <w:sz w:val="16"/>
              </w:rPr>
              <w:t>真实身份与权限</w:t>
            </w:r>
          </w:p>
        </w:tc>
        <w:tc>
          <w:tcPr>
            <w:tcW w:type="dxa" w:w="3744"/>
            <w:vAlign w:val="center"/>
            <w:tcMar>
              <w:top w:w="90" w:type="dxa"/>
              <w:start w:w="100" w:type="dxa"/>
              <w:bottom w:w="90" w:type="dxa"/>
              <w:end w:w="100" w:type="dxa"/>
            </w:tcMar>
          </w:tcPr>
          <w:p>
            <w:pPr>
              <w:spacing w:after="0" w:line="240" w:lineRule="auto"/>
            </w:pPr>
            <w:r>
              <w:rPr>
                <w:sz w:val="16"/>
              </w:rPr>
              <w:t>OIDC/SSO、可信 actor、项目/模型级 RBAC、默认拒绝</w:t>
            </w:r>
          </w:p>
        </w:tc>
        <w:tc>
          <w:tcPr>
            <w:tcW w:type="dxa" w:w="2736"/>
            <w:vAlign w:val="center"/>
            <w:tcMar>
              <w:top w:w="90" w:type="dxa"/>
              <w:start w:w="100" w:type="dxa"/>
              <w:bottom w:w="90" w:type="dxa"/>
              <w:end w:w="100" w:type="dxa"/>
            </w:tcMar>
          </w:tcPr>
          <w:p>
            <w:pPr>
              <w:spacing w:after="0" w:line="240" w:lineRule="auto"/>
            </w:pPr>
            <w:r>
              <w:rPr>
                <w:sz w:val="16"/>
              </w:rPr>
              <w:t>跨项目越权测试通过；操作人来自验证后的 identity claims</w:t>
            </w:r>
          </w:p>
        </w:tc>
      </w:tr>
      <w:tr>
        <w:trPr>
          <w:cantSplit/>
        </w:trPr>
        <w:tc>
          <w:tcPr>
            <w:tcW w:type="dxa" w:w="936"/>
            <w:vAlign w:val="center"/>
            <w:tcMar>
              <w:top w:w="90" w:type="dxa"/>
              <w:start w:w="100" w:type="dxa"/>
              <w:bottom w:w="90" w:type="dxa"/>
              <w:end w:w="100" w:type="dxa"/>
            </w:tcMar>
            <w:shd w:fill="F4F7FA"/>
          </w:tcPr>
          <w:p>
            <w:pPr>
              <w:spacing w:after="0" w:line="240" w:lineRule="auto"/>
            </w:pPr>
            <w:r>
              <w:rPr>
                <w:sz w:val="16"/>
              </w:rPr>
              <w:t>P0</w:t>
            </w:r>
          </w:p>
        </w:tc>
        <w:tc>
          <w:tcPr>
            <w:tcW w:type="dxa" w:w="1800"/>
            <w:vAlign w:val="center"/>
            <w:tcMar>
              <w:top w:w="90" w:type="dxa"/>
              <w:start w:w="100" w:type="dxa"/>
              <w:bottom w:w="90" w:type="dxa"/>
              <w:end w:w="100" w:type="dxa"/>
            </w:tcMar>
            <w:shd w:fill="F4F7FA"/>
          </w:tcPr>
          <w:p>
            <w:pPr>
              <w:spacing w:after="0" w:line="240" w:lineRule="auto"/>
            </w:pPr>
            <w:r>
              <w:rPr>
                <w:sz w:val="16"/>
              </w:rPr>
              <w:t>PostgreSQL 迁移验证</w:t>
            </w:r>
          </w:p>
        </w:tc>
        <w:tc>
          <w:tcPr>
            <w:tcW w:type="dxa" w:w="3744"/>
            <w:vAlign w:val="center"/>
            <w:tcMar>
              <w:top w:w="90" w:type="dxa"/>
              <w:start w:w="100" w:type="dxa"/>
              <w:bottom w:w="90" w:type="dxa"/>
              <w:end w:w="100" w:type="dxa"/>
            </w:tcMar>
            <w:shd w:fill="F4F7FA"/>
          </w:tcPr>
          <w:p>
            <w:pPr>
              <w:spacing w:after="0" w:line="240" w:lineRule="auto"/>
            </w:pPr>
            <w:r>
              <w:rPr>
                <w:sz w:val="16"/>
              </w:rPr>
              <w:t>在实际 PostgreSQL 服务执行 migration、约束/索引验证、备份恢复演练</w:t>
            </w:r>
          </w:p>
        </w:tc>
        <w:tc>
          <w:tcPr>
            <w:tcW w:type="dxa" w:w="2736"/>
            <w:vAlign w:val="center"/>
            <w:tcMar>
              <w:top w:w="90" w:type="dxa"/>
              <w:start w:w="100" w:type="dxa"/>
              <w:bottom w:w="90" w:type="dxa"/>
              <w:end w:w="100" w:type="dxa"/>
            </w:tcMar>
            <w:shd w:fill="F4F7FA"/>
          </w:tcPr>
          <w:p>
            <w:pPr>
              <w:spacing w:after="0" w:line="240" w:lineRule="auto"/>
            </w:pPr>
            <w:r>
              <w:rPr>
                <w:sz w:val="16"/>
              </w:rPr>
              <w:t>空库/上版库升级通过；恢复报告通过评审</w:t>
            </w:r>
          </w:p>
        </w:tc>
      </w:tr>
      <w:tr>
        <w:trPr>
          <w:cantSplit/>
        </w:trPr>
        <w:tc>
          <w:tcPr>
            <w:tcW w:type="dxa" w:w="936"/>
            <w:vAlign w:val="center"/>
            <w:tcMar>
              <w:top w:w="90" w:type="dxa"/>
              <w:start w:w="100" w:type="dxa"/>
              <w:bottom w:w="90" w:type="dxa"/>
              <w:end w:w="100" w:type="dxa"/>
            </w:tcMar>
          </w:tcPr>
          <w:p>
            <w:pPr>
              <w:spacing w:after="0" w:line="240" w:lineRule="auto"/>
            </w:pPr>
            <w:r>
              <w:rPr>
                <w:sz w:val="16"/>
              </w:rPr>
              <w:t>P0</w:t>
            </w:r>
          </w:p>
        </w:tc>
        <w:tc>
          <w:tcPr>
            <w:tcW w:type="dxa" w:w="1800"/>
            <w:vAlign w:val="center"/>
            <w:tcMar>
              <w:top w:w="90" w:type="dxa"/>
              <w:start w:w="100" w:type="dxa"/>
              <w:bottom w:w="90" w:type="dxa"/>
              <w:end w:w="100" w:type="dxa"/>
            </w:tcMar>
          </w:tcPr>
          <w:p>
            <w:pPr>
              <w:spacing w:after="0" w:line="240" w:lineRule="auto"/>
            </w:pPr>
            <w:r>
              <w:rPr>
                <w:sz w:val="16"/>
              </w:rPr>
              <w:t>schema 领域统一</w:t>
            </w:r>
          </w:p>
        </w:tc>
        <w:tc>
          <w:tcPr>
            <w:tcW w:type="dxa" w:w="3744"/>
            <w:vAlign w:val="center"/>
            <w:tcMar>
              <w:top w:w="90" w:type="dxa"/>
              <w:start w:w="100" w:type="dxa"/>
              <w:bottom w:w="90" w:type="dxa"/>
              <w:end w:w="100" w:type="dxa"/>
            </w:tcMar>
          </w:tcPr>
          <w:p>
            <w:pPr>
              <w:spacing w:after="0" w:line="240" w:lineRule="auto"/>
            </w:pPr>
            <w:r>
              <w:rPr>
                <w:sz w:val="16"/>
              </w:rPr>
              <w:t>将业务需求、主题域、模型关系、规则/审批按功能增量纳入 ORM 和 migration</w:t>
            </w:r>
          </w:p>
        </w:tc>
        <w:tc>
          <w:tcPr>
            <w:tcW w:type="dxa" w:w="2736"/>
            <w:vAlign w:val="center"/>
            <w:tcMar>
              <w:top w:w="90" w:type="dxa"/>
              <w:start w:w="100" w:type="dxa"/>
              <w:bottom w:w="90" w:type="dxa"/>
              <w:end w:w="100" w:type="dxa"/>
            </w:tcMar>
          </w:tcPr>
          <w:p>
            <w:pPr>
              <w:spacing w:after="0" w:line="240" w:lineRule="auto"/>
            </w:pPr>
            <w:r>
              <w:rPr>
                <w:sz w:val="16"/>
              </w:rPr>
              <w:t>每个领域对象有 API、迁移、测试与 ADR；不混用目标 SQL</w:t>
            </w:r>
          </w:p>
        </w:tc>
      </w:tr>
      <w:tr>
        <w:trPr>
          <w:cantSplit/>
        </w:trPr>
        <w:tc>
          <w:tcPr>
            <w:tcW w:type="dxa" w:w="936"/>
            <w:vAlign w:val="center"/>
            <w:tcMar>
              <w:top w:w="90" w:type="dxa"/>
              <w:start w:w="100" w:type="dxa"/>
              <w:bottom w:w="90" w:type="dxa"/>
              <w:end w:w="100" w:type="dxa"/>
            </w:tcMar>
            <w:shd w:fill="F4F7FA"/>
          </w:tcPr>
          <w:p>
            <w:pPr>
              <w:spacing w:after="0" w:line="240" w:lineRule="auto"/>
            </w:pPr>
            <w:r>
              <w:rPr>
                <w:sz w:val="16"/>
              </w:rPr>
              <w:t>P1</w:t>
            </w:r>
          </w:p>
        </w:tc>
        <w:tc>
          <w:tcPr>
            <w:tcW w:type="dxa" w:w="1800"/>
            <w:vAlign w:val="center"/>
            <w:tcMar>
              <w:top w:w="90" w:type="dxa"/>
              <w:start w:w="100" w:type="dxa"/>
              <w:bottom w:w="90" w:type="dxa"/>
              <w:end w:w="100" w:type="dxa"/>
            </w:tcMar>
            <w:shd w:fill="F4F7FA"/>
          </w:tcPr>
          <w:p>
            <w:pPr>
              <w:spacing w:after="0" w:line="240" w:lineRule="auto"/>
            </w:pPr>
            <w:r>
              <w:rPr>
                <w:sz w:val="16"/>
              </w:rPr>
              <w:t>生产遥测</w:t>
            </w:r>
          </w:p>
        </w:tc>
        <w:tc>
          <w:tcPr>
            <w:tcW w:type="dxa" w:w="3744"/>
            <w:vAlign w:val="center"/>
            <w:tcMar>
              <w:top w:w="90" w:type="dxa"/>
              <w:start w:w="100" w:type="dxa"/>
              <w:bottom w:w="90" w:type="dxa"/>
              <w:end w:w="100" w:type="dxa"/>
            </w:tcMar>
            <w:shd w:fill="F4F7FA"/>
          </w:tcPr>
          <w:p>
            <w:pPr>
              <w:spacing w:after="0" w:line="240" w:lineRule="auto"/>
            </w:pPr>
            <w:r>
              <w:rPr>
                <w:sz w:val="16"/>
              </w:rPr>
              <w:t>OpenTelemetry SDK、Prometheus/Grafana、集中日志与告警</w:t>
            </w:r>
          </w:p>
        </w:tc>
        <w:tc>
          <w:tcPr>
            <w:tcW w:type="dxa" w:w="2736"/>
            <w:vAlign w:val="center"/>
            <w:tcMar>
              <w:top w:w="90" w:type="dxa"/>
              <w:start w:w="100" w:type="dxa"/>
              <w:bottom w:w="90" w:type="dxa"/>
              <w:end w:w="100" w:type="dxa"/>
            </w:tcMar>
            <w:shd w:fill="F4F7FA"/>
          </w:tcPr>
          <w:p>
            <w:pPr>
              <w:spacing w:after="0" w:line="240" w:lineRule="auto"/>
            </w:pPr>
            <w:r>
              <w:rPr>
                <w:sz w:val="16"/>
              </w:rPr>
              <w:t>跨请求 Trace 贯通；SLO/告警有值班处理手册</w:t>
            </w:r>
          </w:p>
        </w:tc>
      </w:tr>
      <w:tr>
        <w:trPr>
          <w:cantSplit/>
        </w:trPr>
        <w:tc>
          <w:tcPr>
            <w:tcW w:type="dxa" w:w="936"/>
            <w:vAlign w:val="center"/>
            <w:tcMar>
              <w:top w:w="90" w:type="dxa"/>
              <w:start w:w="100" w:type="dxa"/>
              <w:bottom w:w="90" w:type="dxa"/>
              <w:end w:w="100" w:type="dxa"/>
            </w:tcMar>
          </w:tcPr>
          <w:p>
            <w:pPr>
              <w:spacing w:after="0" w:line="240" w:lineRule="auto"/>
            </w:pPr>
            <w:r>
              <w:rPr>
                <w:sz w:val="16"/>
              </w:rPr>
              <w:t>P1</w:t>
            </w:r>
          </w:p>
        </w:tc>
        <w:tc>
          <w:tcPr>
            <w:tcW w:type="dxa" w:w="1800"/>
            <w:vAlign w:val="center"/>
            <w:tcMar>
              <w:top w:w="90" w:type="dxa"/>
              <w:start w:w="100" w:type="dxa"/>
              <w:bottom w:w="90" w:type="dxa"/>
              <w:end w:w="100" w:type="dxa"/>
            </w:tcMar>
          </w:tcPr>
          <w:p>
            <w:pPr>
              <w:spacing w:after="0" w:line="240" w:lineRule="auto"/>
            </w:pPr>
            <w:r>
              <w:rPr>
                <w:sz w:val="16"/>
              </w:rPr>
              <w:t>前端自动保存与冲突体验</w:t>
            </w:r>
          </w:p>
        </w:tc>
        <w:tc>
          <w:tcPr>
            <w:tcW w:type="dxa" w:w="3744"/>
            <w:vAlign w:val="center"/>
            <w:tcMar>
              <w:top w:w="90" w:type="dxa"/>
              <w:start w:w="100" w:type="dxa"/>
              <w:bottom w:w="90" w:type="dxa"/>
              <w:end w:w="100" w:type="dxa"/>
            </w:tcMar>
          </w:tcPr>
          <w:p>
            <w:pPr>
              <w:spacing w:after="0" w:line="240" w:lineRule="auto"/>
            </w:pPr>
            <w:r>
              <w:rPr>
                <w:sz w:val="16"/>
              </w:rPr>
              <w:t>防抖队列、保存状态、重试、恢复本地草稿、变更 diff</w:t>
            </w:r>
          </w:p>
        </w:tc>
        <w:tc>
          <w:tcPr>
            <w:tcW w:type="dxa" w:w="2736"/>
            <w:vAlign w:val="center"/>
            <w:tcMar>
              <w:top w:w="90" w:type="dxa"/>
              <w:start w:w="100" w:type="dxa"/>
              <w:bottom w:w="90" w:type="dxa"/>
              <w:end w:w="100" w:type="dxa"/>
            </w:tcMar>
          </w:tcPr>
          <w:p>
            <w:pPr>
              <w:spacing w:after="0" w:line="240" w:lineRule="auto"/>
            </w:pPr>
            <w:r>
              <w:rPr>
                <w:sz w:val="16"/>
              </w:rPr>
              <w:t>网络中断和并发冲突场景通过浏览器 E2E</w:t>
            </w:r>
          </w:p>
        </w:tc>
      </w:tr>
      <w:tr>
        <w:trPr>
          <w:cantSplit/>
        </w:trPr>
        <w:tc>
          <w:tcPr>
            <w:tcW w:type="dxa" w:w="936"/>
            <w:vAlign w:val="center"/>
            <w:tcMar>
              <w:top w:w="90" w:type="dxa"/>
              <w:start w:w="100" w:type="dxa"/>
              <w:bottom w:w="90" w:type="dxa"/>
              <w:end w:w="100" w:type="dxa"/>
            </w:tcMar>
            <w:shd w:fill="F4F7FA"/>
          </w:tcPr>
          <w:p>
            <w:pPr>
              <w:spacing w:after="0" w:line="240" w:lineRule="auto"/>
            </w:pPr>
            <w:r>
              <w:rPr>
                <w:sz w:val="16"/>
              </w:rPr>
              <w:t>P1</w:t>
            </w:r>
          </w:p>
        </w:tc>
        <w:tc>
          <w:tcPr>
            <w:tcW w:type="dxa" w:w="1800"/>
            <w:vAlign w:val="center"/>
            <w:tcMar>
              <w:top w:w="90" w:type="dxa"/>
              <w:start w:w="100" w:type="dxa"/>
              <w:bottom w:w="90" w:type="dxa"/>
              <w:end w:w="100" w:type="dxa"/>
            </w:tcMar>
            <w:shd w:fill="F4F7FA"/>
          </w:tcPr>
          <w:p>
            <w:pPr>
              <w:spacing w:after="0" w:line="240" w:lineRule="auto"/>
            </w:pPr>
            <w:r>
              <w:rPr>
                <w:sz w:val="16"/>
              </w:rPr>
              <w:t>引擎集成测试</w:t>
            </w:r>
          </w:p>
        </w:tc>
        <w:tc>
          <w:tcPr>
            <w:tcW w:type="dxa" w:w="3744"/>
            <w:vAlign w:val="center"/>
            <w:tcMar>
              <w:top w:w="90" w:type="dxa"/>
              <w:start w:w="100" w:type="dxa"/>
              <w:bottom w:w="90" w:type="dxa"/>
              <w:end w:w="100" w:type="dxa"/>
            </w:tcMar>
            <w:shd w:fill="F4F7FA"/>
          </w:tcPr>
          <w:p>
            <w:pPr>
              <w:spacing w:after="0" w:line="240" w:lineRule="auto"/>
            </w:pPr>
            <w:r>
              <w:rPr>
                <w:sz w:val="16"/>
              </w:rPr>
              <w:t>PostgreSQL/MySQL/Hive 版本矩阵，生成 DDL 后在真实引擎验证</w:t>
            </w:r>
          </w:p>
        </w:tc>
        <w:tc>
          <w:tcPr>
            <w:tcW w:type="dxa" w:w="2736"/>
            <w:vAlign w:val="center"/>
            <w:tcMar>
              <w:top w:w="90" w:type="dxa"/>
              <w:start w:w="100" w:type="dxa"/>
              <w:bottom w:w="90" w:type="dxa"/>
              <w:end w:w="100" w:type="dxa"/>
            </w:tcMar>
            <w:shd w:fill="F4F7FA"/>
          </w:tcPr>
          <w:p>
            <w:pPr>
              <w:spacing w:after="0" w:line="240" w:lineRule="auto"/>
            </w:pPr>
            <w:r>
              <w:rPr>
                <w:sz w:val="16"/>
              </w:rPr>
              <w:t>所有支持能力有自动化用例和限制文档</w:t>
            </w:r>
          </w:p>
        </w:tc>
      </w:tr>
      <w:tr>
        <w:trPr>
          <w:cantSplit/>
        </w:trPr>
        <w:tc>
          <w:tcPr>
            <w:tcW w:type="dxa" w:w="936"/>
            <w:vAlign w:val="center"/>
            <w:tcMar>
              <w:top w:w="90" w:type="dxa"/>
              <w:start w:w="100" w:type="dxa"/>
              <w:bottom w:w="90" w:type="dxa"/>
              <w:end w:w="100" w:type="dxa"/>
            </w:tcMar>
          </w:tcPr>
          <w:p>
            <w:pPr>
              <w:spacing w:after="0" w:line="240" w:lineRule="auto"/>
            </w:pPr>
            <w:r>
              <w:rPr>
                <w:sz w:val="16"/>
              </w:rPr>
              <w:t>P2</w:t>
            </w:r>
          </w:p>
        </w:tc>
        <w:tc>
          <w:tcPr>
            <w:tcW w:type="dxa" w:w="1800"/>
            <w:vAlign w:val="center"/>
            <w:tcMar>
              <w:top w:w="90" w:type="dxa"/>
              <w:start w:w="100" w:type="dxa"/>
              <w:bottom w:w="90" w:type="dxa"/>
              <w:end w:w="100" w:type="dxa"/>
            </w:tcMar>
          </w:tcPr>
          <w:p>
            <w:pPr>
              <w:spacing w:after="0" w:line="240" w:lineRule="auto"/>
            </w:pPr>
            <w:r>
              <w:rPr>
                <w:sz w:val="16"/>
              </w:rPr>
              <w:t>平台横向扩展</w:t>
            </w:r>
          </w:p>
        </w:tc>
        <w:tc>
          <w:tcPr>
            <w:tcW w:type="dxa" w:w="3744"/>
            <w:vAlign w:val="center"/>
            <w:tcMar>
              <w:top w:w="90" w:type="dxa"/>
              <w:start w:w="100" w:type="dxa"/>
              <w:bottom w:w="90" w:type="dxa"/>
              <w:end w:w="100" w:type="dxa"/>
            </w:tcMar>
          </w:tcPr>
          <w:p>
            <w:pPr>
              <w:spacing w:after="0" w:line="240" w:lineRule="auto"/>
            </w:pPr>
            <w:r>
              <w:rPr>
                <w:sz w:val="16"/>
              </w:rPr>
              <w:t>ETL 元数据、数据质量规则、列级血缘、资产目录</w:t>
            </w:r>
          </w:p>
        </w:tc>
        <w:tc>
          <w:tcPr>
            <w:tcW w:type="dxa" w:w="2736"/>
            <w:vAlign w:val="center"/>
            <w:tcMar>
              <w:top w:w="90" w:type="dxa"/>
              <w:start w:w="100" w:type="dxa"/>
              <w:bottom w:w="90" w:type="dxa"/>
              <w:end w:w="100" w:type="dxa"/>
            </w:tcMar>
          </w:tcPr>
          <w:p>
            <w:pPr>
              <w:spacing w:after="0" w:line="240" w:lineRule="auto"/>
            </w:pPr>
            <w:r>
              <w:rPr>
                <w:sz w:val="16"/>
              </w:rPr>
              <w:t>每个模块共用模型/字段稳定 ID，事件与权限框架一致</w:t>
            </w:r>
          </w:p>
        </w:tc>
      </w:tr>
    </w:tbl>
    <w:p>
      <w:pPr>
        <w:spacing w:after="20"/>
      </w:pPr>
    </w:p>
    <w:p>
      <w:pPr>
        <w:pStyle w:val="Heading1"/>
        <w:keepNext/>
      </w:pPr>
      <w:r>
        <w:t>50. V0.5 交付验收清单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vAlign w:val="center"/>
            <w:tcMar>
              <w:top w:w="90" w:type="dxa"/>
              <w:start w:w="100" w:type="dxa"/>
              <w:bottom w:w="90" w:type="dxa"/>
              <w:end w:w="100" w:type="dxa"/>
            </w:tcMar>
          </w:tcPr>
          <w:p>
            <w:pPr>
              <w:spacing w:after="0"/>
            </w:pPr>
            <w:r>
              <w:rPr>
                <w:b/>
                <w:color w:val="FFFFFF"/>
                <w:sz w:val="17"/>
              </w:rPr>
              <w:t>检查项</w:t>
            </w:r>
          </w:p>
        </w:tc>
        <w:tc>
          <w:tcPr>
            <w:tcW w:type="dxa" w:w="5472"/>
            <w:shd w:fill="17365D"/>
            <w:vAlign w:val="center"/>
            <w:tcMar>
              <w:top w:w="90" w:type="dxa"/>
              <w:start w:w="100" w:type="dxa"/>
              <w:bottom w:w="90" w:type="dxa"/>
              <w:end w:w="100" w:type="dxa"/>
            </w:tcMar>
          </w:tcPr>
          <w:p>
            <w:pPr>
              <w:spacing w:after="0"/>
            </w:pPr>
            <w:r>
              <w:rPr>
                <w:b/>
                <w:color w:val="FFFFFF"/>
                <w:sz w:val="17"/>
              </w:rPr>
              <w:t>通过标准</w:t>
            </w:r>
          </w:p>
        </w:tc>
        <w:tc>
          <w:tcPr>
            <w:tcW w:type="dxa" w:w="1656"/>
            <w:shd w:fill="17365D"/>
            <w:vAlign w:val="center"/>
            <w:tcMar>
              <w:top w:w="90" w:type="dxa"/>
              <w:start w:w="100" w:type="dxa"/>
              <w:bottom w:w="90" w:type="dxa"/>
              <w:end w:w="100" w:type="dxa"/>
            </w:tcMar>
          </w:tcPr>
          <w:p>
            <w:pPr>
              <w:spacing w:after="0"/>
            </w:pPr>
            <w:r>
              <w:rPr>
                <w:b/>
                <w:color w:val="FFFFFF"/>
                <w:sz w:val="17"/>
              </w:rPr>
              <w:t>状态</w:t>
            </w:r>
          </w:p>
        </w:tc>
      </w:tr>
      <w:tr>
        <w:trPr>
          <w:cantSplit/>
        </w:trPr>
        <w:tc>
          <w:tcPr>
            <w:tcW w:type="dxa" w:w="2088"/>
            <w:vAlign w:val="center"/>
            <w:tcMar>
              <w:top w:w="90" w:type="dxa"/>
              <w:start w:w="100" w:type="dxa"/>
              <w:bottom w:w="90" w:type="dxa"/>
              <w:end w:w="100" w:type="dxa"/>
            </w:tcMar>
          </w:tcPr>
          <w:p>
            <w:pPr>
              <w:spacing w:after="0" w:line="240" w:lineRule="auto"/>
            </w:pPr>
            <w:r>
              <w:rPr>
                <w:sz w:val="17"/>
              </w:rPr>
              <w:t>Alembic 初始 revision</w:t>
            </w:r>
          </w:p>
        </w:tc>
        <w:tc>
          <w:tcPr>
            <w:tcW w:type="dxa" w:w="5472"/>
            <w:vAlign w:val="center"/>
            <w:tcMar>
              <w:top w:w="90" w:type="dxa"/>
              <w:start w:w="100" w:type="dxa"/>
              <w:bottom w:w="90" w:type="dxa"/>
              <w:end w:w="100" w:type="dxa"/>
            </w:tcMar>
          </w:tcPr>
          <w:p>
            <w:pPr>
              <w:spacing w:after="0" w:line="240" w:lineRule="auto"/>
            </w:pPr>
            <w:r>
              <w:rPr>
                <w:sz w:val="17"/>
              </w:rPr>
              <w:t>空库可执行 upgrade head；current 返回 d50979bffe74</w:t>
            </w:r>
          </w:p>
        </w:tc>
        <w:tc>
          <w:tcPr>
            <w:tcW w:type="dxa" w:w="1656"/>
            <w:vAlign w:val="center"/>
            <w:tcMar>
              <w:top w:w="90" w:type="dxa"/>
              <w:start w:w="100" w:type="dxa"/>
              <w:bottom w:w="90" w:type="dxa"/>
              <w:end w:w="100" w:type="dxa"/>
            </w:tcMar>
          </w:tcPr>
          <w:p>
            <w:pPr>
              <w:spacing w:after="0" w:line="240" w:lineRule="auto"/>
            </w:pPr>
            <w:r>
              <w:rPr>
                <w:sz w:val="17"/>
              </w:rPr>
              <w:t>通过（SQLite）</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自动/手动迁移模式</w:t>
            </w:r>
          </w:p>
        </w:tc>
        <w:tc>
          <w:tcPr>
            <w:tcW w:type="dxa" w:w="5472"/>
            <w:vAlign w:val="center"/>
            <w:tcMar>
              <w:top w:w="90" w:type="dxa"/>
              <w:start w:w="100" w:type="dxa"/>
              <w:bottom w:w="90" w:type="dxa"/>
              <w:end w:w="100" w:type="dxa"/>
            </w:tcMar>
            <w:shd w:fill="F4F7FA"/>
          </w:tcPr>
          <w:p>
            <w:pPr>
              <w:spacing w:after="0" w:line="240" w:lineRule="auto"/>
            </w:pPr>
            <w:r>
              <w:rPr>
                <w:sz w:val="17"/>
              </w:rPr>
              <w:t>AUTO_MIGRATE=false 且 schema 非 head 时不能启动；迁移后就绪</w:t>
            </w:r>
          </w:p>
        </w:tc>
        <w:tc>
          <w:tcPr>
            <w:tcW w:type="dxa" w:w="1656"/>
            <w:vAlign w:val="center"/>
            <w:tcMar>
              <w:top w:w="90" w:type="dxa"/>
              <w:start w:w="100" w:type="dxa"/>
              <w:bottom w:w="90" w:type="dxa"/>
              <w:end w:w="100" w:type="dxa"/>
            </w:tcMar>
            <w:shd w:fill="F4F7FA"/>
          </w:tcPr>
          <w:p>
            <w:pPr>
              <w:spacing w:after="0" w:line="240" w:lineRule="auto"/>
            </w:pPr>
            <w:r>
              <w:rPr>
                <w:sz w:val="17"/>
              </w:rPr>
              <w:t>代码已实现并覆盖 ready revision；完整外部运维流程待验</w:t>
            </w:r>
          </w:p>
        </w:tc>
      </w:tr>
      <w:tr>
        <w:trPr>
          <w:cantSplit/>
        </w:trPr>
        <w:tc>
          <w:tcPr>
            <w:tcW w:type="dxa" w:w="2088"/>
            <w:vAlign w:val="center"/>
            <w:tcMar>
              <w:top w:w="90" w:type="dxa"/>
              <w:start w:w="100" w:type="dxa"/>
              <w:bottom w:w="90" w:type="dxa"/>
              <w:end w:w="100" w:type="dxa"/>
            </w:tcMar>
          </w:tcPr>
          <w:p>
            <w:pPr>
              <w:spacing w:after="0" w:line="240" w:lineRule="auto"/>
            </w:pPr>
            <w:r>
              <w:rPr>
                <w:sz w:val="17"/>
              </w:rPr>
              <w:t>旧库处理</w:t>
            </w:r>
          </w:p>
        </w:tc>
        <w:tc>
          <w:tcPr>
            <w:tcW w:type="dxa" w:w="5472"/>
            <w:vAlign w:val="center"/>
            <w:tcMar>
              <w:top w:w="90" w:type="dxa"/>
              <w:start w:w="100" w:type="dxa"/>
              <w:bottom w:w="90" w:type="dxa"/>
              <w:end w:w="100" w:type="dxa"/>
            </w:tcMar>
          </w:tcPr>
          <w:p>
            <w:pPr>
              <w:spacing w:after="0" w:line="240" w:lineRule="auto"/>
            </w:pPr>
            <w:r>
              <w:rPr>
                <w:sz w:val="17"/>
              </w:rPr>
              <w:t>未版本化且有业务表时默认拒绝；显式接管需配置开关并留存备份</w:t>
            </w:r>
          </w:p>
        </w:tc>
        <w:tc>
          <w:tcPr>
            <w:tcW w:type="dxa" w:w="1656"/>
            <w:vAlign w:val="center"/>
            <w:tcMar>
              <w:top w:w="90" w:type="dxa"/>
              <w:start w:w="100" w:type="dxa"/>
              <w:bottom w:w="90" w:type="dxa"/>
              <w:end w:w="100" w:type="dxa"/>
            </w:tcMar>
          </w:tcPr>
          <w:p>
            <w:pPr>
              <w:spacing w:after="0" w:line="240" w:lineRule="auto"/>
            </w:pPr>
            <w:r>
              <w:rPr>
                <w:sz w:val="17"/>
              </w:rPr>
              <w:t>代码已实现；完整结构核验仍需人工负责</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测试回归</w:t>
            </w:r>
          </w:p>
        </w:tc>
        <w:tc>
          <w:tcPr>
            <w:tcW w:type="dxa" w:w="5472"/>
            <w:vAlign w:val="center"/>
            <w:tcMar>
              <w:top w:w="90" w:type="dxa"/>
              <w:start w:w="100" w:type="dxa"/>
              <w:bottom w:w="90" w:type="dxa"/>
              <w:end w:w="100" w:type="dxa"/>
            </w:tcMar>
            <w:shd w:fill="F4F7FA"/>
          </w:tcPr>
          <w:p>
            <w:pPr>
              <w:spacing w:after="0" w:line="240" w:lineRule="auto"/>
            </w:pPr>
            <w:r>
              <w:rPr>
                <w:sz w:val="17"/>
              </w:rPr>
              <w:t>pytest -q 为 10 passed</w:t>
            </w:r>
          </w:p>
        </w:tc>
        <w:tc>
          <w:tcPr>
            <w:tcW w:type="dxa" w:w="1656"/>
            <w:vAlign w:val="center"/>
            <w:tcMar>
              <w:top w:w="90" w:type="dxa"/>
              <w:start w:w="100" w:type="dxa"/>
              <w:bottom w:w="90" w:type="dxa"/>
              <w:end w:w="100" w:type="dxa"/>
            </w:tcMar>
            <w:shd w:fill="F4F7FA"/>
          </w:tcPr>
          <w:p>
            <w:pPr>
              <w:spacing w:after="0" w:line="240" w:lineRule="auto"/>
            </w:pPr>
            <w:r>
              <w:rPr>
                <w:sz w:val="17"/>
              </w:rPr>
              <w:t>通过</w:t>
            </w:r>
          </w:p>
        </w:tc>
      </w:tr>
      <w:tr>
        <w:trPr>
          <w:cantSplit/>
        </w:trPr>
        <w:tc>
          <w:tcPr>
            <w:tcW w:type="dxa" w:w="2088"/>
            <w:vAlign w:val="center"/>
            <w:tcMar>
              <w:top w:w="90" w:type="dxa"/>
              <w:start w:w="100" w:type="dxa"/>
              <w:bottom w:w="90" w:type="dxa"/>
              <w:end w:w="100" w:type="dxa"/>
            </w:tcMar>
          </w:tcPr>
          <w:p>
            <w:pPr>
              <w:spacing w:after="0" w:line="240" w:lineRule="auto"/>
            </w:pPr>
            <w:r>
              <w:rPr>
                <w:sz w:val="17"/>
              </w:rPr>
              <w:t>SQLite 关系约束</w:t>
            </w:r>
          </w:p>
        </w:tc>
        <w:tc>
          <w:tcPr>
            <w:tcW w:type="dxa" w:w="5472"/>
            <w:vAlign w:val="center"/>
            <w:tcMar>
              <w:top w:w="90" w:type="dxa"/>
              <w:start w:w="100" w:type="dxa"/>
              <w:bottom w:w="90" w:type="dxa"/>
              <w:end w:w="100" w:type="dxa"/>
            </w:tcMar>
          </w:tcPr>
          <w:p>
            <w:pPr>
              <w:spacing w:after="0" w:line="240" w:lineRule="auto"/>
            </w:pPr>
            <w:r>
              <w:rPr>
                <w:sz w:val="17"/>
              </w:rPr>
              <w:t>连接时 PRAGMA foreign_keys=1</w:t>
            </w:r>
          </w:p>
        </w:tc>
        <w:tc>
          <w:tcPr>
            <w:tcW w:type="dxa" w:w="1656"/>
            <w:vAlign w:val="center"/>
            <w:tcMar>
              <w:top w:w="90" w:type="dxa"/>
              <w:start w:w="100" w:type="dxa"/>
              <w:bottom w:w="90" w:type="dxa"/>
              <w:end w:w="100" w:type="dxa"/>
            </w:tcMar>
          </w:tcPr>
          <w:p>
            <w:pPr>
              <w:spacing w:after="0" w:line="240" w:lineRule="auto"/>
            </w:pPr>
            <w:r>
              <w:rPr>
                <w:sz w:val="17"/>
              </w:rPr>
              <w:t>通过</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健康检查</w:t>
            </w:r>
          </w:p>
        </w:tc>
        <w:tc>
          <w:tcPr>
            <w:tcW w:type="dxa" w:w="5472"/>
            <w:vAlign w:val="center"/>
            <w:tcMar>
              <w:top w:w="90" w:type="dxa"/>
              <w:start w:w="100" w:type="dxa"/>
              <w:bottom w:w="90" w:type="dxa"/>
              <w:end w:w="100" w:type="dxa"/>
            </w:tcMar>
            <w:shd w:fill="F4F7FA"/>
          </w:tcPr>
          <w:p>
            <w:pPr>
              <w:spacing w:after="0" w:line="240" w:lineRule="auto"/>
            </w:pPr>
            <w:r>
              <w:rPr>
                <w:sz w:val="17"/>
              </w:rPr>
              <w:t>live 无 DB 依赖；ready 检查 DB + schema revision</w:t>
            </w:r>
          </w:p>
        </w:tc>
        <w:tc>
          <w:tcPr>
            <w:tcW w:type="dxa" w:w="1656"/>
            <w:vAlign w:val="center"/>
            <w:tcMar>
              <w:top w:w="90" w:type="dxa"/>
              <w:start w:w="100" w:type="dxa"/>
              <w:bottom w:w="90" w:type="dxa"/>
              <w:end w:w="100" w:type="dxa"/>
            </w:tcMar>
            <w:shd w:fill="F4F7FA"/>
          </w:tcPr>
          <w:p>
            <w:pPr>
              <w:spacing w:after="0" w:line="240" w:lineRule="auto"/>
            </w:pPr>
            <w:r>
              <w:rPr>
                <w:sz w:val="17"/>
              </w:rPr>
              <w:t>通过</w:t>
            </w:r>
          </w:p>
        </w:tc>
      </w:tr>
      <w:tr>
        <w:trPr>
          <w:cantSplit/>
        </w:trPr>
        <w:tc>
          <w:tcPr>
            <w:tcW w:type="dxa" w:w="2088"/>
            <w:vAlign w:val="center"/>
            <w:tcMar>
              <w:top w:w="90" w:type="dxa"/>
              <w:start w:w="100" w:type="dxa"/>
              <w:bottom w:w="90" w:type="dxa"/>
              <w:end w:w="100" w:type="dxa"/>
            </w:tcMar>
          </w:tcPr>
          <w:p>
            <w:pPr>
              <w:spacing w:after="0" w:line="240" w:lineRule="auto"/>
            </w:pPr>
            <w:r>
              <w:rPr>
                <w:sz w:val="17"/>
              </w:rPr>
              <w:t>错误关联</w:t>
            </w:r>
          </w:p>
        </w:tc>
        <w:tc>
          <w:tcPr>
            <w:tcW w:type="dxa" w:w="5472"/>
            <w:vAlign w:val="center"/>
            <w:tcMar>
              <w:top w:w="90" w:type="dxa"/>
              <w:start w:w="100" w:type="dxa"/>
              <w:bottom w:w="90" w:type="dxa"/>
              <w:end w:w="100" w:type="dxa"/>
            </w:tcMar>
          </w:tcPr>
          <w:p>
            <w:pPr>
              <w:spacing w:after="0" w:line="240" w:lineRule="auto"/>
            </w:pPr>
            <w:r>
              <w:rPr>
                <w:sz w:val="17"/>
              </w:rPr>
              <w:t>失败响应 body 与 X-Request-ID 一致</w:t>
            </w:r>
          </w:p>
        </w:tc>
        <w:tc>
          <w:tcPr>
            <w:tcW w:type="dxa" w:w="1656"/>
            <w:vAlign w:val="center"/>
            <w:tcMar>
              <w:top w:w="90" w:type="dxa"/>
              <w:start w:w="100" w:type="dxa"/>
              <w:bottom w:w="90" w:type="dxa"/>
              <w:end w:w="100" w:type="dxa"/>
            </w:tcMar>
          </w:tcPr>
          <w:p>
            <w:pPr>
              <w:spacing w:after="0" w:line="240" w:lineRule="auto"/>
            </w:pPr>
            <w:r>
              <w:rPr>
                <w:sz w:val="17"/>
              </w:rPr>
              <w:t>通过</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安全默认</w:t>
            </w:r>
          </w:p>
        </w:tc>
        <w:tc>
          <w:tcPr>
            <w:tcW w:type="dxa" w:w="5472"/>
            <w:vAlign w:val="center"/>
            <w:tcMar>
              <w:top w:w="90" w:type="dxa"/>
              <w:start w:w="100" w:type="dxa"/>
              <w:bottom w:w="90" w:type="dxa"/>
              <w:end w:w="100" w:type="dxa"/>
            </w:tcMar>
            <w:shd w:fill="F4F7FA"/>
          </w:tcPr>
          <w:p>
            <w:pPr>
              <w:spacing w:after="0" w:line="240" w:lineRule="auto"/>
            </w:pPr>
            <w:r>
              <w:rPr>
                <w:sz w:val="17"/>
              </w:rPr>
              <w:t>APP_ENV=production 启动被阻断；demo actor 仅开发环境</w:t>
            </w:r>
          </w:p>
        </w:tc>
        <w:tc>
          <w:tcPr>
            <w:tcW w:type="dxa" w:w="1656"/>
            <w:vAlign w:val="center"/>
            <w:tcMar>
              <w:top w:w="90" w:type="dxa"/>
              <w:start w:w="100" w:type="dxa"/>
              <w:bottom w:w="90" w:type="dxa"/>
              <w:end w:w="100" w:type="dxa"/>
            </w:tcMar>
            <w:shd w:fill="F4F7FA"/>
          </w:tcPr>
          <w:p>
            <w:pPr>
              <w:spacing w:after="0" w:line="240" w:lineRule="auto"/>
            </w:pPr>
            <w:r>
              <w:rPr>
                <w:sz w:val="17"/>
              </w:rPr>
              <w:t>通过（配置层级），真实认证未实现</w:t>
            </w:r>
          </w:p>
        </w:tc>
      </w:tr>
      <w:tr>
        <w:trPr>
          <w:cantSplit/>
        </w:trPr>
        <w:tc>
          <w:tcPr>
            <w:tcW w:type="dxa" w:w="2088"/>
            <w:vAlign w:val="center"/>
            <w:tcMar>
              <w:top w:w="90" w:type="dxa"/>
              <w:start w:w="100" w:type="dxa"/>
              <w:bottom w:w="90" w:type="dxa"/>
              <w:end w:w="100" w:type="dxa"/>
            </w:tcMar>
          </w:tcPr>
          <w:p>
            <w:pPr>
              <w:spacing w:after="0" w:line="240" w:lineRule="auto"/>
            </w:pPr>
            <w:r>
              <w:rPr>
                <w:sz w:val="17"/>
              </w:rPr>
              <w:t>Docker 迁移文件</w:t>
            </w:r>
          </w:p>
        </w:tc>
        <w:tc>
          <w:tcPr>
            <w:tcW w:type="dxa" w:w="5472"/>
            <w:vAlign w:val="center"/>
            <w:tcMar>
              <w:top w:w="90" w:type="dxa"/>
              <w:start w:w="100" w:type="dxa"/>
              <w:bottom w:w="90" w:type="dxa"/>
              <w:end w:w="100" w:type="dxa"/>
            </w:tcMar>
          </w:tcPr>
          <w:p>
            <w:pPr>
              <w:spacing w:after="0" w:line="240" w:lineRule="auto"/>
            </w:pPr>
            <w:r>
              <w:rPr>
                <w:sz w:val="17"/>
              </w:rPr>
              <w:t>镜像包含 migrations 与 alembic.ini，容器非 root 运行</w:t>
            </w:r>
          </w:p>
        </w:tc>
        <w:tc>
          <w:tcPr>
            <w:tcW w:type="dxa" w:w="1656"/>
            <w:vAlign w:val="center"/>
            <w:tcMar>
              <w:top w:w="90" w:type="dxa"/>
              <w:start w:w="100" w:type="dxa"/>
              <w:bottom w:w="90" w:type="dxa"/>
              <w:end w:w="100" w:type="dxa"/>
            </w:tcMar>
          </w:tcPr>
          <w:p>
            <w:pPr>
              <w:spacing w:after="0" w:line="240" w:lineRule="auto"/>
            </w:pPr>
            <w:r>
              <w:rPr>
                <w:sz w:val="17"/>
              </w:rPr>
              <w:t>静态配置已检查；需实际 Docker 构建环境复验</w:t>
            </w:r>
          </w:p>
        </w:tc>
      </w:tr>
      <w:tr>
        <w:trPr>
          <w:cantSplit/>
        </w:trPr>
        <w:tc>
          <w:tcPr>
            <w:tcW w:type="dxa" w:w="2088"/>
            <w:vAlign w:val="center"/>
            <w:tcMar>
              <w:top w:w="90" w:type="dxa"/>
              <w:start w:w="100" w:type="dxa"/>
              <w:bottom w:w="90" w:type="dxa"/>
              <w:end w:w="100" w:type="dxa"/>
            </w:tcMar>
            <w:shd w:fill="F4F7FA"/>
          </w:tcPr>
          <w:p>
            <w:pPr>
              <w:spacing w:after="0" w:line="240" w:lineRule="auto"/>
            </w:pPr>
            <w:r>
              <w:rPr>
                <w:sz w:val="17"/>
              </w:rPr>
              <w:t>真实 PostgreSQL/引擎</w:t>
            </w:r>
          </w:p>
        </w:tc>
        <w:tc>
          <w:tcPr>
            <w:tcW w:type="dxa" w:w="5472"/>
            <w:vAlign w:val="center"/>
            <w:tcMar>
              <w:top w:w="90" w:type="dxa"/>
              <w:start w:w="100" w:type="dxa"/>
              <w:bottom w:w="90" w:type="dxa"/>
              <w:end w:w="100" w:type="dxa"/>
            </w:tcMar>
            <w:shd w:fill="F4F7FA"/>
          </w:tcPr>
          <w:p>
            <w:pPr>
              <w:spacing w:after="0" w:line="240" w:lineRule="auto"/>
            </w:pPr>
            <w:r>
              <w:rPr>
                <w:sz w:val="17"/>
              </w:rPr>
              <w:t>真实服务集成与 DDL 执行</w:t>
            </w:r>
          </w:p>
        </w:tc>
        <w:tc>
          <w:tcPr>
            <w:tcW w:type="dxa" w:w="1656"/>
            <w:vAlign w:val="center"/>
            <w:tcMar>
              <w:top w:w="90" w:type="dxa"/>
              <w:start w:w="100" w:type="dxa"/>
              <w:bottom w:w="90" w:type="dxa"/>
              <w:end w:w="100" w:type="dxa"/>
            </w:tcMar>
            <w:shd w:fill="F4F7FA"/>
          </w:tcPr>
          <w:p>
            <w:pPr>
              <w:spacing w:after="0" w:line="240" w:lineRule="auto"/>
            </w:pPr>
            <w:r>
              <w:rPr>
                <w:sz w:val="17"/>
              </w:rPr>
              <w:t>未完成，禁止据此上线</w:t>
            </w:r>
          </w:p>
        </w:tc>
      </w:tr>
    </w:tbl>
    <w:p>
      <w:pPr>
        <w:spacing w:after="20"/>
      </w:pPr>
    </w:p>
    <w:p>
      <w:pPr>
        <w:pStyle w:val="Heading1"/>
        <w:keepNext/>
      </w:pPr>
      <w:r>
        <w:t>附录 K. 参考资料与实施说明</w:t>
      </w:r>
    </w:p>
    <w:p>
      <w:pPr>
        <w:spacing w:after="100" w:line="269" w:lineRule="auto"/>
      </w:pPr>
      <w:r>
        <w:t>Alembic 官方文档说明，autogenerate 通过比较数据库 schema 与应用 metadata 生成候选迁移，并明确要求人工审查生成结果；它并非对所有 schema 差异的完美自动识别器。本文迁移规约遵循这一原则。</w:t>
      </w:r>
    </w:p>
    <w:p>
      <w:pPr>
        <w:spacing w:after="100" w:line="269" w:lineRule="auto"/>
      </w:pPr>
      <w:r>
        <w:t>参考：Alembic - Auto Generating Migrations，https://alembic.sqlalchemy.org/en/latest/autogenerate.html（访问日期：2026-10-21）。</w:t>
      </w:r>
    </w:p>
    <w:p>
      <w:pPr>
        <w:spacing w:after="100" w:line="269" w:lineRule="auto"/>
      </w:pPr>
      <w:r>
        <w:t>参考：Alembic - Tutorial / Migration Environment，https://alembic.sqlalchemy.org/en/latest/tutorial.html（访问日期：2026-10-21）。</w:t>
      </w:r>
    </w:p>
    <w:p>
      <w:pPr>
        <w:spacing w:after="100" w:line="269" w:lineRule="auto"/>
      </w:pPr>
      <w:r>
        <w:t>工程目录中的 docs/ADR-001-schema-scope-v05.md、docs/工程化运行手册_V0.5.md 与 docs/验证结果与交付边界_V0.5.md 为本补充章节的可单独维护版本。</w:t>
      </w:r>
    </w:p>
    <w:p>
      <w:r>
        <w:br w:type="page"/>
      </w:r>
    </w:p>
    <w:p>
      <w:pPr>
        <w:spacing w:before="700"/>
        <w:jc w:val="center"/>
      </w:pPr>
      <w:r>
        <w:rPr>
          <w:rFonts w:ascii="Microsoft YaHei" w:hAnsi="Microsoft YaHei" w:eastAsia="Microsoft YaHei"/>
          <w:b/>
          <w:color w:val="17365D"/>
          <w:sz w:val="46"/>
        </w:rPr>
        <w:t>V0.6 业务追溯与模型关系增强补充说明</w:t>
      </w:r>
    </w:p>
    <w:p>
      <w:pPr>
        <w:jc w:val="center"/>
      </w:pPr>
      <w:r>
        <w:rPr>
          <w:color w:val="5A646E"/>
          <w:sz w:val="24"/>
        </w:rPr>
        <w:t>把“需求—主题域—模型—字段—版本”连接成可追溯的实际工作流</w:t>
      </w:r>
    </w:p>
    <w:p/>
    <w:tbl>
      <w:tblPr>
        <w:tblStyle w:val="TableGrid"/>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60"/>
            </w:pPr>
            <w:r>
              <w:rPr>
                <w:b/>
                <w:color w:val="7D5000"/>
              </w:rPr>
              <w:t>V0.6 范围说明</w:t>
            </w:r>
          </w:p>
          <w:p>
            <w:pPr>
              <w:spacing w:after="0"/>
            </w:pPr>
            <w:r>
              <w:rPr>
                <w:sz w:val="18"/>
              </w:rPr>
              <w:t>本轮将业务需求、主题域、需求与模型关联、模型间关系、版本差异和已发布模型变更草稿落实到 MVP API、界面、SQLAlchemy 实体与 Alembic 迁移。它仍然没有实现正式企业身份认证、资源级 RBAC/ABAC、完整可视化 ERD 画布或真实目标引擎 SQL 执行。</w:t>
            </w:r>
          </w:p>
        </w:tc>
      </w:tr>
    </w:tbl>
    <w:p>
      <w:pPr>
        <w:spacing w:after="20"/>
      </w:pPr>
    </w:p>
    <w:p>
      <w:pPr>
        <w:pStyle w:val="Heading1"/>
        <w:keepNext/>
      </w:pPr>
      <w:r>
        <w:t>51. V0.6 建设目标与范围</w:t>
      </w:r>
    </w:p>
    <w:p>
      <w:pPr>
        <w:spacing w:after="100" w:line="269" w:lineRule="auto"/>
      </w:pPr>
      <w:r>
        <w:t>V0.5 已建立工程化基础，但主要围绕“模型本身”构建工作流，业务需求、主题域与模型间关系还停留在前期目标设计。V0.6 将产品纵向闭环向业务上游和模型结构关系延伸，使用户能够记录建模输入、维护业务归属、表达模型依赖，并比较正式版本变化。</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365D"/>
            <w:vAlign w:val="center"/>
            <w:tcMar>
              <w:top w:w="90" w:type="dxa"/>
              <w:start w:w="100" w:type="dxa"/>
              <w:bottom w:w="90" w:type="dxa"/>
              <w:end w:w="100" w:type="dxa"/>
            </w:tcMar>
          </w:tcPr>
          <w:p>
            <w:pPr>
              <w:spacing w:after="0"/>
            </w:pPr>
            <w:r>
              <w:rPr>
                <w:b/>
                <w:color w:val="FFFFFF"/>
                <w:sz w:val="16"/>
              </w:rPr>
              <w:t>能力域</w:t>
            </w:r>
          </w:p>
        </w:tc>
        <w:tc>
          <w:tcPr>
            <w:tcW w:type="dxa" w:w="3960"/>
            <w:shd w:fill="17365D"/>
            <w:vAlign w:val="center"/>
            <w:tcMar>
              <w:top w:w="90" w:type="dxa"/>
              <w:start w:w="100" w:type="dxa"/>
              <w:bottom w:w="90" w:type="dxa"/>
              <w:end w:w="100" w:type="dxa"/>
            </w:tcMar>
          </w:tcPr>
          <w:p>
            <w:pPr>
              <w:spacing w:after="0"/>
            </w:pPr>
            <w:r>
              <w:rPr>
                <w:b/>
                <w:color w:val="FFFFFF"/>
                <w:sz w:val="16"/>
              </w:rPr>
              <w:t>V0.6 实现范围</w:t>
            </w:r>
          </w:p>
        </w:tc>
        <w:tc>
          <w:tcPr>
            <w:tcW w:type="dxa" w:w="3672"/>
            <w:shd w:fill="17365D"/>
            <w:vAlign w:val="center"/>
            <w:tcMar>
              <w:top w:w="90" w:type="dxa"/>
              <w:start w:w="100" w:type="dxa"/>
              <w:bottom w:w="90" w:type="dxa"/>
              <w:end w:w="100" w:type="dxa"/>
            </w:tcMar>
          </w:tcPr>
          <w:p>
            <w:pPr>
              <w:spacing w:after="0"/>
            </w:pPr>
            <w:r>
              <w:rPr>
                <w:b/>
                <w:color w:val="FFFFFF"/>
                <w:sz w:val="16"/>
              </w:rPr>
              <w:t>本版明确不包含</w:t>
            </w:r>
          </w:p>
        </w:tc>
      </w:tr>
      <w:tr>
        <w:trPr>
          <w:cantSplit/>
        </w:trPr>
        <w:tc>
          <w:tcPr>
            <w:tcW w:type="dxa" w:w="1440"/>
            <w:vAlign w:val="center"/>
            <w:tcMar>
              <w:top w:w="90" w:type="dxa"/>
              <w:start w:w="100" w:type="dxa"/>
              <w:bottom w:w="90" w:type="dxa"/>
              <w:end w:w="100" w:type="dxa"/>
            </w:tcMar>
          </w:tcPr>
          <w:p>
            <w:pPr>
              <w:spacing w:after="0" w:line="240" w:lineRule="auto"/>
            </w:pPr>
            <w:r>
              <w:rPr>
                <w:sz w:val="16"/>
              </w:rPr>
              <w:t>业务需求</w:t>
            </w:r>
          </w:p>
        </w:tc>
        <w:tc>
          <w:tcPr>
            <w:tcW w:type="dxa" w:w="3960"/>
            <w:vAlign w:val="center"/>
            <w:tcMar>
              <w:top w:w="90" w:type="dxa"/>
              <w:start w:w="100" w:type="dxa"/>
              <w:bottom w:w="90" w:type="dxa"/>
              <w:end w:w="100" w:type="dxa"/>
            </w:tcMar>
          </w:tcPr>
          <w:p>
            <w:pPr>
              <w:spacing w:after="0" w:line="240" w:lineRule="auto"/>
            </w:pPr>
            <w:r>
              <w:rPr>
                <w:sz w:val="16"/>
              </w:rPr>
              <w:t>创建/查询需求；服务端 API 支持编辑；维护优先级、业务域、描述、验收口径、负责人和状态</w:t>
            </w:r>
          </w:p>
        </w:tc>
        <w:tc>
          <w:tcPr>
            <w:tcW w:type="dxa" w:w="3672"/>
            <w:vAlign w:val="center"/>
            <w:tcMar>
              <w:top w:w="90" w:type="dxa"/>
              <w:start w:w="100" w:type="dxa"/>
              <w:bottom w:w="90" w:type="dxa"/>
              <w:end w:w="100" w:type="dxa"/>
            </w:tcMar>
          </w:tcPr>
          <w:p>
            <w:pPr>
              <w:spacing w:after="0" w:line="240" w:lineRule="auto"/>
            </w:pPr>
            <w:r>
              <w:rPr>
                <w:sz w:val="16"/>
              </w:rPr>
              <w:t>复杂需求工单流、需求前端详情编辑器、外部系统同步、评论与附件中心</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主题域</w:t>
            </w:r>
          </w:p>
        </w:tc>
        <w:tc>
          <w:tcPr>
            <w:tcW w:type="dxa" w:w="3960"/>
            <w:vAlign w:val="center"/>
            <w:tcMar>
              <w:top w:w="90" w:type="dxa"/>
              <w:start w:w="100" w:type="dxa"/>
              <w:bottom w:w="90" w:type="dxa"/>
              <w:end w:w="100" w:type="dxa"/>
            </w:tcMar>
            <w:shd w:fill="F4F7FA"/>
          </w:tcPr>
          <w:p>
            <w:pPr>
              <w:spacing w:after="0" w:line="240" w:lineRule="auto"/>
            </w:pPr>
            <w:r>
              <w:rPr>
                <w:sz w:val="16"/>
              </w:rPr>
              <w:t>创建/查询主题域；模型归属主题域；主题域与项目隔离</w:t>
            </w:r>
          </w:p>
        </w:tc>
        <w:tc>
          <w:tcPr>
            <w:tcW w:type="dxa" w:w="3672"/>
            <w:vAlign w:val="center"/>
            <w:tcMar>
              <w:top w:w="90" w:type="dxa"/>
              <w:start w:w="100" w:type="dxa"/>
              <w:bottom w:w="90" w:type="dxa"/>
              <w:end w:w="100" w:type="dxa"/>
            </w:tcMar>
            <w:shd w:fill="F4F7FA"/>
          </w:tcPr>
          <w:p>
            <w:pPr>
              <w:spacing w:after="0" w:line="240" w:lineRule="auto"/>
            </w:pPr>
            <w:r>
              <w:rPr>
                <w:sz w:val="16"/>
              </w:rPr>
              <w:t>完整业务术语词典、跨项目共享域、组织架构同步</w:t>
            </w:r>
          </w:p>
        </w:tc>
      </w:tr>
      <w:tr>
        <w:trPr>
          <w:cantSplit/>
        </w:trPr>
        <w:tc>
          <w:tcPr>
            <w:tcW w:type="dxa" w:w="1440"/>
            <w:vAlign w:val="center"/>
            <w:tcMar>
              <w:top w:w="90" w:type="dxa"/>
              <w:start w:w="100" w:type="dxa"/>
              <w:bottom w:w="90" w:type="dxa"/>
              <w:end w:w="100" w:type="dxa"/>
            </w:tcMar>
          </w:tcPr>
          <w:p>
            <w:pPr>
              <w:spacing w:after="0" w:line="240" w:lineRule="auto"/>
            </w:pPr>
            <w:r>
              <w:rPr>
                <w:sz w:val="16"/>
              </w:rPr>
              <w:t>需求追溯</w:t>
            </w:r>
          </w:p>
        </w:tc>
        <w:tc>
          <w:tcPr>
            <w:tcW w:type="dxa" w:w="3960"/>
            <w:vAlign w:val="center"/>
            <w:tcMar>
              <w:top w:w="90" w:type="dxa"/>
              <w:start w:w="100" w:type="dxa"/>
              <w:bottom w:w="90" w:type="dxa"/>
              <w:end w:w="100" w:type="dxa"/>
            </w:tcMar>
          </w:tcPr>
          <w:p>
            <w:pPr>
              <w:spacing w:after="0" w:line="240" w:lineRule="auto"/>
            </w:pPr>
            <w:r>
              <w:rPr>
                <w:sz w:val="16"/>
              </w:rPr>
              <w:t>需求与模型多对多关联；模型编辑器多选需求；需求清单显示关联模型数</w:t>
            </w:r>
          </w:p>
        </w:tc>
        <w:tc>
          <w:tcPr>
            <w:tcW w:type="dxa" w:w="3672"/>
            <w:vAlign w:val="center"/>
            <w:tcMar>
              <w:top w:w="90" w:type="dxa"/>
              <w:start w:w="100" w:type="dxa"/>
              <w:bottom w:w="90" w:type="dxa"/>
              <w:end w:w="100" w:type="dxa"/>
            </w:tcMar>
          </w:tcPr>
          <w:p>
            <w:pPr>
              <w:spacing w:after="0" w:line="240" w:lineRule="auto"/>
            </w:pPr>
            <w:r>
              <w:rPr>
                <w:sz w:val="16"/>
              </w:rPr>
              <w:t>需求自动分解、指标口径审批、需求覆盖率智能分析</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模型关系</w:t>
            </w:r>
          </w:p>
        </w:tc>
        <w:tc>
          <w:tcPr>
            <w:tcW w:type="dxa" w:w="3960"/>
            <w:vAlign w:val="center"/>
            <w:tcMar>
              <w:top w:w="90" w:type="dxa"/>
              <w:start w:w="100" w:type="dxa"/>
              <w:bottom w:w="90" w:type="dxa"/>
              <w:end w:w="100" w:type="dxa"/>
            </w:tcMar>
            <w:shd w:fill="F4F7FA"/>
          </w:tcPr>
          <w:p>
            <w:pPr>
              <w:spacing w:after="0" w:line="240" w:lineRule="auto"/>
            </w:pPr>
            <w:r>
              <w:rPr>
                <w:sz w:val="16"/>
              </w:rPr>
              <w:t>依赖/关联/派生/引用；源/目标字段成对校验；基数与说明</w:t>
            </w:r>
          </w:p>
        </w:tc>
        <w:tc>
          <w:tcPr>
            <w:tcW w:type="dxa" w:w="3672"/>
            <w:vAlign w:val="center"/>
            <w:tcMar>
              <w:top w:w="90" w:type="dxa"/>
              <w:start w:w="100" w:type="dxa"/>
              <w:bottom w:w="90" w:type="dxa"/>
              <w:end w:w="100" w:type="dxa"/>
            </w:tcMar>
            <w:shd w:fill="F4F7FA"/>
          </w:tcPr>
          <w:p>
            <w:pPr>
              <w:spacing w:after="0" w:line="240" w:lineRule="auto"/>
            </w:pPr>
            <w:r>
              <w:rPr>
                <w:sz w:val="16"/>
              </w:rPr>
              <w:t>可拖拽 ERD 画布、自动推导外键、循环依赖分析与血缘采集</w:t>
            </w:r>
          </w:p>
        </w:tc>
      </w:tr>
      <w:tr>
        <w:trPr>
          <w:cantSplit/>
        </w:trPr>
        <w:tc>
          <w:tcPr>
            <w:tcW w:type="dxa" w:w="1440"/>
            <w:vAlign w:val="center"/>
            <w:tcMar>
              <w:top w:w="90" w:type="dxa"/>
              <w:start w:w="100" w:type="dxa"/>
              <w:bottom w:w="90" w:type="dxa"/>
              <w:end w:w="100" w:type="dxa"/>
            </w:tcMar>
          </w:tcPr>
          <w:p>
            <w:pPr>
              <w:spacing w:after="0" w:line="240" w:lineRule="auto"/>
            </w:pPr>
            <w:r>
              <w:rPr>
                <w:sz w:val="16"/>
              </w:rPr>
              <w:t>版本与变更</w:t>
            </w:r>
          </w:p>
        </w:tc>
        <w:tc>
          <w:tcPr>
            <w:tcW w:type="dxa" w:w="3960"/>
            <w:vAlign w:val="center"/>
            <w:tcMar>
              <w:top w:w="90" w:type="dxa"/>
              <w:start w:w="100" w:type="dxa"/>
              <w:bottom w:w="90" w:type="dxa"/>
              <w:end w:w="100" w:type="dxa"/>
            </w:tcMar>
          </w:tcPr>
          <w:p>
            <w:pPr>
              <w:spacing w:after="0" w:line="240" w:lineRule="auto"/>
            </w:pPr>
            <w:r>
              <w:rPr>
                <w:sz w:val="16"/>
              </w:rPr>
              <w:t>已发布模型发起变更草稿；正式版本按模型属性/字段/需求关联比较差异</w:t>
            </w:r>
          </w:p>
        </w:tc>
        <w:tc>
          <w:tcPr>
            <w:tcW w:type="dxa" w:w="3672"/>
            <w:vAlign w:val="center"/>
            <w:tcMar>
              <w:top w:w="90" w:type="dxa"/>
              <w:start w:w="100" w:type="dxa"/>
              <w:bottom w:w="90" w:type="dxa"/>
              <w:end w:w="100" w:type="dxa"/>
            </w:tcMar>
          </w:tcPr>
          <w:p>
            <w:pPr>
              <w:spacing w:after="0" w:line="240" w:lineRule="auto"/>
            </w:pPr>
            <w:r>
              <w:rPr>
                <w:sz w:val="16"/>
              </w:rPr>
              <w:t>自动生成并执行生产变更 SQL、跨环境发布、自动回滚</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编辑便捷性</w:t>
            </w:r>
          </w:p>
        </w:tc>
        <w:tc>
          <w:tcPr>
            <w:tcW w:type="dxa" w:w="3960"/>
            <w:vAlign w:val="center"/>
            <w:tcMar>
              <w:top w:w="90" w:type="dxa"/>
              <w:start w:w="100" w:type="dxa"/>
              <w:bottom w:w="90" w:type="dxa"/>
              <w:end w:w="100" w:type="dxa"/>
            </w:tcMar>
            <w:shd w:fill="F4F7FA"/>
          </w:tcPr>
          <w:p>
            <w:pPr>
              <w:spacing w:after="0" w:line="240" w:lineRule="auto"/>
            </w:pPr>
            <w:r>
              <w:rPr>
                <w:sz w:val="16"/>
              </w:rPr>
              <w:t>Excel TSV 字段批量粘贴；模型归属选择；关系维护与版本差异视图</w:t>
            </w:r>
          </w:p>
        </w:tc>
        <w:tc>
          <w:tcPr>
            <w:tcW w:type="dxa" w:w="3672"/>
            <w:vAlign w:val="center"/>
            <w:tcMar>
              <w:top w:w="90" w:type="dxa"/>
              <w:start w:w="100" w:type="dxa"/>
              <w:bottom w:w="90" w:type="dxa"/>
              <w:end w:w="100" w:type="dxa"/>
            </w:tcMar>
            <w:shd w:fill="F4F7FA"/>
          </w:tcPr>
          <w:p>
            <w:pPr>
              <w:spacing w:after="0" w:line="240" w:lineRule="auto"/>
            </w:pPr>
            <w:r>
              <w:rPr>
                <w:sz w:val="16"/>
              </w:rPr>
              <w:t>自动保存、多端冲突合并、完整浏览器端 E2E 门禁</w:t>
            </w:r>
          </w:p>
        </w:tc>
      </w:tr>
    </w:tbl>
    <w:p>
      <w:pPr>
        <w:spacing w:after="20"/>
      </w:pPr>
    </w:p>
    <w:p>
      <w:pPr>
        <w:pStyle w:val="Heading1"/>
        <w:keepNext/>
      </w:pPr>
      <w:r>
        <w:t>52. 业务需求对象设计</w:t>
      </w:r>
    </w:p>
    <w:p>
      <w:pPr>
        <w:spacing w:after="100" w:line="269" w:lineRule="auto"/>
      </w:pPr>
      <w:r>
        <w:t>业务需求是建模工作的上游输入，应描述“为什么需要数据、谁使用、要回答什么业务问题、范围和口径是什么”。它不能和模型名称或开发任务混为一谈。一个需求可以由多个模型共同满足，一个模型也可能支持多个需求，因此 V0.6 使用 requirement_model_links 作为多对多关联对象。</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pPr>
              <w:spacing w:after="0"/>
            </w:pPr>
            <w:r>
              <w:rPr>
                <w:b/>
                <w:color w:val="FFFFFF"/>
                <w:sz w:val="16"/>
              </w:rPr>
              <w:t>字段</w:t>
            </w:r>
          </w:p>
        </w:tc>
        <w:tc>
          <w:tcPr>
            <w:tcW w:type="dxa" w:w="4320"/>
            <w:shd w:fill="17365D"/>
            <w:vAlign w:val="center"/>
            <w:tcMar>
              <w:top w:w="90" w:type="dxa"/>
              <w:start w:w="100" w:type="dxa"/>
              <w:bottom w:w="90" w:type="dxa"/>
              <w:end w:w="100" w:type="dxa"/>
            </w:tcMar>
          </w:tcPr>
          <w:p>
            <w:pPr>
              <w:spacing w:after="0"/>
            </w:pPr>
            <w:r>
              <w:rPr>
                <w:b/>
                <w:color w:val="FFFFFF"/>
                <w:sz w:val="16"/>
              </w:rPr>
              <w:t>含义/约束</w:t>
            </w:r>
          </w:p>
        </w:tc>
        <w:tc>
          <w:tcPr>
            <w:tcW w:type="dxa" w:w="2592"/>
            <w:shd w:fill="17365D"/>
            <w:vAlign w:val="center"/>
            <w:tcMar>
              <w:top w:w="90" w:type="dxa"/>
              <w:start w:w="100" w:type="dxa"/>
              <w:bottom w:w="90" w:type="dxa"/>
              <w:end w:w="100" w:type="dxa"/>
            </w:tcMar>
          </w:tcPr>
          <w:p>
            <w:pPr>
              <w:spacing w:after="0"/>
            </w:pPr>
            <w:r>
              <w:rPr>
                <w:b/>
                <w:color w:val="FFFFFF"/>
                <w:sz w:val="16"/>
              </w:rPr>
              <w:t>示例</w:t>
            </w:r>
          </w:p>
        </w:tc>
      </w:tr>
      <w:tr>
        <w:trPr>
          <w:cantSplit/>
        </w:trPr>
        <w:tc>
          <w:tcPr>
            <w:tcW w:type="dxa" w:w="2160"/>
            <w:vAlign w:val="center"/>
            <w:tcMar>
              <w:top w:w="90" w:type="dxa"/>
              <w:start w:w="100" w:type="dxa"/>
              <w:bottom w:w="90" w:type="dxa"/>
              <w:end w:w="100" w:type="dxa"/>
            </w:tcMar>
          </w:tcPr>
          <w:p>
            <w:pPr>
              <w:spacing w:after="0" w:line="240" w:lineRule="auto"/>
            </w:pPr>
            <w:r>
              <w:rPr>
                <w:sz w:val="16"/>
              </w:rPr>
              <w:t>requirement_key</w:t>
            </w:r>
          </w:p>
        </w:tc>
        <w:tc>
          <w:tcPr>
            <w:tcW w:type="dxa" w:w="4320"/>
            <w:vAlign w:val="center"/>
            <w:tcMar>
              <w:top w:w="90" w:type="dxa"/>
              <w:start w:w="100" w:type="dxa"/>
              <w:bottom w:w="90" w:type="dxa"/>
              <w:end w:w="100" w:type="dxa"/>
            </w:tcMar>
          </w:tcPr>
          <w:p>
            <w:pPr>
              <w:spacing w:after="0" w:line="240" w:lineRule="auto"/>
            </w:pPr>
            <w:r>
              <w:rPr>
                <w:sz w:val="16"/>
              </w:rPr>
              <w:t>项目内唯一；建议用业务可识别的稳定编码</w:t>
            </w:r>
          </w:p>
        </w:tc>
        <w:tc>
          <w:tcPr>
            <w:tcW w:type="dxa" w:w="2592"/>
            <w:vAlign w:val="center"/>
            <w:tcMar>
              <w:top w:w="90" w:type="dxa"/>
              <w:start w:w="100" w:type="dxa"/>
              <w:bottom w:w="90" w:type="dxa"/>
              <w:end w:w="100" w:type="dxa"/>
            </w:tcMar>
          </w:tcPr>
          <w:p>
            <w:pPr>
              <w:spacing w:after="0" w:line="240" w:lineRule="auto"/>
            </w:pPr>
            <w:r>
              <w:rPr>
                <w:sz w:val="16"/>
              </w:rPr>
              <w:t>REQ_SALES_001</w:t>
            </w:r>
          </w:p>
        </w:tc>
      </w:tr>
      <w:tr>
        <w:trPr>
          <w:cantSplit/>
        </w:trPr>
        <w:tc>
          <w:tcPr>
            <w:tcW w:type="dxa" w:w="2160"/>
            <w:vAlign w:val="center"/>
            <w:tcMar>
              <w:top w:w="90" w:type="dxa"/>
              <w:start w:w="100" w:type="dxa"/>
              <w:bottom w:w="90" w:type="dxa"/>
              <w:end w:w="100" w:type="dxa"/>
            </w:tcMar>
            <w:shd w:fill="F4F7FA"/>
          </w:tcPr>
          <w:p>
            <w:pPr>
              <w:spacing w:after="0" w:line="240" w:lineRule="auto"/>
            </w:pPr>
            <w:r>
              <w:rPr>
                <w:sz w:val="16"/>
              </w:rPr>
              <w:t>title</w:t>
            </w:r>
          </w:p>
        </w:tc>
        <w:tc>
          <w:tcPr>
            <w:tcW w:type="dxa" w:w="4320"/>
            <w:vAlign w:val="center"/>
            <w:tcMar>
              <w:top w:w="90" w:type="dxa"/>
              <w:start w:w="100" w:type="dxa"/>
              <w:bottom w:w="90" w:type="dxa"/>
              <w:end w:w="100" w:type="dxa"/>
            </w:tcMar>
            <w:shd w:fill="F4F7FA"/>
          </w:tcPr>
          <w:p>
            <w:pPr>
              <w:spacing w:after="0" w:line="240" w:lineRule="auto"/>
            </w:pPr>
            <w:r>
              <w:rPr>
                <w:sz w:val="16"/>
              </w:rPr>
              <w:t>需求标题；必填</w:t>
            </w:r>
          </w:p>
        </w:tc>
        <w:tc>
          <w:tcPr>
            <w:tcW w:type="dxa" w:w="2592"/>
            <w:vAlign w:val="center"/>
            <w:tcMar>
              <w:top w:w="90" w:type="dxa"/>
              <w:start w:w="100" w:type="dxa"/>
              <w:bottom w:w="90" w:type="dxa"/>
              <w:end w:w="100" w:type="dxa"/>
            </w:tcMar>
            <w:shd w:fill="F4F7FA"/>
          </w:tcPr>
          <w:p>
            <w:pPr>
              <w:spacing w:after="0" w:line="240" w:lineRule="auto"/>
            </w:pPr>
            <w:r>
              <w:rPr>
                <w:sz w:val="16"/>
              </w:rPr>
              <w:t>销售订单经营分析</w:t>
            </w:r>
          </w:p>
        </w:tc>
      </w:tr>
      <w:tr>
        <w:trPr>
          <w:cantSplit/>
        </w:trPr>
        <w:tc>
          <w:tcPr>
            <w:tcW w:type="dxa" w:w="2160"/>
            <w:vAlign w:val="center"/>
            <w:tcMar>
              <w:top w:w="90" w:type="dxa"/>
              <w:start w:w="100" w:type="dxa"/>
              <w:bottom w:w="90" w:type="dxa"/>
              <w:end w:w="100" w:type="dxa"/>
            </w:tcMar>
          </w:tcPr>
          <w:p>
            <w:pPr>
              <w:spacing w:after="0" w:line="240" w:lineRule="auto"/>
            </w:pPr>
            <w:r>
              <w:rPr>
                <w:sz w:val="16"/>
              </w:rPr>
              <w:t>business_domain</w:t>
            </w:r>
          </w:p>
        </w:tc>
        <w:tc>
          <w:tcPr>
            <w:tcW w:type="dxa" w:w="4320"/>
            <w:vAlign w:val="center"/>
            <w:tcMar>
              <w:top w:w="90" w:type="dxa"/>
              <w:start w:w="100" w:type="dxa"/>
              <w:bottom w:w="90" w:type="dxa"/>
              <w:end w:w="100" w:type="dxa"/>
            </w:tcMar>
          </w:tcPr>
          <w:p>
            <w:pPr>
              <w:spacing w:after="0" w:line="240" w:lineRule="auto"/>
            </w:pPr>
            <w:r>
              <w:rPr>
                <w:sz w:val="16"/>
              </w:rPr>
              <w:t>业务域或业务条线</w:t>
            </w:r>
          </w:p>
        </w:tc>
        <w:tc>
          <w:tcPr>
            <w:tcW w:type="dxa" w:w="2592"/>
            <w:vAlign w:val="center"/>
            <w:tcMar>
              <w:top w:w="90" w:type="dxa"/>
              <w:start w:w="100" w:type="dxa"/>
              <w:bottom w:w="90" w:type="dxa"/>
              <w:end w:w="100" w:type="dxa"/>
            </w:tcMar>
          </w:tcPr>
          <w:p>
            <w:pPr>
              <w:spacing w:after="0" w:line="240" w:lineRule="auto"/>
            </w:pPr>
            <w:r>
              <w:rPr>
                <w:sz w:val="16"/>
              </w:rPr>
              <w:t>销售经营</w:t>
            </w:r>
          </w:p>
        </w:tc>
      </w:tr>
      <w:tr>
        <w:trPr>
          <w:cantSplit/>
        </w:trPr>
        <w:tc>
          <w:tcPr>
            <w:tcW w:type="dxa" w:w="2160"/>
            <w:vAlign w:val="center"/>
            <w:tcMar>
              <w:top w:w="90" w:type="dxa"/>
              <w:start w:w="100" w:type="dxa"/>
              <w:bottom w:w="90" w:type="dxa"/>
              <w:end w:w="100" w:type="dxa"/>
            </w:tcMar>
            <w:shd w:fill="F4F7FA"/>
          </w:tcPr>
          <w:p>
            <w:pPr>
              <w:spacing w:after="0" w:line="240" w:lineRule="auto"/>
            </w:pPr>
            <w:r>
              <w:rPr>
                <w:sz w:val="16"/>
              </w:rPr>
              <w:t>description</w:t>
            </w:r>
          </w:p>
        </w:tc>
        <w:tc>
          <w:tcPr>
            <w:tcW w:type="dxa" w:w="4320"/>
            <w:vAlign w:val="center"/>
            <w:tcMar>
              <w:top w:w="90" w:type="dxa"/>
              <w:start w:w="100" w:type="dxa"/>
              <w:bottom w:w="90" w:type="dxa"/>
              <w:end w:w="100" w:type="dxa"/>
            </w:tcMar>
            <w:shd w:fill="F4F7FA"/>
          </w:tcPr>
          <w:p>
            <w:pPr>
              <w:spacing w:after="0" w:line="240" w:lineRule="auto"/>
            </w:pPr>
            <w:r>
              <w:rPr>
                <w:sz w:val="16"/>
              </w:rPr>
              <w:t>业务背景、目标用户、场景、范围和时效要求</w:t>
            </w:r>
          </w:p>
        </w:tc>
        <w:tc>
          <w:tcPr>
            <w:tcW w:type="dxa" w:w="2592"/>
            <w:vAlign w:val="center"/>
            <w:tcMar>
              <w:top w:w="90" w:type="dxa"/>
              <w:start w:w="100" w:type="dxa"/>
              <w:bottom w:w="90" w:type="dxa"/>
              <w:end w:w="100" w:type="dxa"/>
            </w:tcMar>
            <w:shd w:fill="F4F7FA"/>
          </w:tcPr>
          <w:p>
            <w:pPr>
              <w:spacing w:after="0" w:line="240" w:lineRule="auto"/>
            </w:pPr>
            <w:r>
              <w:rPr>
                <w:sz w:val="16"/>
              </w:rPr>
              <w:t>按日观察订单与客户表现</w:t>
            </w:r>
          </w:p>
        </w:tc>
      </w:tr>
      <w:tr>
        <w:trPr>
          <w:cantSplit/>
        </w:trPr>
        <w:tc>
          <w:tcPr>
            <w:tcW w:type="dxa" w:w="2160"/>
            <w:vAlign w:val="center"/>
            <w:tcMar>
              <w:top w:w="90" w:type="dxa"/>
              <w:start w:w="100" w:type="dxa"/>
              <w:bottom w:w="90" w:type="dxa"/>
              <w:end w:w="100" w:type="dxa"/>
            </w:tcMar>
          </w:tcPr>
          <w:p>
            <w:pPr>
              <w:spacing w:after="0" w:line="240" w:lineRule="auto"/>
            </w:pPr>
            <w:r>
              <w:rPr>
                <w:sz w:val="16"/>
              </w:rPr>
              <w:t>acceptance_criteria</w:t>
            </w:r>
          </w:p>
        </w:tc>
        <w:tc>
          <w:tcPr>
            <w:tcW w:type="dxa" w:w="4320"/>
            <w:vAlign w:val="center"/>
            <w:tcMar>
              <w:top w:w="90" w:type="dxa"/>
              <w:start w:w="100" w:type="dxa"/>
              <w:bottom w:w="90" w:type="dxa"/>
              <w:end w:w="100" w:type="dxa"/>
            </w:tcMar>
          </w:tcPr>
          <w:p>
            <w:pPr>
              <w:spacing w:after="0" w:line="240" w:lineRule="auto"/>
            </w:pPr>
            <w:r>
              <w:rPr>
                <w:sz w:val="16"/>
              </w:rPr>
              <w:t>指标口径、筛选维度、刷新周期及验收条件</w:t>
            </w:r>
          </w:p>
        </w:tc>
        <w:tc>
          <w:tcPr>
            <w:tcW w:type="dxa" w:w="2592"/>
            <w:vAlign w:val="center"/>
            <w:tcMar>
              <w:top w:w="90" w:type="dxa"/>
              <w:start w:w="100" w:type="dxa"/>
              <w:bottom w:w="90" w:type="dxa"/>
              <w:end w:w="100" w:type="dxa"/>
            </w:tcMar>
          </w:tcPr>
          <w:p>
            <w:pPr>
              <w:spacing w:after="0" w:line="240" w:lineRule="auto"/>
            </w:pPr>
            <w:r>
              <w:rPr>
                <w:sz w:val="16"/>
              </w:rPr>
              <w:t>支持按日期与客户筛选，T+1 更新</w:t>
            </w:r>
          </w:p>
        </w:tc>
      </w:tr>
      <w:tr>
        <w:trPr>
          <w:cantSplit/>
        </w:trPr>
        <w:tc>
          <w:tcPr>
            <w:tcW w:type="dxa" w:w="2160"/>
            <w:vAlign w:val="center"/>
            <w:tcMar>
              <w:top w:w="90" w:type="dxa"/>
              <w:start w:w="100" w:type="dxa"/>
              <w:bottom w:w="90" w:type="dxa"/>
              <w:end w:w="100" w:type="dxa"/>
            </w:tcMar>
            <w:shd w:fill="F4F7FA"/>
          </w:tcPr>
          <w:p>
            <w:pPr>
              <w:spacing w:after="0" w:line="240" w:lineRule="auto"/>
            </w:pPr>
            <w:r>
              <w:rPr>
                <w:sz w:val="16"/>
              </w:rPr>
              <w:t>priority</w:t>
            </w:r>
          </w:p>
        </w:tc>
        <w:tc>
          <w:tcPr>
            <w:tcW w:type="dxa" w:w="4320"/>
            <w:vAlign w:val="center"/>
            <w:tcMar>
              <w:top w:w="90" w:type="dxa"/>
              <w:start w:w="100" w:type="dxa"/>
              <w:bottom w:w="90" w:type="dxa"/>
              <w:end w:w="100" w:type="dxa"/>
            </w:tcMar>
            <w:shd w:fill="F4F7FA"/>
          </w:tcPr>
          <w:p>
            <w:pPr>
              <w:spacing w:after="0" w:line="240" w:lineRule="auto"/>
            </w:pPr>
            <w:r>
              <w:rPr>
                <w:sz w:val="16"/>
              </w:rPr>
              <w:t>P0/P1/P2/P3</w:t>
            </w:r>
          </w:p>
        </w:tc>
        <w:tc>
          <w:tcPr>
            <w:tcW w:type="dxa" w:w="2592"/>
            <w:vAlign w:val="center"/>
            <w:tcMar>
              <w:top w:w="90" w:type="dxa"/>
              <w:start w:w="100" w:type="dxa"/>
              <w:bottom w:w="90" w:type="dxa"/>
              <w:end w:w="100" w:type="dxa"/>
            </w:tcMar>
            <w:shd w:fill="F4F7FA"/>
          </w:tcPr>
          <w:p>
            <w:pPr>
              <w:spacing w:after="0" w:line="240" w:lineRule="auto"/>
            </w:pPr>
            <w:r>
              <w:rPr>
                <w:sz w:val="16"/>
              </w:rPr>
              <w:t>P1</w:t>
            </w:r>
          </w:p>
        </w:tc>
      </w:tr>
      <w:tr>
        <w:trPr>
          <w:cantSplit/>
        </w:trPr>
        <w:tc>
          <w:tcPr>
            <w:tcW w:type="dxa" w:w="2160"/>
            <w:vAlign w:val="center"/>
            <w:tcMar>
              <w:top w:w="90" w:type="dxa"/>
              <w:start w:w="100" w:type="dxa"/>
              <w:bottom w:w="90" w:type="dxa"/>
              <w:end w:w="100" w:type="dxa"/>
            </w:tcMar>
          </w:tcPr>
          <w:p>
            <w:pPr>
              <w:spacing w:after="0" w:line="240" w:lineRule="auto"/>
            </w:pPr>
            <w:r>
              <w:rPr>
                <w:sz w:val="16"/>
              </w:rPr>
              <w:t>status</w:t>
            </w:r>
          </w:p>
        </w:tc>
        <w:tc>
          <w:tcPr>
            <w:tcW w:type="dxa" w:w="4320"/>
            <w:vAlign w:val="center"/>
            <w:tcMar>
              <w:top w:w="90" w:type="dxa"/>
              <w:start w:w="100" w:type="dxa"/>
              <w:bottom w:w="90" w:type="dxa"/>
              <w:end w:w="100" w:type="dxa"/>
            </w:tcMar>
          </w:tcPr>
          <w:p>
            <w:pPr>
              <w:spacing w:after="0" w:line="240" w:lineRule="auto"/>
            </w:pPr>
            <w:r>
              <w:rPr>
                <w:sz w:val="16"/>
              </w:rPr>
              <w:t>draft/in_analysis/modeled/accepted/rejected</w:t>
            </w:r>
          </w:p>
        </w:tc>
        <w:tc>
          <w:tcPr>
            <w:tcW w:type="dxa" w:w="2592"/>
            <w:vAlign w:val="center"/>
            <w:tcMar>
              <w:top w:w="90" w:type="dxa"/>
              <w:start w:w="100" w:type="dxa"/>
              <w:bottom w:w="90" w:type="dxa"/>
              <w:end w:w="100" w:type="dxa"/>
            </w:tcMar>
          </w:tcPr>
          <w:p>
            <w:pPr>
              <w:spacing w:after="0" w:line="240" w:lineRule="auto"/>
            </w:pPr>
            <w:r>
              <w:rPr>
                <w:sz w:val="16"/>
              </w:rPr>
              <w:t>in_analysis</w:t>
            </w:r>
          </w:p>
        </w:tc>
      </w:tr>
      <w:tr>
        <w:trPr>
          <w:cantSplit/>
        </w:trPr>
        <w:tc>
          <w:tcPr>
            <w:tcW w:type="dxa" w:w="2160"/>
            <w:vAlign w:val="center"/>
            <w:tcMar>
              <w:top w:w="90" w:type="dxa"/>
              <w:start w:w="100" w:type="dxa"/>
              <w:bottom w:w="90" w:type="dxa"/>
              <w:end w:w="100" w:type="dxa"/>
            </w:tcMar>
            <w:shd w:fill="F4F7FA"/>
          </w:tcPr>
          <w:p>
            <w:pPr>
              <w:spacing w:after="0" w:line="240" w:lineRule="auto"/>
            </w:pPr>
            <w:r>
              <w:rPr>
                <w:sz w:val="16"/>
              </w:rPr>
              <w:t>owner</w:t>
            </w:r>
          </w:p>
        </w:tc>
        <w:tc>
          <w:tcPr>
            <w:tcW w:type="dxa" w:w="4320"/>
            <w:vAlign w:val="center"/>
            <w:tcMar>
              <w:top w:w="90" w:type="dxa"/>
              <w:start w:w="100" w:type="dxa"/>
              <w:bottom w:w="90" w:type="dxa"/>
              <w:end w:w="100" w:type="dxa"/>
            </w:tcMar>
            <w:shd w:fill="F4F7FA"/>
          </w:tcPr>
          <w:p>
            <w:pPr>
              <w:spacing w:after="0" w:line="240" w:lineRule="auto"/>
            </w:pPr>
            <w:r>
              <w:rPr>
                <w:sz w:val="16"/>
              </w:rPr>
              <w:t>业务责任人或需求负责人</w:t>
            </w:r>
          </w:p>
        </w:tc>
        <w:tc>
          <w:tcPr>
            <w:tcW w:type="dxa" w:w="2592"/>
            <w:vAlign w:val="center"/>
            <w:tcMar>
              <w:top w:w="90" w:type="dxa"/>
              <w:start w:w="100" w:type="dxa"/>
              <w:bottom w:w="90" w:type="dxa"/>
              <w:end w:w="100" w:type="dxa"/>
            </w:tcMar>
            <w:shd w:fill="F4F7FA"/>
          </w:tcPr>
          <w:p>
            <w:pPr>
              <w:spacing w:after="0" w:line="240" w:lineRule="auto"/>
            </w:pPr>
            <w:r>
              <w:rPr>
                <w:sz w:val="16"/>
              </w:rPr>
              <w:t>business.owner</w:t>
            </w:r>
          </w:p>
        </w:tc>
      </w:tr>
    </w:tbl>
    <w:p>
      <w:pPr>
        <w:spacing w:after="20"/>
      </w:pPr>
    </w:p>
    <w:p>
      <w:pPr>
        <w:pStyle w:val="Heading2"/>
        <w:keepNext/>
      </w:pPr>
      <w:r>
        <w:t>52.1 需求状态建议语义</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65D"/>
            <w:vAlign w:val="center"/>
            <w:tcMar>
              <w:top w:w="90" w:type="dxa"/>
              <w:start w:w="100" w:type="dxa"/>
              <w:bottom w:w="90" w:type="dxa"/>
              <w:end w:w="100" w:type="dxa"/>
            </w:tcMar>
          </w:tcPr>
          <w:p>
            <w:pPr>
              <w:spacing w:after="0"/>
            </w:pPr>
            <w:r>
              <w:rPr>
                <w:b/>
                <w:color w:val="FFFFFF"/>
                <w:sz w:val="16"/>
              </w:rPr>
              <w:t>状态</w:t>
            </w:r>
          </w:p>
        </w:tc>
        <w:tc>
          <w:tcPr>
            <w:tcW w:type="dxa" w:w="3456"/>
            <w:shd w:fill="17365D"/>
            <w:vAlign w:val="center"/>
            <w:tcMar>
              <w:top w:w="90" w:type="dxa"/>
              <w:start w:w="100" w:type="dxa"/>
              <w:bottom w:w="90" w:type="dxa"/>
              <w:end w:w="100" w:type="dxa"/>
            </w:tcMar>
          </w:tcPr>
          <w:p>
            <w:pPr>
              <w:spacing w:after="0"/>
            </w:pPr>
            <w:r>
              <w:rPr>
                <w:b/>
                <w:color w:val="FFFFFF"/>
                <w:sz w:val="16"/>
              </w:rPr>
              <w:t>进入条件</w:t>
            </w:r>
          </w:p>
        </w:tc>
        <w:tc>
          <w:tcPr>
            <w:tcW w:type="dxa" w:w="3816"/>
            <w:shd w:fill="17365D"/>
            <w:vAlign w:val="center"/>
            <w:tcMar>
              <w:top w:w="90" w:type="dxa"/>
              <w:start w:w="100" w:type="dxa"/>
              <w:bottom w:w="90" w:type="dxa"/>
              <w:end w:w="100" w:type="dxa"/>
            </w:tcMar>
          </w:tcPr>
          <w:p>
            <w:pPr>
              <w:spacing w:after="0"/>
            </w:pPr>
            <w:r>
              <w:rPr>
                <w:b/>
                <w:color w:val="FFFFFF"/>
                <w:sz w:val="16"/>
              </w:rPr>
              <w:t>允许操作</w:t>
            </w:r>
          </w:p>
        </w:tc>
      </w:tr>
      <w:tr>
        <w:trPr>
          <w:cantSplit/>
        </w:trPr>
        <w:tc>
          <w:tcPr>
            <w:tcW w:type="dxa" w:w="1800"/>
            <w:vAlign w:val="center"/>
            <w:tcMar>
              <w:top w:w="90" w:type="dxa"/>
              <w:start w:w="100" w:type="dxa"/>
              <w:bottom w:w="90" w:type="dxa"/>
              <w:end w:w="100" w:type="dxa"/>
            </w:tcMar>
          </w:tcPr>
          <w:p>
            <w:pPr>
              <w:spacing w:after="0" w:line="240" w:lineRule="auto"/>
            </w:pPr>
            <w:r>
              <w:rPr>
                <w:sz w:val="16"/>
              </w:rPr>
              <w:t>draft</w:t>
            </w:r>
          </w:p>
        </w:tc>
        <w:tc>
          <w:tcPr>
            <w:tcW w:type="dxa" w:w="3456"/>
            <w:vAlign w:val="center"/>
            <w:tcMar>
              <w:top w:w="90" w:type="dxa"/>
              <w:start w:w="100" w:type="dxa"/>
              <w:bottom w:w="90" w:type="dxa"/>
              <w:end w:w="100" w:type="dxa"/>
            </w:tcMar>
          </w:tcPr>
          <w:p>
            <w:pPr>
              <w:spacing w:after="0" w:line="240" w:lineRule="auto"/>
            </w:pPr>
            <w:r>
              <w:rPr>
                <w:sz w:val="16"/>
              </w:rPr>
              <w:t>新建需求或尚未进入正式调研</w:t>
            </w:r>
          </w:p>
        </w:tc>
        <w:tc>
          <w:tcPr>
            <w:tcW w:type="dxa" w:w="3816"/>
            <w:vAlign w:val="center"/>
            <w:tcMar>
              <w:top w:w="90" w:type="dxa"/>
              <w:start w:w="100" w:type="dxa"/>
              <w:bottom w:w="90" w:type="dxa"/>
              <w:end w:w="100" w:type="dxa"/>
            </w:tcMar>
          </w:tcPr>
          <w:p>
            <w:pPr>
              <w:spacing w:after="0" w:line="240" w:lineRule="auto"/>
            </w:pPr>
            <w:r>
              <w:rPr>
                <w:sz w:val="16"/>
              </w:rPr>
              <w:t>编辑需求内容、指定负责人、补齐验收口径</w:t>
            </w:r>
          </w:p>
        </w:tc>
      </w:tr>
      <w:tr>
        <w:trPr>
          <w:cantSplit/>
        </w:trPr>
        <w:tc>
          <w:tcPr>
            <w:tcW w:type="dxa" w:w="1800"/>
            <w:vAlign w:val="center"/>
            <w:tcMar>
              <w:top w:w="90" w:type="dxa"/>
              <w:start w:w="100" w:type="dxa"/>
              <w:bottom w:w="90" w:type="dxa"/>
              <w:end w:w="100" w:type="dxa"/>
            </w:tcMar>
            <w:shd w:fill="F4F7FA"/>
          </w:tcPr>
          <w:p>
            <w:pPr>
              <w:spacing w:after="0" w:line="240" w:lineRule="auto"/>
            </w:pPr>
            <w:r>
              <w:rPr>
                <w:sz w:val="16"/>
              </w:rPr>
              <w:t>in_analysis</w:t>
            </w:r>
          </w:p>
        </w:tc>
        <w:tc>
          <w:tcPr>
            <w:tcW w:type="dxa" w:w="3456"/>
            <w:vAlign w:val="center"/>
            <w:tcMar>
              <w:top w:w="90" w:type="dxa"/>
              <w:start w:w="100" w:type="dxa"/>
              <w:bottom w:w="90" w:type="dxa"/>
              <w:end w:w="100" w:type="dxa"/>
            </w:tcMar>
            <w:shd w:fill="F4F7FA"/>
          </w:tcPr>
          <w:p>
            <w:pPr>
              <w:spacing w:after="0" w:line="240" w:lineRule="auto"/>
            </w:pPr>
            <w:r>
              <w:rPr>
                <w:sz w:val="16"/>
              </w:rPr>
              <w:t>业务范围和口径进入调研</w:t>
            </w:r>
          </w:p>
        </w:tc>
        <w:tc>
          <w:tcPr>
            <w:tcW w:type="dxa" w:w="3816"/>
            <w:vAlign w:val="center"/>
            <w:tcMar>
              <w:top w:w="90" w:type="dxa"/>
              <w:start w:w="100" w:type="dxa"/>
              <w:bottom w:w="90" w:type="dxa"/>
              <w:end w:w="100" w:type="dxa"/>
            </w:tcMar>
            <w:shd w:fill="F4F7FA"/>
          </w:tcPr>
          <w:p>
            <w:pPr>
              <w:spacing w:after="0" w:line="240" w:lineRule="auto"/>
            </w:pPr>
            <w:r>
              <w:rPr>
                <w:sz w:val="16"/>
              </w:rPr>
              <w:t>完善需求、关联参考模型、补充待确认事项</w:t>
            </w:r>
          </w:p>
        </w:tc>
      </w:tr>
      <w:tr>
        <w:trPr>
          <w:cantSplit/>
        </w:trPr>
        <w:tc>
          <w:tcPr>
            <w:tcW w:type="dxa" w:w="1800"/>
            <w:vAlign w:val="center"/>
            <w:tcMar>
              <w:top w:w="90" w:type="dxa"/>
              <w:start w:w="100" w:type="dxa"/>
              <w:bottom w:w="90" w:type="dxa"/>
              <w:end w:w="100" w:type="dxa"/>
            </w:tcMar>
          </w:tcPr>
          <w:p>
            <w:pPr>
              <w:spacing w:after="0" w:line="240" w:lineRule="auto"/>
            </w:pPr>
            <w:r>
              <w:rPr>
                <w:sz w:val="16"/>
              </w:rPr>
              <w:t>modeled</w:t>
            </w:r>
          </w:p>
        </w:tc>
        <w:tc>
          <w:tcPr>
            <w:tcW w:type="dxa" w:w="3456"/>
            <w:vAlign w:val="center"/>
            <w:tcMar>
              <w:top w:w="90" w:type="dxa"/>
              <w:start w:w="100" w:type="dxa"/>
              <w:bottom w:w="90" w:type="dxa"/>
              <w:end w:w="100" w:type="dxa"/>
            </w:tcMar>
          </w:tcPr>
          <w:p>
            <w:pPr>
              <w:spacing w:after="0" w:line="240" w:lineRule="auto"/>
            </w:pPr>
            <w:r>
              <w:rPr>
                <w:sz w:val="16"/>
              </w:rPr>
              <w:t>已有模型支撑需求；建议需经建模负责人确认</w:t>
            </w:r>
          </w:p>
        </w:tc>
        <w:tc>
          <w:tcPr>
            <w:tcW w:type="dxa" w:w="3816"/>
            <w:vAlign w:val="center"/>
            <w:tcMar>
              <w:top w:w="90" w:type="dxa"/>
              <w:start w:w="100" w:type="dxa"/>
              <w:bottom w:w="90" w:type="dxa"/>
              <w:end w:w="100" w:type="dxa"/>
            </w:tcMar>
          </w:tcPr>
          <w:p>
            <w:pPr>
              <w:spacing w:after="0" w:line="240" w:lineRule="auto"/>
            </w:pPr>
            <w:r>
              <w:rPr>
                <w:sz w:val="16"/>
              </w:rPr>
              <w:t>查看关联模型、迭代模型设计</w:t>
            </w:r>
          </w:p>
        </w:tc>
      </w:tr>
      <w:tr>
        <w:trPr>
          <w:cantSplit/>
        </w:trPr>
        <w:tc>
          <w:tcPr>
            <w:tcW w:type="dxa" w:w="1800"/>
            <w:vAlign w:val="center"/>
            <w:tcMar>
              <w:top w:w="90" w:type="dxa"/>
              <w:start w:w="100" w:type="dxa"/>
              <w:bottom w:w="90" w:type="dxa"/>
              <w:end w:w="100" w:type="dxa"/>
            </w:tcMar>
            <w:shd w:fill="F4F7FA"/>
          </w:tcPr>
          <w:p>
            <w:pPr>
              <w:spacing w:after="0" w:line="240" w:lineRule="auto"/>
            </w:pPr>
            <w:r>
              <w:rPr>
                <w:sz w:val="16"/>
              </w:rPr>
              <w:t>accepted</w:t>
            </w:r>
          </w:p>
        </w:tc>
        <w:tc>
          <w:tcPr>
            <w:tcW w:type="dxa" w:w="3456"/>
            <w:vAlign w:val="center"/>
            <w:tcMar>
              <w:top w:w="90" w:type="dxa"/>
              <w:start w:w="100" w:type="dxa"/>
              <w:bottom w:w="90" w:type="dxa"/>
              <w:end w:w="100" w:type="dxa"/>
            </w:tcMar>
            <w:shd w:fill="F4F7FA"/>
          </w:tcPr>
          <w:p>
            <w:pPr>
              <w:spacing w:after="0" w:line="240" w:lineRule="auto"/>
            </w:pPr>
            <w:r>
              <w:rPr>
                <w:sz w:val="16"/>
              </w:rPr>
              <w:t>业务验收或需求方确认</w:t>
            </w:r>
          </w:p>
        </w:tc>
        <w:tc>
          <w:tcPr>
            <w:tcW w:type="dxa" w:w="3816"/>
            <w:vAlign w:val="center"/>
            <w:tcMar>
              <w:top w:w="90" w:type="dxa"/>
              <w:start w:w="100" w:type="dxa"/>
              <w:bottom w:w="90" w:type="dxa"/>
              <w:end w:w="100" w:type="dxa"/>
            </w:tcMar>
            <w:shd w:fill="F4F7FA"/>
          </w:tcPr>
          <w:p>
            <w:pPr>
              <w:spacing w:after="0" w:line="240" w:lineRule="auto"/>
            </w:pPr>
            <w:r>
              <w:rPr>
                <w:sz w:val="16"/>
              </w:rPr>
              <w:t>只读归档；如需修改应留下审计记录</w:t>
            </w:r>
          </w:p>
        </w:tc>
      </w:tr>
      <w:tr>
        <w:trPr>
          <w:cantSplit/>
        </w:trPr>
        <w:tc>
          <w:tcPr>
            <w:tcW w:type="dxa" w:w="1800"/>
            <w:vAlign w:val="center"/>
            <w:tcMar>
              <w:top w:w="90" w:type="dxa"/>
              <w:start w:w="100" w:type="dxa"/>
              <w:bottom w:w="90" w:type="dxa"/>
              <w:end w:w="100" w:type="dxa"/>
            </w:tcMar>
          </w:tcPr>
          <w:p>
            <w:pPr>
              <w:spacing w:after="0" w:line="240" w:lineRule="auto"/>
            </w:pPr>
            <w:r>
              <w:rPr>
                <w:sz w:val="16"/>
              </w:rPr>
              <w:t>rejected</w:t>
            </w:r>
          </w:p>
        </w:tc>
        <w:tc>
          <w:tcPr>
            <w:tcW w:type="dxa" w:w="3456"/>
            <w:vAlign w:val="center"/>
            <w:tcMar>
              <w:top w:w="90" w:type="dxa"/>
              <w:start w:w="100" w:type="dxa"/>
              <w:bottom w:w="90" w:type="dxa"/>
              <w:end w:w="100" w:type="dxa"/>
            </w:tcMar>
          </w:tcPr>
          <w:p>
            <w:pPr>
              <w:spacing w:after="0" w:line="240" w:lineRule="auto"/>
            </w:pPr>
            <w:r>
              <w:rPr>
                <w:sz w:val="16"/>
              </w:rPr>
              <w:t>需求被取消或不予实施</w:t>
            </w:r>
          </w:p>
        </w:tc>
        <w:tc>
          <w:tcPr>
            <w:tcW w:type="dxa" w:w="3816"/>
            <w:vAlign w:val="center"/>
            <w:tcMar>
              <w:top w:w="90" w:type="dxa"/>
              <w:start w:w="100" w:type="dxa"/>
              <w:bottom w:w="90" w:type="dxa"/>
              <w:end w:w="100" w:type="dxa"/>
            </w:tcMar>
          </w:tcPr>
          <w:p>
            <w:pPr>
              <w:spacing w:after="0" w:line="240" w:lineRule="auto"/>
            </w:pPr>
            <w:r>
              <w:rPr>
                <w:sz w:val="16"/>
              </w:rPr>
              <w:t>保留拒绝原因；不要物理删除历史记录</w:t>
            </w:r>
          </w:p>
        </w:tc>
      </w:tr>
    </w:tbl>
    <w:p>
      <w:pPr>
        <w:spacing w:after="20"/>
      </w:pPr>
    </w:p>
    <w:p>
      <w:pPr>
        <w:spacing w:after="100" w:line="269" w:lineRule="auto"/>
      </w:pPr>
      <w:r>
        <w:t>当前实现允许创建需求时选择状态，且支持 PUT 更新所有需求字段；状态转换矩阵和“已确认后只读”的严格服务端守卫仍属于下一轮增强项。正式产品应将状态变更独立为动作 API，并记录上一个状态、目标状态、原因、操作者和时间。</w:t>
      </w:r>
    </w:p>
    <w:p>
      <w:pPr>
        <w:pStyle w:val="Heading1"/>
        <w:keepNext/>
      </w:pPr>
      <w:r>
        <w:t>53. 主题域与模型归属规则</w:t>
      </w:r>
    </w:p>
    <w:p>
      <w:pPr>
        <w:spacing w:after="100" w:line="269" w:lineRule="auto"/>
      </w:pPr>
      <w:r>
        <w:t>主题域是一种业务分类，表示企业按核心业务对象或业务过程组织数据资产的方式；它不等同于数据库 schema、物理数据库或数仓分层。比如“客户、销售、合同、项目、财务”可以是主题域；ODS/DWD/DWS/ADS 是数据分层；它们应作为两个独立维度管理。</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00" w:type="dxa"/>
              <w:bottom w:w="90" w:type="dxa"/>
              <w:end w:w="100" w:type="dxa"/>
            </w:tcMar>
          </w:tcPr>
          <w:p>
            <w:pPr>
              <w:spacing w:after="0"/>
            </w:pPr>
            <w:r>
              <w:rPr>
                <w:b/>
                <w:color w:val="FFFFFF"/>
                <w:sz w:val="16"/>
              </w:rPr>
              <w:t>对象/维度</w:t>
            </w:r>
          </w:p>
        </w:tc>
        <w:tc>
          <w:tcPr>
            <w:tcW w:type="dxa" w:w="2880"/>
            <w:shd w:fill="17365D"/>
            <w:vAlign w:val="center"/>
            <w:tcMar>
              <w:top w:w="90" w:type="dxa"/>
              <w:start w:w="100" w:type="dxa"/>
              <w:bottom w:w="90" w:type="dxa"/>
              <w:end w:w="100" w:type="dxa"/>
            </w:tcMar>
          </w:tcPr>
          <w:p>
            <w:pPr>
              <w:spacing w:after="0"/>
            </w:pPr>
            <w:r>
              <w:rPr>
                <w:b/>
                <w:color w:val="FFFFFF"/>
                <w:sz w:val="16"/>
              </w:rPr>
              <w:t>示例</w:t>
            </w:r>
          </w:p>
        </w:tc>
        <w:tc>
          <w:tcPr>
            <w:tcW w:type="dxa" w:w="4320"/>
            <w:shd w:fill="17365D"/>
            <w:vAlign w:val="center"/>
            <w:tcMar>
              <w:top w:w="90" w:type="dxa"/>
              <w:start w:w="100" w:type="dxa"/>
              <w:bottom w:w="90" w:type="dxa"/>
              <w:end w:w="100" w:type="dxa"/>
            </w:tcMar>
          </w:tcPr>
          <w:p>
            <w:pPr>
              <w:spacing w:after="0"/>
            </w:pPr>
            <w:r>
              <w:rPr>
                <w:b/>
                <w:color w:val="FFFFFF"/>
                <w:sz w:val="16"/>
              </w:rPr>
              <w:t>设计规则</w:t>
            </w:r>
          </w:p>
        </w:tc>
      </w:tr>
      <w:tr>
        <w:trPr>
          <w:cantSplit/>
        </w:trPr>
        <w:tc>
          <w:tcPr>
            <w:tcW w:type="dxa" w:w="1944"/>
            <w:vAlign w:val="center"/>
            <w:tcMar>
              <w:top w:w="90" w:type="dxa"/>
              <w:start w:w="100" w:type="dxa"/>
              <w:bottom w:w="90" w:type="dxa"/>
              <w:end w:w="100" w:type="dxa"/>
            </w:tcMar>
          </w:tcPr>
          <w:p>
            <w:pPr>
              <w:spacing w:after="0" w:line="240" w:lineRule="auto"/>
            </w:pPr>
            <w:r>
              <w:rPr>
                <w:sz w:val="16"/>
              </w:rPr>
              <w:t>主题域</w:t>
            </w:r>
          </w:p>
        </w:tc>
        <w:tc>
          <w:tcPr>
            <w:tcW w:type="dxa" w:w="2880"/>
            <w:vAlign w:val="center"/>
            <w:tcMar>
              <w:top w:w="90" w:type="dxa"/>
              <w:start w:w="100" w:type="dxa"/>
              <w:bottom w:w="90" w:type="dxa"/>
              <w:end w:w="100" w:type="dxa"/>
            </w:tcMar>
          </w:tcPr>
          <w:p>
            <w:pPr>
              <w:spacing w:after="0" w:line="240" w:lineRule="auto"/>
            </w:pPr>
            <w:r>
              <w:rPr>
                <w:sz w:val="16"/>
              </w:rPr>
              <w:t>SALES / 销售主题域</w:t>
            </w:r>
          </w:p>
        </w:tc>
        <w:tc>
          <w:tcPr>
            <w:tcW w:type="dxa" w:w="4320"/>
            <w:vAlign w:val="center"/>
            <w:tcMar>
              <w:top w:w="90" w:type="dxa"/>
              <w:start w:w="100" w:type="dxa"/>
              <w:bottom w:w="90" w:type="dxa"/>
              <w:end w:w="100" w:type="dxa"/>
            </w:tcMar>
          </w:tcPr>
          <w:p>
            <w:pPr>
              <w:spacing w:after="0" w:line="240" w:lineRule="auto"/>
            </w:pPr>
            <w:r>
              <w:rPr>
                <w:sz w:val="16"/>
              </w:rPr>
              <w:t>一个项目内 area_key 唯一；可包含多个模型</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数仓分层</w:t>
            </w:r>
          </w:p>
        </w:tc>
        <w:tc>
          <w:tcPr>
            <w:tcW w:type="dxa" w:w="2880"/>
            <w:vAlign w:val="center"/>
            <w:tcMar>
              <w:top w:w="90" w:type="dxa"/>
              <w:start w:w="100" w:type="dxa"/>
              <w:bottom w:w="90" w:type="dxa"/>
              <w:end w:w="100" w:type="dxa"/>
            </w:tcMar>
            <w:shd w:fill="F4F7FA"/>
          </w:tcPr>
          <w:p>
            <w:pPr>
              <w:spacing w:after="0" w:line="240" w:lineRule="auto"/>
            </w:pPr>
            <w:r>
              <w:rPr>
                <w:sz w:val="16"/>
              </w:rPr>
              <w:t>ODS、DWD、DWS、ADS、DIM</w:t>
            </w:r>
          </w:p>
        </w:tc>
        <w:tc>
          <w:tcPr>
            <w:tcW w:type="dxa" w:w="4320"/>
            <w:vAlign w:val="center"/>
            <w:tcMar>
              <w:top w:w="90" w:type="dxa"/>
              <w:start w:w="100" w:type="dxa"/>
              <w:bottom w:w="90" w:type="dxa"/>
              <w:end w:w="100" w:type="dxa"/>
            </w:tcMar>
            <w:shd w:fill="F4F7FA"/>
          </w:tcPr>
          <w:p>
            <w:pPr>
              <w:spacing w:after="0" w:line="240" w:lineRule="auto"/>
            </w:pPr>
            <w:r>
              <w:rPr>
                <w:sz w:val="16"/>
              </w:rPr>
              <w:t>由项目规范配置；不因主题域变化而改变</w:t>
            </w:r>
          </w:p>
        </w:tc>
      </w:tr>
      <w:tr>
        <w:trPr>
          <w:cantSplit/>
        </w:trPr>
        <w:tc>
          <w:tcPr>
            <w:tcW w:type="dxa" w:w="1944"/>
            <w:vAlign w:val="center"/>
            <w:tcMar>
              <w:top w:w="90" w:type="dxa"/>
              <w:start w:w="100" w:type="dxa"/>
              <w:bottom w:w="90" w:type="dxa"/>
              <w:end w:w="100" w:type="dxa"/>
            </w:tcMar>
          </w:tcPr>
          <w:p>
            <w:pPr>
              <w:spacing w:after="0" w:line="240" w:lineRule="auto"/>
            </w:pPr>
            <w:r>
              <w:rPr>
                <w:sz w:val="16"/>
              </w:rPr>
              <w:t>物理引擎</w:t>
            </w:r>
          </w:p>
        </w:tc>
        <w:tc>
          <w:tcPr>
            <w:tcW w:type="dxa" w:w="2880"/>
            <w:vAlign w:val="center"/>
            <w:tcMar>
              <w:top w:w="90" w:type="dxa"/>
              <w:start w:w="100" w:type="dxa"/>
              <w:bottom w:w="90" w:type="dxa"/>
              <w:end w:w="100" w:type="dxa"/>
            </w:tcMar>
          </w:tcPr>
          <w:p>
            <w:pPr>
              <w:spacing w:after="0" w:line="240" w:lineRule="auto"/>
            </w:pPr>
            <w:r>
              <w:rPr>
                <w:sz w:val="16"/>
              </w:rPr>
              <w:t>PostgreSQL、MySQL、Hive</w:t>
            </w:r>
          </w:p>
        </w:tc>
        <w:tc>
          <w:tcPr>
            <w:tcW w:type="dxa" w:w="4320"/>
            <w:vAlign w:val="center"/>
            <w:tcMar>
              <w:top w:w="90" w:type="dxa"/>
              <w:start w:w="100" w:type="dxa"/>
              <w:bottom w:w="90" w:type="dxa"/>
              <w:end w:w="100" w:type="dxa"/>
            </w:tcMar>
          </w:tcPr>
          <w:p>
            <w:pPr>
              <w:spacing w:after="0" w:line="240" w:lineRule="auto"/>
            </w:pPr>
            <w:r>
              <w:rPr>
                <w:sz w:val="16"/>
              </w:rPr>
              <w:t>由目标引擎适配器处理类型/语法差异</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模型类型</w:t>
            </w:r>
          </w:p>
        </w:tc>
        <w:tc>
          <w:tcPr>
            <w:tcW w:type="dxa" w:w="2880"/>
            <w:vAlign w:val="center"/>
            <w:tcMar>
              <w:top w:w="90" w:type="dxa"/>
              <w:start w:w="100" w:type="dxa"/>
              <w:bottom w:w="90" w:type="dxa"/>
              <w:end w:w="100" w:type="dxa"/>
            </w:tcMar>
            <w:shd w:fill="F4F7FA"/>
          </w:tcPr>
          <w:p>
            <w:pPr>
              <w:spacing w:after="0" w:line="240" w:lineRule="auto"/>
            </w:pPr>
            <w:r>
              <w:rPr>
                <w:sz w:val="16"/>
              </w:rPr>
              <w:t>TABLE、FACT、DIMENSION、VIEW</w:t>
            </w:r>
          </w:p>
        </w:tc>
        <w:tc>
          <w:tcPr>
            <w:tcW w:type="dxa" w:w="4320"/>
            <w:vAlign w:val="center"/>
            <w:tcMar>
              <w:top w:w="90" w:type="dxa"/>
              <w:start w:w="100" w:type="dxa"/>
              <w:bottom w:w="90" w:type="dxa"/>
              <w:end w:w="100" w:type="dxa"/>
            </w:tcMar>
            <w:shd w:fill="F4F7FA"/>
          </w:tcPr>
          <w:p>
            <w:pPr>
              <w:spacing w:after="0" w:line="240" w:lineRule="auto"/>
            </w:pPr>
            <w:r>
              <w:rPr>
                <w:sz w:val="16"/>
              </w:rPr>
              <w:t>表达模型实现方式或建模角色，与分层和主题域独立</w:t>
            </w:r>
          </w:p>
        </w:tc>
      </w:tr>
    </w:tbl>
    <w:p>
      <w:pPr>
        <w:spacing w:after="20"/>
      </w:pPr>
    </w:p>
    <w:p>
      <w:pPr>
        <w:spacing w:after="100" w:line="269" w:lineRule="auto"/>
      </w:pPr>
      <w:r>
        <w:t>V0.6 通过 data_models.subject_area_id 建立可空外键。模型可暂时不归属主题域，方便既有项目渐进迁移；但正式发布前可以根据企业规范将“主题域必填”配置为阻断性规则。本版 API 已校验归属主题域必须存在且属于同一个项目。</w:t>
      </w:r>
    </w:p>
    <w:p>
      <w:pPr>
        <w:pStyle w:val="Heading1"/>
        <w:keepNext/>
      </w:pPr>
      <w:r>
        <w:t>54. 模型关系与字段映射设计</w:t>
      </w:r>
    </w:p>
    <w:p>
      <w:pPr>
        <w:spacing w:after="100" w:line="269" w:lineRule="auto"/>
      </w:pPr>
      <w:r>
        <w:t>模型关系不是简单画线，而是未来血缘、影响分析和 ETL 开发的重要结构数据。V0.6 的 model_relationships 记录源模型、目标模型、关系类型、基数、源字段列表、目标字段列表、描述和创建人。关系端点必须同属一个项目，不能建立自引用，关系字段必须存在于各自模型，源/目标字段应成对配置且数量一致。</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7365D"/>
            <w:vAlign w:val="center"/>
            <w:tcMar>
              <w:top w:w="90" w:type="dxa"/>
              <w:start w:w="100" w:type="dxa"/>
              <w:bottom w:w="90" w:type="dxa"/>
              <w:end w:w="100" w:type="dxa"/>
            </w:tcMar>
          </w:tcPr>
          <w:p>
            <w:pPr>
              <w:spacing w:after="0"/>
            </w:pPr>
            <w:r>
              <w:rPr>
                <w:b/>
                <w:color w:val="FFFFFF"/>
                <w:sz w:val="16"/>
              </w:rPr>
              <w:t>属性</w:t>
            </w:r>
          </w:p>
        </w:tc>
        <w:tc>
          <w:tcPr>
            <w:tcW w:type="dxa" w:w="4320"/>
            <w:shd w:fill="17365D"/>
            <w:vAlign w:val="center"/>
            <w:tcMar>
              <w:top w:w="90" w:type="dxa"/>
              <w:start w:w="100" w:type="dxa"/>
              <w:bottom w:w="90" w:type="dxa"/>
              <w:end w:w="100" w:type="dxa"/>
            </w:tcMar>
          </w:tcPr>
          <w:p>
            <w:pPr>
              <w:spacing w:after="0"/>
            </w:pPr>
            <w:r>
              <w:rPr>
                <w:b/>
                <w:color w:val="FFFFFF"/>
                <w:sz w:val="16"/>
              </w:rPr>
              <w:t>规则</w:t>
            </w:r>
          </w:p>
        </w:tc>
        <w:tc>
          <w:tcPr>
            <w:tcW w:type="dxa" w:w="2592"/>
            <w:shd w:fill="17365D"/>
            <w:vAlign w:val="center"/>
            <w:tcMar>
              <w:top w:w="90" w:type="dxa"/>
              <w:start w:w="100" w:type="dxa"/>
              <w:bottom w:w="90" w:type="dxa"/>
              <w:end w:w="100" w:type="dxa"/>
            </w:tcMar>
          </w:tcPr>
          <w:p>
            <w:pPr>
              <w:spacing w:after="0"/>
            </w:pPr>
            <w:r>
              <w:rPr>
                <w:b/>
                <w:color w:val="FFFFFF"/>
                <w:sz w:val="16"/>
              </w:rPr>
              <w:t>用途</w:t>
            </w:r>
          </w:p>
        </w:tc>
      </w:tr>
      <w:tr>
        <w:trPr>
          <w:cantSplit/>
        </w:trPr>
        <w:tc>
          <w:tcPr>
            <w:tcW w:type="dxa" w:w="2160"/>
            <w:vAlign w:val="center"/>
            <w:tcMar>
              <w:top w:w="90" w:type="dxa"/>
              <w:start w:w="100" w:type="dxa"/>
              <w:bottom w:w="90" w:type="dxa"/>
              <w:end w:w="100" w:type="dxa"/>
            </w:tcMar>
          </w:tcPr>
          <w:p>
            <w:pPr>
              <w:spacing w:after="0" w:line="240" w:lineRule="auto"/>
            </w:pPr>
            <w:r>
              <w:rPr>
                <w:sz w:val="16"/>
              </w:rPr>
              <w:t>relationship_type</w:t>
            </w:r>
          </w:p>
        </w:tc>
        <w:tc>
          <w:tcPr>
            <w:tcW w:type="dxa" w:w="4320"/>
            <w:vAlign w:val="center"/>
            <w:tcMar>
              <w:top w:w="90" w:type="dxa"/>
              <w:start w:w="100" w:type="dxa"/>
              <w:bottom w:w="90" w:type="dxa"/>
              <w:end w:w="100" w:type="dxa"/>
            </w:tcMar>
          </w:tcPr>
          <w:p>
            <w:pPr>
              <w:spacing w:after="0" w:line="240" w:lineRule="auto"/>
            </w:pPr>
            <w:r>
              <w:rPr>
                <w:sz w:val="16"/>
              </w:rPr>
              <w:t>depends_on / joins_to / derived_from / references</w:t>
            </w:r>
          </w:p>
        </w:tc>
        <w:tc>
          <w:tcPr>
            <w:tcW w:type="dxa" w:w="2592"/>
            <w:vAlign w:val="center"/>
            <w:tcMar>
              <w:top w:w="90" w:type="dxa"/>
              <w:start w:w="100" w:type="dxa"/>
              <w:bottom w:w="90" w:type="dxa"/>
              <w:end w:w="100" w:type="dxa"/>
            </w:tcMar>
          </w:tcPr>
          <w:p>
            <w:pPr>
              <w:spacing w:after="0" w:line="240" w:lineRule="auto"/>
            </w:pPr>
            <w:r>
              <w:rPr>
                <w:sz w:val="16"/>
              </w:rPr>
              <w:t>表达模型之间的语义关系</w:t>
            </w:r>
          </w:p>
        </w:tc>
      </w:tr>
      <w:tr>
        <w:trPr>
          <w:cantSplit/>
        </w:trPr>
        <w:tc>
          <w:tcPr>
            <w:tcW w:type="dxa" w:w="2160"/>
            <w:vAlign w:val="center"/>
            <w:tcMar>
              <w:top w:w="90" w:type="dxa"/>
              <w:start w:w="100" w:type="dxa"/>
              <w:bottom w:w="90" w:type="dxa"/>
              <w:end w:w="100" w:type="dxa"/>
            </w:tcMar>
            <w:shd w:fill="F4F7FA"/>
          </w:tcPr>
          <w:p>
            <w:pPr>
              <w:spacing w:after="0" w:line="240" w:lineRule="auto"/>
            </w:pPr>
            <w:r>
              <w:rPr>
                <w:sz w:val="16"/>
              </w:rPr>
              <w:t>cardinality</w:t>
            </w:r>
          </w:p>
        </w:tc>
        <w:tc>
          <w:tcPr>
            <w:tcW w:type="dxa" w:w="4320"/>
            <w:vAlign w:val="center"/>
            <w:tcMar>
              <w:top w:w="90" w:type="dxa"/>
              <w:start w:w="100" w:type="dxa"/>
              <w:bottom w:w="90" w:type="dxa"/>
              <w:end w:w="100" w:type="dxa"/>
            </w:tcMar>
            <w:shd w:fill="F4F7FA"/>
          </w:tcPr>
          <w:p>
            <w:pPr>
              <w:spacing w:after="0" w:line="240" w:lineRule="auto"/>
            </w:pPr>
            <w:r>
              <w:rPr>
                <w:sz w:val="16"/>
              </w:rPr>
              <w:t>unspecified / one_to_one / one_to_many / many_to_one / many_to_many</w:t>
            </w:r>
          </w:p>
        </w:tc>
        <w:tc>
          <w:tcPr>
            <w:tcW w:type="dxa" w:w="2592"/>
            <w:vAlign w:val="center"/>
            <w:tcMar>
              <w:top w:w="90" w:type="dxa"/>
              <w:start w:w="100" w:type="dxa"/>
              <w:bottom w:w="90" w:type="dxa"/>
              <w:end w:w="100" w:type="dxa"/>
            </w:tcMar>
            <w:shd w:fill="F4F7FA"/>
          </w:tcPr>
          <w:p>
            <w:pPr>
              <w:spacing w:after="0" w:line="240" w:lineRule="auto"/>
            </w:pPr>
            <w:r>
              <w:rPr>
                <w:sz w:val="16"/>
              </w:rPr>
              <w:t>帮助读者理解业务关系基数</w:t>
            </w:r>
          </w:p>
        </w:tc>
      </w:tr>
      <w:tr>
        <w:trPr>
          <w:cantSplit/>
        </w:trPr>
        <w:tc>
          <w:tcPr>
            <w:tcW w:type="dxa" w:w="2160"/>
            <w:vAlign w:val="center"/>
            <w:tcMar>
              <w:top w:w="90" w:type="dxa"/>
              <w:start w:w="100" w:type="dxa"/>
              <w:bottom w:w="90" w:type="dxa"/>
              <w:end w:w="100" w:type="dxa"/>
            </w:tcMar>
          </w:tcPr>
          <w:p>
            <w:pPr>
              <w:spacing w:after="0" w:line="240" w:lineRule="auto"/>
            </w:pPr>
            <w:r>
              <w:rPr>
                <w:sz w:val="16"/>
              </w:rPr>
              <w:t>source_fields_json</w:t>
            </w:r>
          </w:p>
        </w:tc>
        <w:tc>
          <w:tcPr>
            <w:tcW w:type="dxa" w:w="4320"/>
            <w:vAlign w:val="center"/>
            <w:tcMar>
              <w:top w:w="90" w:type="dxa"/>
              <w:start w:w="100" w:type="dxa"/>
              <w:bottom w:w="90" w:type="dxa"/>
              <w:end w:w="100" w:type="dxa"/>
            </w:tcMar>
          </w:tcPr>
          <w:p>
            <w:pPr>
              <w:spacing w:after="0" w:line="240" w:lineRule="auto"/>
            </w:pPr>
            <w:r>
              <w:rPr>
                <w:sz w:val="16"/>
              </w:rPr>
              <w:t>JSON 数组；字段必须属于源模型</w:t>
            </w:r>
          </w:p>
        </w:tc>
        <w:tc>
          <w:tcPr>
            <w:tcW w:type="dxa" w:w="2592"/>
            <w:vAlign w:val="center"/>
            <w:tcMar>
              <w:top w:w="90" w:type="dxa"/>
              <w:start w:w="100" w:type="dxa"/>
              <w:bottom w:w="90" w:type="dxa"/>
              <w:end w:w="100" w:type="dxa"/>
            </w:tcMar>
          </w:tcPr>
          <w:p>
            <w:pPr>
              <w:spacing w:after="0" w:line="240" w:lineRule="auto"/>
            </w:pPr>
            <w:r>
              <w:rPr>
                <w:sz w:val="16"/>
              </w:rPr>
              <w:t>关系左侧字段/关联键</w:t>
            </w:r>
          </w:p>
        </w:tc>
      </w:tr>
      <w:tr>
        <w:trPr>
          <w:cantSplit/>
        </w:trPr>
        <w:tc>
          <w:tcPr>
            <w:tcW w:type="dxa" w:w="2160"/>
            <w:vAlign w:val="center"/>
            <w:tcMar>
              <w:top w:w="90" w:type="dxa"/>
              <w:start w:w="100" w:type="dxa"/>
              <w:bottom w:w="90" w:type="dxa"/>
              <w:end w:w="100" w:type="dxa"/>
            </w:tcMar>
            <w:shd w:fill="F4F7FA"/>
          </w:tcPr>
          <w:p>
            <w:pPr>
              <w:spacing w:after="0" w:line="240" w:lineRule="auto"/>
            </w:pPr>
            <w:r>
              <w:rPr>
                <w:sz w:val="16"/>
              </w:rPr>
              <w:t>target_fields_json</w:t>
            </w:r>
          </w:p>
        </w:tc>
        <w:tc>
          <w:tcPr>
            <w:tcW w:type="dxa" w:w="4320"/>
            <w:vAlign w:val="center"/>
            <w:tcMar>
              <w:top w:w="90" w:type="dxa"/>
              <w:start w:w="100" w:type="dxa"/>
              <w:bottom w:w="90" w:type="dxa"/>
              <w:end w:w="100" w:type="dxa"/>
            </w:tcMar>
            <w:shd w:fill="F4F7FA"/>
          </w:tcPr>
          <w:p>
            <w:pPr>
              <w:spacing w:after="0" w:line="240" w:lineRule="auto"/>
            </w:pPr>
            <w:r>
              <w:rPr>
                <w:sz w:val="16"/>
              </w:rPr>
              <w:t>JSON 数组；字段必须属于目标模型</w:t>
            </w:r>
          </w:p>
        </w:tc>
        <w:tc>
          <w:tcPr>
            <w:tcW w:type="dxa" w:w="2592"/>
            <w:vAlign w:val="center"/>
            <w:tcMar>
              <w:top w:w="90" w:type="dxa"/>
              <w:start w:w="100" w:type="dxa"/>
              <w:bottom w:w="90" w:type="dxa"/>
              <w:end w:w="100" w:type="dxa"/>
            </w:tcMar>
            <w:shd w:fill="F4F7FA"/>
          </w:tcPr>
          <w:p>
            <w:pPr>
              <w:spacing w:after="0" w:line="240" w:lineRule="auto"/>
            </w:pPr>
            <w:r>
              <w:rPr>
                <w:sz w:val="16"/>
              </w:rPr>
              <w:t>关系右侧字段/关联键</w:t>
            </w:r>
          </w:p>
        </w:tc>
      </w:tr>
      <w:tr>
        <w:trPr>
          <w:cantSplit/>
        </w:trPr>
        <w:tc>
          <w:tcPr>
            <w:tcW w:type="dxa" w:w="2160"/>
            <w:vAlign w:val="center"/>
            <w:tcMar>
              <w:top w:w="90" w:type="dxa"/>
              <w:start w:w="100" w:type="dxa"/>
              <w:bottom w:w="90" w:type="dxa"/>
              <w:end w:w="100" w:type="dxa"/>
            </w:tcMar>
          </w:tcPr>
          <w:p>
            <w:pPr>
              <w:spacing w:after="0" w:line="240" w:lineRule="auto"/>
            </w:pPr>
            <w:r>
              <w:rPr>
                <w:sz w:val="16"/>
              </w:rPr>
              <w:t>description</w:t>
            </w:r>
          </w:p>
        </w:tc>
        <w:tc>
          <w:tcPr>
            <w:tcW w:type="dxa" w:w="4320"/>
            <w:vAlign w:val="center"/>
            <w:tcMar>
              <w:top w:w="90" w:type="dxa"/>
              <w:start w:w="100" w:type="dxa"/>
              <w:bottom w:w="90" w:type="dxa"/>
              <w:end w:w="100" w:type="dxa"/>
            </w:tcMar>
          </w:tcPr>
          <w:p>
            <w:pPr>
              <w:spacing w:after="0" w:line="240" w:lineRule="auto"/>
            </w:pPr>
            <w:r>
              <w:rPr>
                <w:sz w:val="16"/>
              </w:rPr>
              <w:t>可读业务说明</w:t>
            </w:r>
          </w:p>
        </w:tc>
        <w:tc>
          <w:tcPr>
            <w:tcW w:type="dxa" w:w="2592"/>
            <w:vAlign w:val="center"/>
            <w:tcMar>
              <w:top w:w="90" w:type="dxa"/>
              <w:start w:w="100" w:type="dxa"/>
              <w:bottom w:w="90" w:type="dxa"/>
              <w:end w:w="100" w:type="dxa"/>
            </w:tcMar>
          </w:tcPr>
          <w:p>
            <w:pPr>
              <w:spacing w:after="0" w:line="240" w:lineRule="auto"/>
            </w:pPr>
            <w:r>
              <w:rPr>
                <w:sz w:val="16"/>
              </w:rPr>
              <w:t>解释关联条件、业务前提或复用约束</w:t>
            </w:r>
          </w:p>
        </w:tc>
      </w:tr>
    </w:tbl>
    <w:p>
      <w:pPr>
        <w:spacing w:after="20"/>
      </w:pPr>
    </w:p>
    <w:p>
      <w:pPr>
        <w:jc w:val="center"/>
      </w:pPr>
      <w:r>
        <w:drawing>
          <wp:inline xmlns:a="http://schemas.openxmlformats.org/drawingml/2006/main" xmlns:pic="http://schemas.openxmlformats.org/drawingml/2006/picture">
            <wp:extent cx="5715000" cy="4842301"/>
            <wp:docPr id="6" name="Picture 6"/>
            <wp:cNvGraphicFramePr>
              <a:graphicFrameLocks noChangeAspect="1"/>
            </wp:cNvGraphicFramePr>
            <a:graphic>
              <a:graphicData uri="http://schemas.openxmlformats.org/drawingml/2006/picture">
                <pic:pic>
                  <pic:nvPicPr>
                    <pic:cNvPr id="0" name="erd_v06_domain.png"/>
                    <pic:cNvPicPr/>
                  </pic:nvPicPr>
                  <pic:blipFill>
                    <a:blip r:embed="rId15"/>
                    <a:stretch>
                      <a:fillRect/>
                    </a:stretch>
                  </pic:blipFill>
                  <pic:spPr>
                    <a:xfrm>
                      <a:off x="0" y="0"/>
                      <a:ext cx="5715000" cy="4842301"/>
                    </a:xfrm>
                    <a:prstGeom prst="rect"/>
                  </pic:spPr>
                </pic:pic>
              </a:graphicData>
            </a:graphic>
          </wp:inline>
        </w:drawing>
      </w:r>
    </w:p>
    <w:p>
      <w:pPr>
        <w:jc w:val="center"/>
      </w:pPr>
      <w:r>
        <w:rPr>
          <w:i/>
          <w:color w:val="6B7280"/>
          <w:sz w:val="16"/>
        </w:rPr>
        <w:t>图 54-1  V0.6 当前 MVP 运行 schema 的领域对象关系（关系表由 Alembic revision 761be0cda0ff 引入）</w:t>
      </w:r>
    </w:p>
    <w:tbl>
      <w:tblPr>
        <w:tblStyle w:val="TableGrid"/>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60"/>
            </w:pPr>
            <w:r>
              <w:rPr>
                <w:b/>
                <w:color w:val="7D5000"/>
              </w:rPr>
              <w:t>关系边界</w:t>
            </w:r>
          </w:p>
          <w:p>
            <w:pPr>
              <w:spacing w:after="0"/>
            </w:pPr>
            <w:r>
              <w:rPr>
                <w:sz w:val="18"/>
              </w:rPr>
              <w:t>当前关系记录是平台元数据，不会自动创建真实数据库外键，也不会自动影响 DDL。Hive 等引擎对约束的支持有差异，因此关系语义与物理约束必须分开表达。未来应进一步加入关系有效状态、字段映射类型、循环依赖检测和版本快照策略。</w:t>
            </w:r>
          </w:p>
        </w:tc>
      </w:tr>
    </w:tbl>
    <w:p>
      <w:pPr>
        <w:spacing w:after="20"/>
      </w:pPr>
    </w:p>
    <w:p>
      <w:pPr>
        <w:pStyle w:val="Heading1"/>
        <w:keepNext/>
      </w:pPr>
      <w:r>
        <w:t>55. 正式版本变更与差异比较</w:t>
      </w:r>
    </w:p>
    <w:p>
      <w:pPr>
        <w:spacing w:after="100" w:line="269" w:lineRule="auto"/>
      </w:pPr>
      <w:r>
        <w:t>已发布模型不能直接编辑，否则当前草稿会污染正式版本的语义。V0.6 新增 start-change 动作：仅允许已发布模型发起变更；动作将模型工作状态转为 draft 并增加 edit_revision，同时保留 published_version_no 与历史 model_versions 快照。新草稿再次经过校验、评审和发布后，发布版本号递增。</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65D"/>
            <w:vAlign w:val="center"/>
            <w:tcMar>
              <w:top w:w="90" w:type="dxa"/>
              <w:start w:w="100" w:type="dxa"/>
              <w:bottom w:w="90" w:type="dxa"/>
              <w:end w:w="100" w:type="dxa"/>
            </w:tcMar>
          </w:tcPr>
          <w:p>
            <w:pPr>
              <w:spacing w:after="0"/>
            </w:pPr>
            <w:r>
              <w:rPr>
                <w:b/>
                <w:color w:val="FFFFFF"/>
                <w:sz w:val="16"/>
              </w:rPr>
              <w:t>步骤</w:t>
            </w:r>
          </w:p>
        </w:tc>
        <w:tc>
          <w:tcPr>
            <w:tcW w:type="dxa" w:w="4032"/>
            <w:shd w:fill="17365D"/>
            <w:vAlign w:val="center"/>
            <w:tcMar>
              <w:top w:w="90" w:type="dxa"/>
              <w:start w:w="100" w:type="dxa"/>
              <w:bottom w:w="90" w:type="dxa"/>
              <w:end w:w="100" w:type="dxa"/>
            </w:tcMar>
          </w:tcPr>
          <w:p>
            <w:pPr>
              <w:spacing w:after="0"/>
            </w:pPr>
            <w:r>
              <w:rPr>
                <w:b/>
                <w:color w:val="FFFFFF"/>
                <w:sz w:val="16"/>
              </w:rPr>
              <w:t>状态/数据变化</w:t>
            </w:r>
          </w:p>
        </w:tc>
        <w:tc>
          <w:tcPr>
            <w:tcW w:type="dxa" w:w="3600"/>
            <w:shd w:fill="17365D"/>
            <w:vAlign w:val="center"/>
            <w:tcMar>
              <w:top w:w="90" w:type="dxa"/>
              <w:start w:w="100" w:type="dxa"/>
              <w:bottom w:w="90" w:type="dxa"/>
              <w:end w:w="100" w:type="dxa"/>
            </w:tcMar>
          </w:tcPr>
          <w:p>
            <w:pPr>
              <w:spacing w:after="0"/>
            </w:pPr>
            <w:r>
              <w:rPr>
                <w:b/>
                <w:color w:val="FFFFFF"/>
                <w:sz w:val="16"/>
              </w:rPr>
              <w:t>安全约束</w:t>
            </w:r>
          </w:p>
        </w:tc>
      </w:tr>
      <w:tr>
        <w:trPr>
          <w:cantSplit/>
        </w:trPr>
        <w:tc>
          <w:tcPr>
            <w:tcW w:type="dxa" w:w="1800"/>
            <w:vAlign w:val="center"/>
            <w:tcMar>
              <w:top w:w="90" w:type="dxa"/>
              <w:start w:w="100" w:type="dxa"/>
              <w:bottom w:w="90" w:type="dxa"/>
              <w:end w:w="100" w:type="dxa"/>
            </w:tcMar>
          </w:tcPr>
          <w:p>
            <w:pPr>
              <w:spacing w:after="0" w:line="240" w:lineRule="auto"/>
            </w:pPr>
            <w:r>
              <w:rPr>
                <w:sz w:val="16"/>
              </w:rPr>
              <w:t>1. 已发布 V1</w:t>
            </w:r>
          </w:p>
        </w:tc>
        <w:tc>
          <w:tcPr>
            <w:tcW w:type="dxa" w:w="4032"/>
            <w:vAlign w:val="center"/>
            <w:tcMar>
              <w:top w:w="90" w:type="dxa"/>
              <w:start w:w="100" w:type="dxa"/>
              <w:bottom w:w="90" w:type="dxa"/>
              <w:end w:w="100" w:type="dxa"/>
            </w:tcMar>
          </w:tcPr>
          <w:p>
            <w:pPr>
              <w:spacing w:after="0" w:line="240" w:lineRule="auto"/>
            </w:pPr>
            <w:r>
              <w:rPr>
                <w:sz w:val="16"/>
              </w:rPr>
              <w:t>model.status=published，published_version_no=1；V1 快照只读</w:t>
            </w:r>
          </w:p>
        </w:tc>
        <w:tc>
          <w:tcPr>
            <w:tcW w:type="dxa" w:w="3600"/>
            <w:vAlign w:val="center"/>
            <w:tcMar>
              <w:top w:w="90" w:type="dxa"/>
              <w:start w:w="100" w:type="dxa"/>
              <w:bottom w:w="90" w:type="dxa"/>
              <w:end w:w="100" w:type="dxa"/>
            </w:tcMar>
          </w:tcPr>
          <w:p>
            <w:pPr>
              <w:spacing w:after="0" w:line="240" w:lineRule="auto"/>
            </w:pPr>
            <w:r>
              <w:rPr>
                <w:sz w:val="16"/>
              </w:rPr>
              <w:t>不允许直接 PUT 修改</w:t>
            </w:r>
          </w:p>
        </w:tc>
      </w:tr>
      <w:tr>
        <w:trPr>
          <w:cantSplit/>
        </w:trPr>
        <w:tc>
          <w:tcPr>
            <w:tcW w:type="dxa" w:w="1800"/>
            <w:vAlign w:val="center"/>
            <w:tcMar>
              <w:top w:w="90" w:type="dxa"/>
              <w:start w:w="100" w:type="dxa"/>
              <w:bottom w:w="90" w:type="dxa"/>
              <w:end w:w="100" w:type="dxa"/>
            </w:tcMar>
            <w:shd w:fill="F4F7FA"/>
          </w:tcPr>
          <w:p>
            <w:pPr>
              <w:spacing w:after="0" w:line="240" w:lineRule="auto"/>
            </w:pPr>
            <w:r>
              <w:rPr>
                <w:sz w:val="16"/>
              </w:rPr>
              <w:t>2. 发起变更</w:t>
            </w:r>
          </w:p>
        </w:tc>
        <w:tc>
          <w:tcPr>
            <w:tcW w:type="dxa" w:w="4032"/>
            <w:vAlign w:val="center"/>
            <w:tcMar>
              <w:top w:w="90" w:type="dxa"/>
              <w:start w:w="100" w:type="dxa"/>
              <w:bottom w:w="90" w:type="dxa"/>
              <w:end w:w="100" w:type="dxa"/>
            </w:tcMar>
            <w:shd w:fill="F4F7FA"/>
          </w:tcPr>
          <w:p>
            <w:pPr>
              <w:spacing w:after="0" w:line="240" w:lineRule="auto"/>
            </w:pPr>
            <w:r>
              <w:rPr>
                <w:sz w:val="16"/>
              </w:rPr>
              <w:t>状态转 draft，edit_revision+1，基线版本号仍为 1</w:t>
            </w:r>
          </w:p>
        </w:tc>
        <w:tc>
          <w:tcPr>
            <w:tcW w:type="dxa" w:w="3600"/>
            <w:vAlign w:val="center"/>
            <w:tcMar>
              <w:top w:w="90" w:type="dxa"/>
              <w:start w:w="100" w:type="dxa"/>
              <w:bottom w:w="90" w:type="dxa"/>
              <w:end w:w="100" w:type="dxa"/>
            </w:tcMar>
            <w:shd w:fill="F4F7FA"/>
          </w:tcPr>
          <w:p>
            <w:pPr>
              <w:spacing w:after="0" w:line="240" w:lineRule="auto"/>
            </w:pPr>
            <w:r>
              <w:rPr>
                <w:sz w:val="16"/>
              </w:rPr>
              <w:t>记录 model.change.started 事件和审计</w:t>
            </w:r>
          </w:p>
        </w:tc>
      </w:tr>
      <w:tr>
        <w:trPr>
          <w:cantSplit/>
        </w:trPr>
        <w:tc>
          <w:tcPr>
            <w:tcW w:type="dxa" w:w="1800"/>
            <w:vAlign w:val="center"/>
            <w:tcMar>
              <w:top w:w="90" w:type="dxa"/>
              <w:start w:w="100" w:type="dxa"/>
              <w:bottom w:w="90" w:type="dxa"/>
              <w:end w:w="100" w:type="dxa"/>
            </w:tcMar>
          </w:tcPr>
          <w:p>
            <w:pPr>
              <w:spacing w:after="0" w:line="240" w:lineRule="auto"/>
            </w:pPr>
            <w:r>
              <w:rPr>
                <w:sz w:val="16"/>
              </w:rPr>
              <w:t>3. 编辑变更稿</w:t>
            </w:r>
          </w:p>
        </w:tc>
        <w:tc>
          <w:tcPr>
            <w:tcW w:type="dxa" w:w="4032"/>
            <w:vAlign w:val="center"/>
            <w:tcMar>
              <w:top w:w="90" w:type="dxa"/>
              <w:start w:w="100" w:type="dxa"/>
              <w:bottom w:w="90" w:type="dxa"/>
              <w:end w:w="100" w:type="dxa"/>
            </w:tcMar>
          </w:tcPr>
          <w:p>
            <w:pPr>
              <w:spacing w:after="0" w:line="240" w:lineRule="auto"/>
            </w:pPr>
            <w:r>
              <w:rPr>
                <w:sz w:val="16"/>
              </w:rPr>
              <w:t>按 expected_revision 乐观并发保存；可改字段、主题域、需求关联</w:t>
            </w:r>
          </w:p>
        </w:tc>
        <w:tc>
          <w:tcPr>
            <w:tcW w:type="dxa" w:w="3600"/>
            <w:vAlign w:val="center"/>
            <w:tcMar>
              <w:top w:w="90" w:type="dxa"/>
              <w:start w:w="100" w:type="dxa"/>
              <w:bottom w:w="90" w:type="dxa"/>
              <w:end w:w="100" w:type="dxa"/>
            </w:tcMar>
          </w:tcPr>
          <w:p>
            <w:pPr>
              <w:spacing w:after="0" w:line="240" w:lineRule="auto"/>
            </w:pPr>
            <w:r>
              <w:rPr>
                <w:sz w:val="16"/>
              </w:rPr>
              <w:t>冲突返回 409，正式快照不变</w:t>
            </w:r>
          </w:p>
        </w:tc>
      </w:tr>
      <w:tr>
        <w:trPr>
          <w:cantSplit/>
        </w:trPr>
        <w:tc>
          <w:tcPr>
            <w:tcW w:type="dxa" w:w="1800"/>
            <w:vAlign w:val="center"/>
            <w:tcMar>
              <w:top w:w="90" w:type="dxa"/>
              <w:start w:w="100" w:type="dxa"/>
              <w:bottom w:w="90" w:type="dxa"/>
              <w:end w:w="100" w:type="dxa"/>
            </w:tcMar>
            <w:shd w:fill="F4F7FA"/>
          </w:tcPr>
          <w:p>
            <w:pPr>
              <w:spacing w:after="0" w:line="240" w:lineRule="auto"/>
            </w:pPr>
            <w:r>
              <w:rPr>
                <w:sz w:val="16"/>
              </w:rPr>
              <w:t>4. 评审通过</w:t>
            </w:r>
          </w:p>
        </w:tc>
        <w:tc>
          <w:tcPr>
            <w:tcW w:type="dxa" w:w="4032"/>
            <w:vAlign w:val="center"/>
            <w:tcMar>
              <w:top w:w="90" w:type="dxa"/>
              <w:start w:w="100" w:type="dxa"/>
              <w:bottom w:w="90" w:type="dxa"/>
              <w:end w:w="100" w:type="dxa"/>
            </w:tcMar>
            <w:shd w:fill="F4F7FA"/>
          </w:tcPr>
          <w:p>
            <w:pPr>
              <w:spacing w:after="0" w:line="240" w:lineRule="auto"/>
            </w:pPr>
            <w:r>
              <w:rPr>
                <w:sz w:val="16"/>
              </w:rPr>
              <w:t>状态由 draft -&gt; in_review -&gt; approved</w:t>
            </w:r>
          </w:p>
        </w:tc>
        <w:tc>
          <w:tcPr>
            <w:tcW w:type="dxa" w:w="3600"/>
            <w:vAlign w:val="center"/>
            <w:tcMar>
              <w:top w:w="90" w:type="dxa"/>
              <w:start w:w="100" w:type="dxa"/>
              <w:bottom w:w="90" w:type="dxa"/>
              <w:end w:w="100" w:type="dxa"/>
            </w:tcMar>
            <w:shd w:fill="F4F7FA"/>
          </w:tcPr>
          <w:p>
            <w:pPr>
              <w:spacing w:after="0" w:line="240" w:lineRule="auto"/>
            </w:pPr>
            <w:r>
              <w:rPr>
                <w:sz w:val="16"/>
              </w:rPr>
              <w:t>校验未通过不能提交评审</w:t>
            </w:r>
          </w:p>
        </w:tc>
      </w:tr>
      <w:tr>
        <w:trPr>
          <w:cantSplit/>
        </w:trPr>
        <w:tc>
          <w:tcPr>
            <w:tcW w:type="dxa" w:w="1800"/>
            <w:vAlign w:val="center"/>
            <w:tcMar>
              <w:top w:w="90" w:type="dxa"/>
              <w:start w:w="100" w:type="dxa"/>
              <w:bottom w:w="90" w:type="dxa"/>
              <w:end w:w="100" w:type="dxa"/>
            </w:tcMar>
          </w:tcPr>
          <w:p>
            <w:pPr>
              <w:spacing w:after="0" w:line="240" w:lineRule="auto"/>
            </w:pPr>
            <w:r>
              <w:rPr>
                <w:sz w:val="16"/>
              </w:rPr>
              <w:t>5. 发布 V2</w:t>
            </w:r>
          </w:p>
        </w:tc>
        <w:tc>
          <w:tcPr>
            <w:tcW w:type="dxa" w:w="4032"/>
            <w:vAlign w:val="center"/>
            <w:tcMar>
              <w:top w:w="90" w:type="dxa"/>
              <w:start w:w="100" w:type="dxa"/>
              <w:bottom w:w="90" w:type="dxa"/>
              <w:end w:w="100" w:type="dxa"/>
            </w:tcMar>
          </w:tcPr>
          <w:p>
            <w:pPr>
              <w:spacing w:after="0" w:line="240" w:lineRule="auto"/>
            </w:pPr>
            <w:r>
              <w:rPr>
                <w:sz w:val="16"/>
              </w:rPr>
              <w:t>保存新快照，published_version_no=2，状态 published</w:t>
            </w:r>
          </w:p>
        </w:tc>
        <w:tc>
          <w:tcPr>
            <w:tcW w:type="dxa" w:w="3600"/>
            <w:vAlign w:val="center"/>
            <w:tcMar>
              <w:top w:w="90" w:type="dxa"/>
              <w:start w:w="100" w:type="dxa"/>
              <w:bottom w:w="90" w:type="dxa"/>
              <w:end w:w="100" w:type="dxa"/>
            </w:tcMar>
          </w:tcPr>
          <w:p>
            <w:pPr>
              <w:spacing w:after="0" w:line="240" w:lineRule="auto"/>
            </w:pPr>
            <w:r>
              <w:rPr>
                <w:sz w:val="16"/>
              </w:rPr>
              <w:t>与 V1 独立存储，不覆盖旧版本</w:t>
            </w:r>
          </w:p>
        </w:tc>
      </w:tr>
      <w:tr>
        <w:trPr>
          <w:cantSplit/>
        </w:trPr>
        <w:tc>
          <w:tcPr>
            <w:tcW w:type="dxa" w:w="1800"/>
            <w:vAlign w:val="center"/>
            <w:tcMar>
              <w:top w:w="90" w:type="dxa"/>
              <w:start w:w="100" w:type="dxa"/>
              <w:bottom w:w="90" w:type="dxa"/>
              <w:end w:w="100" w:type="dxa"/>
            </w:tcMar>
            <w:shd w:fill="F4F7FA"/>
          </w:tcPr>
          <w:p>
            <w:pPr>
              <w:spacing w:after="0" w:line="240" w:lineRule="auto"/>
            </w:pPr>
            <w:r>
              <w:rPr>
                <w:sz w:val="16"/>
              </w:rPr>
              <w:t>6. 比较差异</w:t>
            </w:r>
          </w:p>
        </w:tc>
        <w:tc>
          <w:tcPr>
            <w:tcW w:type="dxa" w:w="4032"/>
            <w:vAlign w:val="center"/>
            <w:tcMar>
              <w:top w:w="90" w:type="dxa"/>
              <w:start w:w="100" w:type="dxa"/>
              <w:bottom w:w="90" w:type="dxa"/>
              <w:end w:w="100" w:type="dxa"/>
            </w:tcMar>
            <w:shd w:fill="F4F7FA"/>
          </w:tcPr>
          <w:p>
            <w:pPr>
              <w:spacing w:after="0" w:line="240" w:lineRule="auto"/>
            </w:pPr>
            <w:r>
              <w:rPr>
                <w:sz w:val="16"/>
              </w:rPr>
              <w:t>按字段编码识别新增/删除/修改；比较模型属性和需求关联</w:t>
            </w:r>
          </w:p>
        </w:tc>
        <w:tc>
          <w:tcPr>
            <w:tcW w:type="dxa" w:w="3600"/>
            <w:vAlign w:val="center"/>
            <w:tcMar>
              <w:top w:w="90" w:type="dxa"/>
              <w:start w:w="100" w:type="dxa"/>
              <w:bottom w:w="90" w:type="dxa"/>
              <w:end w:w="100" w:type="dxa"/>
            </w:tcMar>
            <w:shd w:fill="F4F7FA"/>
          </w:tcPr>
          <w:p>
            <w:pPr>
              <w:spacing w:after="0" w:line="240" w:lineRule="auto"/>
            </w:pPr>
            <w:r>
              <w:rPr>
                <w:sz w:val="16"/>
              </w:rPr>
              <w:t>字段编码变更表现为删除 + 新增</w:t>
            </w:r>
          </w:p>
        </w:tc>
      </w:tr>
    </w:tbl>
    <w:p>
      <w:pPr>
        <w:spacing w:after="20"/>
      </w:pPr>
    </w:p>
    <w:p>
      <w:pPr>
        <w:pStyle w:val="Heading2"/>
        <w:keepNext/>
      </w:pPr>
      <w:r>
        <w:t>55.1 差异计算语义</w:t>
      </w:r>
    </w:p>
    <w:p>
      <w:pPr>
        <w:pStyle w:val="ListBullet"/>
        <w:spacing w:after="40"/>
      </w:pPr>
      <w:r>
        <w:t>模型属性比较：model_key、name、description、layer、model_type、target_engine、主题域等可比较属性。</w:t>
      </w:r>
    </w:p>
    <w:p>
      <w:pPr>
        <w:pStyle w:val="ListBullet"/>
        <w:spacing w:after="40"/>
      </w:pPr>
      <w:r>
        <w:t>字段比较：优先用 field_code 作为逻辑匹配键；字段编码变更被视为旧字段删除、新字段新增。</w:t>
      </w:r>
    </w:p>
    <w:p>
      <w:pPr>
        <w:pStyle w:val="ListBullet"/>
        <w:spacing w:after="40"/>
      </w:pPr>
      <w:r>
        <w:t>字段属性比较：逻辑类型、长度、精度、小数位、可空、主键、默认值、业务描述、来源和敏感级别。</w:t>
      </w:r>
    </w:p>
    <w:p>
      <w:pPr>
        <w:pStyle w:val="ListBullet"/>
        <w:spacing w:after="40"/>
      </w:pPr>
      <w:r>
        <w:t>需求追溯比较：列出新增和解除的 requirement_id。若需要审阅人直接阅读需求标题，后续可以在 diff API 中补名称映射。</w:t>
      </w:r>
    </w:p>
    <w:p>
      <w:pPr>
        <w:pStyle w:val="ListBullet"/>
        <w:spacing w:after="40"/>
      </w:pPr>
      <w:r>
        <w:t>当前版本差异不包含 model_relationships，因为关系还没有按模型版本快照固化；正式做影响分析前必须补齐关系版本语义。</w:t>
      </w:r>
    </w:p>
    <w:p>
      <w:pPr>
        <w:pStyle w:val="Heading1"/>
        <w:keepNext/>
      </w:pPr>
      <w:r>
        <w:t>56. 前端交互增强规格</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00" w:type="dxa"/>
              <w:bottom w:w="90" w:type="dxa"/>
              <w:end w:w="100" w:type="dxa"/>
            </w:tcMar>
          </w:tcPr>
          <w:p>
            <w:pPr>
              <w:spacing w:after="0"/>
            </w:pPr>
            <w:r>
              <w:rPr>
                <w:b/>
                <w:color w:val="FFFFFF"/>
                <w:sz w:val="16"/>
              </w:rPr>
              <w:t>交互点</w:t>
            </w:r>
          </w:p>
        </w:tc>
        <w:tc>
          <w:tcPr>
            <w:tcW w:type="dxa" w:w="3528"/>
            <w:shd w:fill="17365D"/>
            <w:vAlign w:val="center"/>
            <w:tcMar>
              <w:top w:w="90" w:type="dxa"/>
              <w:start w:w="100" w:type="dxa"/>
              <w:bottom w:w="90" w:type="dxa"/>
              <w:end w:w="100" w:type="dxa"/>
            </w:tcMar>
          </w:tcPr>
          <w:p>
            <w:pPr>
              <w:spacing w:after="0"/>
            </w:pPr>
            <w:r>
              <w:rPr>
                <w:b/>
                <w:color w:val="FFFFFF"/>
                <w:sz w:val="16"/>
              </w:rPr>
              <w:t>实现方式</w:t>
            </w:r>
          </w:p>
        </w:tc>
        <w:tc>
          <w:tcPr>
            <w:tcW w:type="dxa" w:w="3960"/>
            <w:shd w:fill="17365D"/>
            <w:vAlign w:val="center"/>
            <w:tcMar>
              <w:top w:w="90" w:type="dxa"/>
              <w:start w:w="100" w:type="dxa"/>
              <w:bottom w:w="90" w:type="dxa"/>
              <w:end w:w="100" w:type="dxa"/>
            </w:tcMar>
          </w:tcPr>
          <w:p>
            <w:pPr>
              <w:spacing w:after="0"/>
            </w:pPr>
            <w:r>
              <w:rPr>
                <w:b/>
                <w:color w:val="FFFFFF"/>
                <w:sz w:val="16"/>
              </w:rPr>
              <w:t>防错/便捷性约束</w:t>
            </w:r>
          </w:p>
        </w:tc>
      </w:tr>
      <w:tr>
        <w:trPr>
          <w:cantSplit/>
        </w:trPr>
        <w:tc>
          <w:tcPr>
            <w:tcW w:type="dxa" w:w="1944"/>
            <w:vAlign w:val="center"/>
            <w:tcMar>
              <w:top w:w="90" w:type="dxa"/>
              <w:start w:w="100" w:type="dxa"/>
              <w:bottom w:w="90" w:type="dxa"/>
              <w:end w:w="100" w:type="dxa"/>
            </w:tcMar>
          </w:tcPr>
          <w:p>
            <w:pPr>
              <w:spacing w:after="0" w:line="240" w:lineRule="auto"/>
            </w:pPr>
            <w:r>
              <w:rPr>
                <w:sz w:val="16"/>
              </w:rPr>
              <w:t>业务需求与主题域页</w:t>
            </w:r>
          </w:p>
        </w:tc>
        <w:tc>
          <w:tcPr>
            <w:tcW w:type="dxa" w:w="3528"/>
            <w:vAlign w:val="center"/>
            <w:tcMar>
              <w:top w:w="90" w:type="dxa"/>
              <w:start w:w="100" w:type="dxa"/>
              <w:bottom w:w="90" w:type="dxa"/>
              <w:end w:w="100" w:type="dxa"/>
            </w:tcMar>
          </w:tcPr>
          <w:p>
            <w:pPr>
              <w:spacing w:after="0" w:line="240" w:lineRule="auto"/>
            </w:pPr>
            <w:r>
              <w:rPr>
                <w:sz w:val="16"/>
              </w:rPr>
              <w:t>独立导航；需求表单、主题域表单、列表与搜索</w:t>
            </w:r>
          </w:p>
        </w:tc>
        <w:tc>
          <w:tcPr>
            <w:tcW w:type="dxa" w:w="3960"/>
            <w:vAlign w:val="center"/>
            <w:tcMar>
              <w:top w:w="90" w:type="dxa"/>
              <w:start w:w="100" w:type="dxa"/>
              <w:bottom w:w="90" w:type="dxa"/>
              <w:end w:w="100" w:type="dxa"/>
            </w:tcMar>
          </w:tcPr>
          <w:p>
            <w:pPr>
              <w:spacing w:after="0" w:line="240" w:lineRule="auto"/>
            </w:pPr>
            <w:r>
              <w:rPr>
                <w:sz w:val="16"/>
              </w:rPr>
              <w:t>需求编码/标题和主题域编码/名称必填；成功后刷新目录</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模型归属</w:t>
            </w:r>
          </w:p>
        </w:tc>
        <w:tc>
          <w:tcPr>
            <w:tcW w:type="dxa" w:w="3528"/>
            <w:vAlign w:val="center"/>
            <w:tcMar>
              <w:top w:w="90" w:type="dxa"/>
              <w:start w:w="100" w:type="dxa"/>
              <w:bottom w:w="90" w:type="dxa"/>
              <w:end w:w="100" w:type="dxa"/>
            </w:tcMar>
            <w:shd w:fill="F4F7FA"/>
          </w:tcPr>
          <w:p>
            <w:pPr>
              <w:spacing w:after="0" w:line="240" w:lineRule="auto"/>
            </w:pPr>
            <w:r>
              <w:rPr>
                <w:sz w:val="16"/>
              </w:rPr>
              <w:t>模型编辑器选择主题域；多选业务需求</w:t>
            </w:r>
          </w:p>
        </w:tc>
        <w:tc>
          <w:tcPr>
            <w:tcW w:type="dxa" w:w="3960"/>
            <w:vAlign w:val="center"/>
            <w:tcMar>
              <w:top w:w="90" w:type="dxa"/>
              <w:start w:w="100" w:type="dxa"/>
              <w:bottom w:w="90" w:type="dxa"/>
              <w:end w:w="100" w:type="dxa"/>
            </w:tcMar>
            <w:shd w:fill="F4F7FA"/>
          </w:tcPr>
          <w:p>
            <w:pPr>
              <w:spacing w:after="0" w:line="240" w:lineRule="auto"/>
            </w:pPr>
            <w:r>
              <w:rPr>
                <w:sz w:val="16"/>
              </w:rPr>
              <w:t>需求与主题域只能从当前项目目录选择，防跨项目关联</w:t>
            </w:r>
          </w:p>
        </w:tc>
      </w:tr>
      <w:tr>
        <w:trPr>
          <w:cantSplit/>
        </w:trPr>
        <w:tc>
          <w:tcPr>
            <w:tcW w:type="dxa" w:w="1944"/>
            <w:vAlign w:val="center"/>
            <w:tcMar>
              <w:top w:w="90" w:type="dxa"/>
              <w:start w:w="100" w:type="dxa"/>
              <w:bottom w:w="90" w:type="dxa"/>
              <w:end w:w="100" w:type="dxa"/>
            </w:tcMar>
          </w:tcPr>
          <w:p>
            <w:pPr>
              <w:spacing w:after="0" w:line="240" w:lineRule="auto"/>
            </w:pPr>
            <w:r>
              <w:rPr>
                <w:sz w:val="16"/>
              </w:rPr>
              <w:t>字段批量粘贴</w:t>
            </w:r>
          </w:p>
        </w:tc>
        <w:tc>
          <w:tcPr>
            <w:tcW w:type="dxa" w:w="3528"/>
            <w:vAlign w:val="center"/>
            <w:tcMar>
              <w:top w:w="90" w:type="dxa"/>
              <w:start w:w="100" w:type="dxa"/>
              <w:bottom w:w="90" w:type="dxa"/>
              <w:end w:w="100" w:type="dxa"/>
            </w:tcMar>
          </w:tcPr>
          <w:p>
            <w:pPr>
              <w:spacing w:after="0" w:line="240" w:lineRule="auto"/>
            </w:pPr>
            <w:r>
              <w:rPr>
                <w:sz w:val="16"/>
              </w:rPr>
              <w:t>复制 Excel 行后粘贴 TSV，列顺序为编码、中文名、类型、主键、可空、说明</w:t>
            </w:r>
          </w:p>
        </w:tc>
        <w:tc>
          <w:tcPr>
            <w:tcW w:type="dxa" w:w="3960"/>
            <w:vAlign w:val="center"/>
            <w:tcMar>
              <w:top w:w="90" w:type="dxa"/>
              <w:start w:w="100" w:type="dxa"/>
              <w:bottom w:w="90" w:type="dxa"/>
              <w:end w:w="100" w:type="dxa"/>
            </w:tcMar>
          </w:tcPr>
          <w:p>
            <w:pPr>
              <w:spacing w:after="0" w:line="240" w:lineRule="auto"/>
            </w:pPr>
            <w:r>
              <w:rPr>
                <w:sz w:val="16"/>
              </w:rPr>
              <w:t>只加入草稿；字段编码由服务端校验；粘贴后提示校验并保存</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关系维护</w:t>
            </w:r>
          </w:p>
        </w:tc>
        <w:tc>
          <w:tcPr>
            <w:tcW w:type="dxa" w:w="3528"/>
            <w:vAlign w:val="center"/>
            <w:tcMar>
              <w:top w:w="90" w:type="dxa"/>
              <w:start w:w="100" w:type="dxa"/>
              <w:bottom w:w="90" w:type="dxa"/>
              <w:end w:w="100" w:type="dxa"/>
            </w:tcMar>
            <w:shd w:fill="F4F7FA"/>
          </w:tcPr>
          <w:p>
            <w:pPr>
              <w:spacing w:after="0" w:line="240" w:lineRule="auto"/>
            </w:pPr>
            <w:r>
              <w:rPr>
                <w:sz w:val="16"/>
              </w:rPr>
              <w:t>选择目标模型、关系类型、基数、源/目标字段和说明</w:t>
            </w:r>
          </w:p>
        </w:tc>
        <w:tc>
          <w:tcPr>
            <w:tcW w:type="dxa" w:w="3960"/>
            <w:vAlign w:val="center"/>
            <w:tcMar>
              <w:top w:w="90" w:type="dxa"/>
              <w:start w:w="100" w:type="dxa"/>
              <w:bottom w:w="90" w:type="dxa"/>
              <w:end w:w="100" w:type="dxa"/>
            </w:tcMar>
            <w:shd w:fill="F4F7FA"/>
          </w:tcPr>
          <w:p>
            <w:pPr>
              <w:spacing w:after="0" w:line="240" w:lineRule="auto"/>
            </w:pPr>
            <w:r>
              <w:rPr>
                <w:sz w:val="16"/>
              </w:rPr>
              <w:t>目标为当前项目的其他模型；关系字段缺失时返回明确错误</w:t>
            </w:r>
          </w:p>
        </w:tc>
      </w:tr>
      <w:tr>
        <w:trPr>
          <w:cantSplit/>
        </w:trPr>
        <w:tc>
          <w:tcPr>
            <w:tcW w:type="dxa" w:w="1944"/>
            <w:vAlign w:val="center"/>
            <w:tcMar>
              <w:top w:w="90" w:type="dxa"/>
              <w:start w:w="100" w:type="dxa"/>
              <w:bottom w:w="90" w:type="dxa"/>
              <w:end w:w="100" w:type="dxa"/>
            </w:tcMar>
          </w:tcPr>
          <w:p>
            <w:pPr>
              <w:spacing w:after="0" w:line="240" w:lineRule="auto"/>
            </w:pPr>
            <w:r>
              <w:rPr>
                <w:sz w:val="16"/>
              </w:rPr>
              <w:t>变更草稿</w:t>
            </w:r>
          </w:p>
        </w:tc>
        <w:tc>
          <w:tcPr>
            <w:tcW w:type="dxa" w:w="3528"/>
            <w:vAlign w:val="center"/>
            <w:tcMar>
              <w:top w:w="90" w:type="dxa"/>
              <w:start w:w="100" w:type="dxa"/>
              <w:bottom w:w="90" w:type="dxa"/>
              <w:end w:w="100" w:type="dxa"/>
            </w:tcMar>
          </w:tcPr>
          <w:p>
            <w:pPr>
              <w:spacing w:after="0" w:line="240" w:lineRule="auto"/>
            </w:pPr>
            <w:r>
              <w:rPr>
                <w:sz w:val="16"/>
              </w:rPr>
              <w:t>已发布模型显示“基于已发布版本发起变更”按钮</w:t>
            </w:r>
          </w:p>
        </w:tc>
        <w:tc>
          <w:tcPr>
            <w:tcW w:type="dxa" w:w="3960"/>
            <w:vAlign w:val="center"/>
            <w:tcMar>
              <w:top w:w="90" w:type="dxa"/>
              <w:start w:w="100" w:type="dxa"/>
              <w:bottom w:w="90" w:type="dxa"/>
              <w:end w:w="100" w:type="dxa"/>
            </w:tcMar>
          </w:tcPr>
          <w:p>
            <w:pPr>
              <w:spacing w:after="0" w:line="240" w:lineRule="auto"/>
            </w:pPr>
            <w:r>
              <w:rPr>
                <w:sz w:val="16"/>
              </w:rPr>
              <w:t>弹出确认，进入草稿前保留发布版本号与快照</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版本差异</w:t>
            </w:r>
          </w:p>
        </w:tc>
        <w:tc>
          <w:tcPr>
            <w:tcW w:type="dxa" w:w="3528"/>
            <w:vAlign w:val="center"/>
            <w:tcMar>
              <w:top w:w="90" w:type="dxa"/>
              <w:start w:w="100" w:type="dxa"/>
              <w:bottom w:w="90" w:type="dxa"/>
              <w:end w:w="100" w:type="dxa"/>
            </w:tcMar>
            <w:shd w:fill="F4F7FA"/>
          </w:tcPr>
          <w:p>
            <w:pPr>
              <w:spacing w:after="0" w:line="240" w:lineRule="auto"/>
            </w:pPr>
            <w:r>
              <w:rPr>
                <w:sz w:val="16"/>
              </w:rPr>
              <w:t>版本下拉框 + 比较操作；分块展示属性、字段新增/删除/修改</w:t>
            </w:r>
          </w:p>
        </w:tc>
        <w:tc>
          <w:tcPr>
            <w:tcW w:type="dxa" w:w="3960"/>
            <w:vAlign w:val="center"/>
            <w:tcMar>
              <w:top w:w="90" w:type="dxa"/>
              <w:start w:w="100" w:type="dxa"/>
              <w:bottom w:w="90" w:type="dxa"/>
              <w:end w:w="100" w:type="dxa"/>
            </w:tcMar>
            <w:shd w:fill="F4F7FA"/>
          </w:tcPr>
          <w:p>
            <w:pPr>
              <w:spacing w:after="0" w:line="240" w:lineRule="auto"/>
            </w:pPr>
            <w:r>
              <w:rPr>
                <w:sz w:val="16"/>
              </w:rPr>
              <w:t>两个版本必须不同；只有一个版本时提示无法比较</w:t>
            </w:r>
          </w:p>
        </w:tc>
      </w:tr>
      <w:tr>
        <w:trPr>
          <w:cantSplit/>
        </w:trPr>
        <w:tc>
          <w:tcPr>
            <w:tcW w:type="dxa" w:w="1944"/>
            <w:vAlign w:val="center"/>
            <w:tcMar>
              <w:top w:w="90" w:type="dxa"/>
              <w:start w:w="100" w:type="dxa"/>
              <w:bottom w:w="90" w:type="dxa"/>
              <w:end w:w="100" w:type="dxa"/>
            </w:tcMar>
          </w:tcPr>
          <w:p>
            <w:pPr>
              <w:spacing w:after="0" w:line="240" w:lineRule="auto"/>
            </w:pPr>
            <w:r>
              <w:rPr>
                <w:sz w:val="16"/>
              </w:rPr>
              <w:t>错误反馈</w:t>
            </w:r>
          </w:p>
        </w:tc>
        <w:tc>
          <w:tcPr>
            <w:tcW w:type="dxa" w:w="3528"/>
            <w:vAlign w:val="center"/>
            <w:tcMar>
              <w:top w:w="90" w:type="dxa"/>
              <w:start w:w="100" w:type="dxa"/>
              <w:bottom w:w="90" w:type="dxa"/>
              <w:end w:w="100" w:type="dxa"/>
            </w:tcMar>
          </w:tcPr>
          <w:p>
            <w:pPr>
              <w:spacing w:after="0" w:line="240" w:lineRule="auto"/>
            </w:pPr>
            <w:r>
              <w:rPr>
                <w:sz w:val="16"/>
              </w:rPr>
              <w:t>提示错误码及 request_id；并发冲突提示刷新与人工比较</w:t>
            </w:r>
          </w:p>
        </w:tc>
        <w:tc>
          <w:tcPr>
            <w:tcW w:type="dxa" w:w="3960"/>
            <w:vAlign w:val="center"/>
            <w:tcMar>
              <w:top w:w="90" w:type="dxa"/>
              <w:start w:w="100" w:type="dxa"/>
              <w:bottom w:w="90" w:type="dxa"/>
              <w:end w:w="100" w:type="dxa"/>
            </w:tcMar>
          </w:tcPr>
          <w:p>
            <w:pPr>
              <w:spacing w:after="0" w:line="240" w:lineRule="auto"/>
            </w:pPr>
            <w:r>
              <w:rPr>
                <w:sz w:val="16"/>
              </w:rPr>
              <w:t>不要自动覆盖服务端新修订，也不声称冲突已自动合并</w:t>
            </w:r>
          </w:p>
        </w:tc>
      </w:tr>
    </w:tbl>
    <w:p>
      <w:pPr>
        <w:spacing w:after="20"/>
      </w:pPr>
    </w:p>
    <w:p>
      <w:pPr>
        <w:spacing w:after="100" w:line="269" w:lineRule="auto"/>
      </w:pPr>
      <w:r>
        <w:t>当前前端仍为静态 HTML/CSS/JavaScript，以保持开发效率；功能通过现有 FastAPI API 集成，并非 Vue 3 最终形态。模型自动保存、多标签页冲突合并、字段级拖拽排序、关系图画布与浏览器 E2E 测试仍为后续工作。</w:t>
      </w:r>
    </w:p>
    <w:p>
      <w:pPr>
        <w:pStyle w:val="Heading1"/>
        <w:keepNext/>
      </w:pPr>
      <w:r>
        <w:t>57. V0.6 API 契约增量</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365D"/>
            <w:vAlign w:val="center"/>
            <w:tcMar>
              <w:top w:w="90" w:type="dxa"/>
              <w:start w:w="100" w:type="dxa"/>
              <w:bottom w:w="90" w:type="dxa"/>
              <w:end w:w="100" w:type="dxa"/>
            </w:tcMar>
          </w:tcPr>
          <w:p>
            <w:pPr>
              <w:spacing w:after="0"/>
            </w:pPr>
            <w:r>
              <w:rPr>
                <w:b/>
                <w:color w:val="FFFFFF"/>
                <w:sz w:val="16"/>
              </w:rPr>
              <w:t>方法</w:t>
            </w:r>
          </w:p>
        </w:tc>
        <w:tc>
          <w:tcPr>
            <w:tcW w:type="dxa" w:w="3888"/>
            <w:shd w:fill="17365D"/>
            <w:vAlign w:val="center"/>
            <w:tcMar>
              <w:top w:w="90" w:type="dxa"/>
              <w:start w:w="100" w:type="dxa"/>
              <w:bottom w:w="90" w:type="dxa"/>
              <w:end w:w="100" w:type="dxa"/>
            </w:tcMar>
          </w:tcPr>
          <w:p>
            <w:pPr>
              <w:spacing w:after="0"/>
            </w:pPr>
            <w:r>
              <w:rPr>
                <w:b/>
                <w:color w:val="FFFFFF"/>
                <w:sz w:val="16"/>
              </w:rPr>
              <w:t>路径</w:t>
            </w:r>
          </w:p>
        </w:tc>
        <w:tc>
          <w:tcPr>
            <w:tcW w:type="dxa" w:w="4104"/>
            <w:shd w:fill="17365D"/>
            <w:vAlign w:val="center"/>
            <w:tcMar>
              <w:top w:w="90" w:type="dxa"/>
              <w:start w:w="100" w:type="dxa"/>
              <w:bottom w:w="90" w:type="dxa"/>
              <w:end w:w="100" w:type="dxa"/>
            </w:tcMar>
          </w:tcPr>
          <w:p>
            <w:pPr>
              <w:spacing w:after="0"/>
            </w:pPr>
            <w:r>
              <w:rPr>
                <w:b/>
                <w:color w:val="FFFFFF"/>
                <w:sz w:val="16"/>
              </w:rPr>
              <w:t>目的/关键规则</w:t>
            </w:r>
          </w:p>
        </w:tc>
      </w:tr>
      <w:tr>
        <w:trPr>
          <w:cantSplit/>
        </w:trPr>
        <w:tc>
          <w:tcPr>
            <w:tcW w:type="dxa" w:w="1440"/>
            <w:vAlign w:val="center"/>
            <w:tcMar>
              <w:top w:w="90" w:type="dxa"/>
              <w:start w:w="100" w:type="dxa"/>
              <w:bottom w:w="90" w:type="dxa"/>
              <w:end w:w="100" w:type="dxa"/>
            </w:tcMar>
          </w:tcPr>
          <w:p>
            <w:pPr>
              <w:spacing w:after="0" w:line="240" w:lineRule="auto"/>
            </w:pPr>
            <w:r>
              <w:rPr>
                <w:sz w:val="16"/>
              </w:rPr>
              <w:t>GET/POST</w:t>
            </w:r>
          </w:p>
        </w:tc>
        <w:tc>
          <w:tcPr>
            <w:tcW w:type="dxa" w:w="3888"/>
            <w:vAlign w:val="center"/>
            <w:tcMar>
              <w:top w:w="90" w:type="dxa"/>
              <w:start w:w="100" w:type="dxa"/>
              <w:bottom w:w="90" w:type="dxa"/>
              <w:end w:w="100" w:type="dxa"/>
            </w:tcMar>
          </w:tcPr>
          <w:p>
            <w:pPr>
              <w:spacing w:after="0" w:line="240" w:lineRule="auto"/>
            </w:pPr>
            <w:r>
              <w:rPr>
                <w:sz w:val="16"/>
              </w:rPr>
              <w:t>/api/projects/{id}/subject-areas</w:t>
            </w:r>
          </w:p>
        </w:tc>
        <w:tc>
          <w:tcPr>
            <w:tcW w:type="dxa" w:w="4104"/>
            <w:vAlign w:val="center"/>
            <w:tcMar>
              <w:top w:w="90" w:type="dxa"/>
              <w:start w:w="100" w:type="dxa"/>
              <w:bottom w:w="90" w:type="dxa"/>
              <w:end w:w="100" w:type="dxa"/>
            </w:tcMar>
          </w:tcPr>
          <w:p>
            <w:pPr>
              <w:spacing w:after="0" w:line="240" w:lineRule="auto"/>
            </w:pPr>
            <w:r>
              <w:rPr>
                <w:sz w:val="16"/>
              </w:rPr>
              <w:t>列出/创建主题域；编码在项目内唯一</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GET/POST</w:t>
            </w:r>
          </w:p>
        </w:tc>
        <w:tc>
          <w:tcPr>
            <w:tcW w:type="dxa" w:w="3888"/>
            <w:vAlign w:val="center"/>
            <w:tcMar>
              <w:top w:w="90" w:type="dxa"/>
              <w:start w:w="100" w:type="dxa"/>
              <w:bottom w:w="90" w:type="dxa"/>
              <w:end w:w="100" w:type="dxa"/>
            </w:tcMar>
            <w:shd w:fill="F4F7FA"/>
          </w:tcPr>
          <w:p>
            <w:pPr>
              <w:spacing w:after="0" w:line="240" w:lineRule="auto"/>
            </w:pPr>
            <w:r>
              <w:rPr>
                <w:sz w:val="16"/>
              </w:rPr>
              <w:t>/api/projects/{id}/requirements</w:t>
            </w:r>
          </w:p>
        </w:tc>
        <w:tc>
          <w:tcPr>
            <w:tcW w:type="dxa" w:w="4104"/>
            <w:vAlign w:val="center"/>
            <w:tcMar>
              <w:top w:w="90" w:type="dxa"/>
              <w:start w:w="100" w:type="dxa"/>
              <w:bottom w:w="90" w:type="dxa"/>
              <w:end w:w="100" w:type="dxa"/>
            </w:tcMar>
            <w:shd w:fill="F4F7FA"/>
          </w:tcPr>
          <w:p>
            <w:pPr>
              <w:spacing w:after="0" w:line="240" w:lineRule="auto"/>
            </w:pPr>
            <w:r>
              <w:rPr>
                <w:sz w:val="16"/>
              </w:rPr>
              <w:t>列出/创建业务需求</w:t>
            </w:r>
          </w:p>
        </w:tc>
      </w:tr>
      <w:tr>
        <w:trPr>
          <w:cantSplit/>
        </w:trPr>
        <w:tc>
          <w:tcPr>
            <w:tcW w:type="dxa" w:w="1440"/>
            <w:vAlign w:val="center"/>
            <w:tcMar>
              <w:top w:w="90" w:type="dxa"/>
              <w:start w:w="100" w:type="dxa"/>
              <w:bottom w:w="90" w:type="dxa"/>
              <w:end w:w="100" w:type="dxa"/>
            </w:tcMar>
          </w:tcPr>
          <w:p>
            <w:pPr>
              <w:spacing w:after="0" w:line="240" w:lineRule="auto"/>
            </w:pPr>
            <w:r>
              <w:rPr>
                <w:sz w:val="16"/>
              </w:rPr>
              <w:t>GET/PUT</w:t>
            </w:r>
          </w:p>
        </w:tc>
        <w:tc>
          <w:tcPr>
            <w:tcW w:type="dxa" w:w="3888"/>
            <w:vAlign w:val="center"/>
            <w:tcMar>
              <w:top w:w="90" w:type="dxa"/>
              <w:start w:w="100" w:type="dxa"/>
              <w:bottom w:w="90" w:type="dxa"/>
              <w:end w:w="100" w:type="dxa"/>
            </w:tcMar>
          </w:tcPr>
          <w:p>
            <w:pPr>
              <w:spacing w:after="0" w:line="240" w:lineRule="auto"/>
            </w:pPr>
            <w:r>
              <w:rPr>
                <w:sz w:val="16"/>
              </w:rPr>
              <w:t>/api/requirements/{id}</w:t>
            </w:r>
          </w:p>
        </w:tc>
        <w:tc>
          <w:tcPr>
            <w:tcW w:type="dxa" w:w="4104"/>
            <w:vAlign w:val="center"/>
            <w:tcMar>
              <w:top w:w="90" w:type="dxa"/>
              <w:start w:w="100" w:type="dxa"/>
              <w:bottom w:w="90" w:type="dxa"/>
              <w:end w:w="100" w:type="dxa"/>
            </w:tcMar>
          </w:tcPr>
          <w:p>
            <w:pPr>
              <w:spacing w:after="0" w:line="240" w:lineRule="auto"/>
            </w:pPr>
            <w:r>
              <w:rPr>
                <w:sz w:val="16"/>
              </w:rPr>
              <w:t>查询/更新需求元数据</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GET</w:t>
            </w:r>
          </w:p>
        </w:tc>
        <w:tc>
          <w:tcPr>
            <w:tcW w:type="dxa" w:w="3888"/>
            <w:vAlign w:val="center"/>
            <w:tcMar>
              <w:top w:w="90" w:type="dxa"/>
              <w:start w:w="100" w:type="dxa"/>
              <w:bottom w:w="90" w:type="dxa"/>
              <w:end w:w="100" w:type="dxa"/>
            </w:tcMar>
            <w:shd w:fill="F4F7FA"/>
          </w:tcPr>
          <w:p>
            <w:pPr>
              <w:spacing w:after="0" w:line="240" w:lineRule="auto"/>
            </w:pPr>
            <w:r>
              <w:rPr>
                <w:sz w:val="16"/>
              </w:rPr>
              <w:t>/api/requirements/{id}/models</w:t>
            </w:r>
          </w:p>
        </w:tc>
        <w:tc>
          <w:tcPr>
            <w:tcW w:type="dxa" w:w="4104"/>
            <w:vAlign w:val="center"/>
            <w:tcMar>
              <w:top w:w="90" w:type="dxa"/>
              <w:start w:w="100" w:type="dxa"/>
              <w:bottom w:w="90" w:type="dxa"/>
              <w:end w:w="100" w:type="dxa"/>
            </w:tcMar>
            <w:shd w:fill="F4F7FA"/>
          </w:tcPr>
          <w:p>
            <w:pPr>
              <w:spacing w:after="0" w:line="240" w:lineRule="auto"/>
            </w:pPr>
            <w:r>
              <w:rPr>
                <w:sz w:val="16"/>
              </w:rPr>
              <w:t>列出需求关联的模型</w:t>
            </w:r>
          </w:p>
        </w:tc>
      </w:tr>
      <w:tr>
        <w:trPr>
          <w:cantSplit/>
        </w:trPr>
        <w:tc>
          <w:tcPr>
            <w:tcW w:type="dxa" w:w="1440"/>
            <w:vAlign w:val="center"/>
            <w:tcMar>
              <w:top w:w="90" w:type="dxa"/>
              <w:start w:w="100" w:type="dxa"/>
              <w:bottom w:w="90" w:type="dxa"/>
              <w:end w:w="100" w:type="dxa"/>
            </w:tcMar>
          </w:tcPr>
          <w:p>
            <w:pPr>
              <w:spacing w:after="0" w:line="240" w:lineRule="auto"/>
            </w:pPr>
            <w:r>
              <w:rPr>
                <w:sz w:val="16"/>
              </w:rPr>
              <w:t>POST/DELETE</w:t>
            </w:r>
          </w:p>
        </w:tc>
        <w:tc>
          <w:tcPr>
            <w:tcW w:type="dxa" w:w="3888"/>
            <w:vAlign w:val="center"/>
            <w:tcMar>
              <w:top w:w="90" w:type="dxa"/>
              <w:start w:w="100" w:type="dxa"/>
              <w:bottom w:w="90" w:type="dxa"/>
              <w:end w:w="100" w:type="dxa"/>
            </w:tcMar>
          </w:tcPr>
          <w:p>
            <w:pPr>
              <w:spacing w:after="0" w:line="240" w:lineRule="auto"/>
            </w:pPr>
            <w:r>
              <w:rPr>
                <w:sz w:val="16"/>
              </w:rPr>
              <w:t>/api/requirements/{rid}/models/{mid}</w:t>
            </w:r>
          </w:p>
        </w:tc>
        <w:tc>
          <w:tcPr>
            <w:tcW w:type="dxa" w:w="4104"/>
            <w:vAlign w:val="center"/>
            <w:tcMar>
              <w:top w:w="90" w:type="dxa"/>
              <w:start w:w="100" w:type="dxa"/>
              <w:bottom w:w="90" w:type="dxa"/>
              <w:end w:w="100" w:type="dxa"/>
            </w:tcMar>
          </w:tcPr>
          <w:p>
            <w:pPr>
              <w:spacing w:after="0" w:line="240" w:lineRule="auto"/>
            </w:pPr>
            <w:r>
              <w:rPr>
                <w:sz w:val="16"/>
              </w:rPr>
              <w:t>创建或移除需求-模型关联；同项目校验</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GET/POST</w:t>
            </w:r>
          </w:p>
        </w:tc>
        <w:tc>
          <w:tcPr>
            <w:tcW w:type="dxa" w:w="3888"/>
            <w:vAlign w:val="center"/>
            <w:tcMar>
              <w:top w:w="90" w:type="dxa"/>
              <w:start w:w="100" w:type="dxa"/>
              <w:bottom w:w="90" w:type="dxa"/>
              <w:end w:w="100" w:type="dxa"/>
            </w:tcMar>
            <w:shd w:fill="F4F7FA"/>
          </w:tcPr>
          <w:p>
            <w:pPr>
              <w:spacing w:after="0" w:line="240" w:lineRule="auto"/>
            </w:pPr>
            <w:r>
              <w:rPr>
                <w:sz w:val="16"/>
              </w:rPr>
              <w:t>/api/models/{id}/relationships</w:t>
            </w:r>
          </w:p>
        </w:tc>
        <w:tc>
          <w:tcPr>
            <w:tcW w:type="dxa" w:w="4104"/>
            <w:vAlign w:val="center"/>
            <w:tcMar>
              <w:top w:w="90" w:type="dxa"/>
              <w:start w:w="100" w:type="dxa"/>
              <w:bottom w:w="90" w:type="dxa"/>
              <w:end w:w="100" w:type="dxa"/>
            </w:tcMar>
            <w:shd w:fill="F4F7FA"/>
          </w:tcPr>
          <w:p>
            <w:pPr>
              <w:spacing w:after="0" w:line="240" w:lineRule="auto"/>
            </w:pPr>
            <w:r>
              <w:rPr>
                <w:sz w:val="16"/>
              </w:rPr>
              <w:t>查看/创建模型间关系；验证字段对和项目边界</w:t>
            </w:r>
          </w:p>
        </w:tc>
      </w:tr>
      <w:tr>
        <w:trPr>
          <w:cantSplit/>
        </w:trPr>
        <w:tc>
          <w:tcPr>
            <w:tcW w:type="dxa" w:w="1440"/>
            <w:vAlign w:val="center"/>
            <w:tcMar>
              <w:top w:w="90" w:type="dxa"/>
              <w:start w:w="100" w:type="dxa"/>
              <w:bottom w:w="90" w:type="dxa"/>
              <w:end w:w="100" w:type="dxa"/>
            </w:tcMar>
          </w:tcPr>
          <w:p>
            <w:pPr>
              <w:spacing w:after="0" w:line="240" w:lineRule="auto"/>
            </w:pPr>
            <w:r>
              <w:rPr>
                <w:sz w:val="16"/>
              </w:rPr>
              <w:t>DELETE</w:t>
            </w:r>
          </w:p>
        </w:tc>
        <w:tc>
          <w:tcPr>
            <w:tcW w:type="dxa" w:w="3888"/>
            <w:vAlign w:val="center"/>
            <w:tcMar>
              <w:top w:w="90" w:type="dxa"/>
              <w:start w:w="100" w:type="dxa"/>
              <w:bottom w:w="90" w:type="dxa"/>
              <w:end w:w="100" w:type="dxa"/>
            </w:tcMar>
          </w:tcPr>
          <w:p>
            <w:pPr>
              <w:spacing w:after="0" w:line="240" w:lineRule="auto"/>
            </w:pPr>
            <w:r>
              <w:rPr>
                <w:sz w:val="16"/>
              </w:rPr>
              <w:t>/api/models/{id}/relationships/{rid}</w:t>
            </w:r>
          </w:p>
        </w:tc>
        <w:tc>
          <w:tcPr>
            <w:tcW w:type="dxa" w:w="4104"/>
            <w:vAlign w:val="center"/>
            <w:tcMar>
              <w:top w:w="90" w:type="dxa"/>
              <w:start w:w="100" w:type="dxa"/>
              <w:bottom w:w="90" w:type="dxa"/>
              <w:end w:w="100" w:type="dxa"/>
            </w:tcMar>
          </w:tcPr>
          <w:p>
            <w:pPr>
              <w:spacing w:after="0" w:line="240" w:lineRule="auto"/>
            </w:pPr>
            <w:r>
              <w:rPr>
                <w:sz w:val="16"/>
              </w:rPr>
              <w:t>删除当前模型参与的一条关系</w:t>
            </w:r>
          </w:p>
        </w:tc>
      </w:tr>
      <w:tr>
        <w:trPr>
          <w:cantSplit/>
        </w:trPr>
        <w:tc>
          <w:tcPr>
            <w:tcW w:type="dxa" w:w="1440"/>
            <w:vAlign w:val="center"/>
            <w:tcMar>
              <w:top w:w="90" w:type="dxa"/>
              <w:start w:w="100" w:type="dxa"/>
              <w:bottom w:w="90" w:type="dxa"/>
              <w:end w:w="100" w:type="dxa"/>
            </w:tcMar>
            <w:shd w:fill="F4F7FA"/>
          </w:tcPr>
          <w:p>
            <w:pPr>
              <w:spacing w:after="0" w:line="240" w:lineRule="auto"/>
            </w:pPr>
            <w:r>
              <w:rPr>
                <w:sz w:val="16"/>
              </w:rPr>
              <w:t>POST</w:t>
            </w:r>
          </w:p>
        </w:tc>
        <w:tc>
          <w:tcPr>
            <w:tcW w:type="dxa" w:w="3888"/>
            <w:vAlign w:val="center"/>
            <w:tcMar>
              <w:top w:w="90" w:type="dxa"/>
              <w:start w:w="100" w:type="dxa"/>
              <w:bottom w:w="90" w:type="dxa"/>
              <w:end w:w="100" w:type="dxa"/>
            </w:tcMar>
            <w:shd w:fill="F4F7FA"/>
          </w:tcPr>
          <w:p>
            <w:pPr>
              <w:spacing w:after="0" w:line="240" w:lineRule="auto"/>
            </w:pPr>
            <w:r>
              <w:rPr>
                <w:sz w:val="16"/>
              </w:rPr>
              <w:t>/api/models/{id}/start-change</w:t>
            </w:r>
          </w:p>
        </w:tc>
        <w:tc>
          <w:tcPr>
            <w:tcW w:type="dxa" w:w="4104"/>
            <w:vAlign w:val="center"/>
            <w:tcMar>
              <w:top w:w="90" w:type="dxa"/>
              <w:start w:w="100" w:type="dxa"/>
              <w:bottom w:w="90" w:type="dxa"/>
              <w:end w:w="100" w:type="dxa"/>
            </w:tcMar>
            <w:shd w:fill="F4F7FA"/>
          </w:tcPr>
          <w:p>
            <w:pPr>
              <w:spacing w:after="0" w:line="240" w:lineRule="auto"/>
            </w:pPr>
            <w:r>
              <w:rPr>
                <w:sz w:val="16"/>
              </w:rPr>
              <w:t>从已发布版本创建变更草稿</w:t>
            </w:r>
          </w:p>
        </w:tc>
      </w:tr>
      <w:tr>
        <w:trPr>
          <w:cantSplit/>
        </w:trPr>
        <w:tc>
          <w:tcPr>
            <w:tcW w:type="dxa" w:w="1440"/>
            <w:vAlign w:val="center"/>
            <w:tcMar>
              <w:top w:w="90" w:type="dxa"/>
              <w:start w:w="100" w:type="dxa"/>
              <w:bottom w:w="90" w:type="dxa"/>
              <w:end w:w="100" w:type="dxa"/>
            </w:tcMar>
          </w:tcPr>
          <w:p>
            <w:pPr>
              <w:spacing w:after="0" w:line="240" w:lineRule="auto"/>
            </w:pPr>
            <w:r>
              <w:rPr>
                <w:sz w:val="16"/>
              </w:rPr>
              <w:t>GET</w:t>
            </w:r>
          </w:p>
        </w:tc>
        <w:tc>
          <w:tcPr>
            <w:tcW w:type="dxa" w:w="3888"/>
            <w:vAlign w:val="center"/>
            <w:tcMar>
              <w:top w:w="90" w:type="dxa"/>
              <w:start w:w="100" w:type="dxa"/>
              <w:bottom w:w="90" w:type="dxa"/>
              <w:end w:w="100" w:type="dxa"/>
            </w:tcMar>
          </w:tcPr>
          <w:p>
            <w:pPr>
              <w:spacing w:after="0" w:line="240" w:lineRule="auto"/>
            </w:pPr>
            <w:r>
              <w:rPr>
                <w:sz w:val="16"/>
              </w:rPr>
              <w:t>/api/models/{id}/versions/diff?from_version=1&amp;to_version=2</w:t>
            </w:r>
          </w:p>
        </w:tc>
        <w:tc>
          <w:tcPr>
            <w:tcW w:type="dxa" w:w="4104"/>
            <w:vAlign w:val="center"/>
            <w:tcMar>
              <w:top w:w="90" w:type="dxa"/>
              <w:start w:w="100" w:type="dxa"/>
              <w:bottom w:w="90" w:type="dxa"/>
              <w:end w:w="100" w:type="dxa"/>
            </w:tcMar>
          </w:tcPr>
          <w:p>
            <w:pPr>
              <w:spacing w:after="0" w:line="240" w:lineRule="auto"/>
            </w:pPr>
            <w:r>
              <w:rPr>
                <w:sz w:val="16"/>
              </w:rPr>
              <w:t>比较两个正式版本的模型属性、字段与需求关联差异</w:t>
            </w:r>
          </w:p>
        </w:tc>
      </w:tr>
    </w:tbl>
    <w:p>
      <w:pPr>
        <w:spacing w:after="20"/>
      </w:pPr>
    </w:p>
    <w:p>
      <w:pPr>
        <w:pStyle w:val="Heading2"/>
        <w:keepNext/>
      </w:pPr>
      <w:r>
        <w:t>57.1 示例：创建业务需求</w:t>
      </w:r>
    </w:p>
    <w:p>
      <w:pPr>
        <w:keepNext/>
        <w:spacing w:after="0" w:line="240" w:lineRule="auto"/>
        <w:ind w:left="216" w:right="216"/>
        <w:shd w:fill="F3F4F6"/>
      </w:pPr>
      <w:r>
        <w:rPr>
          <w:rFonts w:ascii="Consolas" w:hAnsi="Consolas" w:eastAsia="Microsoft YaHei"/>
          <w:color w:val="1F2937"/>
          <w:sz w:val="16"/>
        </w:rPr>
        <w:t>POST /api/projects/1/requirements</w:t>
      </w:r>
    </w:p>
    <w:p>
      <w:pPr>
        <w:keepNext/>
        <w:spacing w:after="0" w:line="240" w:lineRule="auto"/>
        <w:ind w:left="216" w:right="216"/>
        <w:shd w:fill="F3F4F6"/>
      </w:pPr>
      <w:r>
        <w:rPr>
          <w:rFonts w:ascii="Consolas" w:hAnsi="Consolas" w:eastAsia="Microsoft YaHei"/>
          <w:color w:val="1F2937"/>
          <w:sz w:val="16"/>
        </w:rPr>
        <w:t>Content-Type: application/json</w:t>
      </w:r>
    </w:p>
    <w:p>
      <w:pPr>
        <w:keepNext/>
        <w:spacing w:after="0" w:line="240" w:lineRule="auto"/>
        <w:ind w:left="216" w:right="216"/>
        <w:shd w:fill="F3F4F6"/>
      </w:pPr>
      <w:r>
        <w:rPr>
          <w:rFonts w:ascii="Consolas" w:hAnsi="Consolas" w:eastAsia="Microsoft YaHei"/>
          <w:color w:val="1F2937"/>
          <w:sz w:val="16"/>
        </w:rPr>
        <w:t xml:space="preserve"> </w:t>
      </w:r>
    </w:p>
    <w:p>
      <w:pPr>
        <w:keepNext/>
        <w:spacing w:after="0" w:line="240" w:lineRule="auto"/>
        <w:ind w:left="216" w:right="216"/>
        <w:shd w:fill="F3F4F6"/>
      </w:pPr>
      <w:r>
        <w:rPr>
          <w:rFonts w:ascii="Consolas" w:hAnsi="Consolas" w:eastAsia="Microsoft YaHei"/>
          <w:color w:val="1F2937"/>
          <w:sz w:val="16"/>
        </w:rPr>
        <w:t>{</w:t>
      </w:r>
    </w:p>
    <w:p>
      <w:pPr>
        <w:keepNext/>
        <w:spacing w:after="0" w:line="240" w:lineRule="auto"/>
        <w:ind w:left="216" w:right="216"/>
        <w:shd w:fill="F3F4F6"/>
      </w:pPr>
      <w:r>
        <w:rPr>
          <w:rFonts w:ascii="Consolas" w:hAnsi="Consolas" w:eastAsia="Microsoft YaHei"/>
          <w:color w:val="1F2937"/>
          <w:sz w:val="16"/>
        </w:rPr>
        <w:t xml:space="preserve">  "requirement_key": "REQ_SALES_001",</w:t>
      </w:r>
    </w:p>
    <w:p>
      <w:pPr>
        <w:keepNext/>
        <w:spacing w:after="0" w:line="240" w:lineRule="auto"/>
        <w:ind w:left="216" w:right="216"/>
        <w:shd w:fill="F3F4F6"/>
      </w:pPr>
      <w:r>
        <w:rPr>
          <w:rFonts w:ascii="Consolas" w:hAnsi="Consolas" w:eastAsia="Microsoft YaHei"/>
          <w:color w:val="1F2937"/>
          <w:sz w:val="16"/>
        </w:rPr>
        <w:t xml:space="preserve">  "title": "销售订单经营分析",</w:t>
      </w:r>
    </w:p>
    <w:p>
      <w:pPr>
        <w:keepNext/>
        <w:spacing w:after="0" w:line="240" w:lineRule="auto"/>
        <w:ind w:left="216" w:right="216"/>
        <w:shd w:fill="F3F4F6"/>
      </w:pPr>
      <w:r>
        <w:rPr>
          <w:rFonts w:ascii="Consolas" w:hAnsi="Consolas" w:eastAsia="Microsoft YaHei"/>
          <w:color w:val="1F2937"/>
          <w:sz w:val="16"/>
        </w:rPr>
        <w:t xml:space="preserve">  "business_domain": "销售经营",</w:t>
      </w:r>
    </w:p>
    <w:p>
      <w:pPr>
        <w:keepNext/>
        <w:spacing w:after="0" w:line="240" w:lineRule="auto"/>
        <w:ind w:left="216" w:right="216"/>
        <w:shd w:fill="F3F4F6"/>
      </w:pPr>
      <w:r>
        <w:rPr>
          <w:rFonts w:ascii="Consolas" w:hAnsi="Consolas" w:eastAsia="Microsoft YaHei"/>
          <w:color w:val="1F2937"/>
          <w:sz w:val="16"/>
        </w:rPr>
        <w:t xml:space="preserve">  "description": "按日分析订单和客户表现",</w:t>
      </w:r>
    </w:p>
    <w:p>
      <w:pPr>
        <w:keepNext/>
        <w:spacing w:after="0" w:line="240" w:lineRule="auto"/>
        <w:ind w:left="216" w:right="216"/>
        <w:shd w:fill="F3F4F6"/>
      </w:pPr>
      <w:r>
        <w:rPr>
          <w:rFonts w:ascii="Consolas" w:hAnsi="Consolas" w:eastAsia="Microsoft YaHei"/>
          <w:color w:val="1F2937"/>
          <w:sz w:val="16"/>
        </w:rPr>
        <w:t xml:space="preserve">  "acceptance_criteria": "支持日期、客户筛选；T+1 刷新",</w:t>
      </w:r>
    </w:p>
    <w:p>
      <w:pPr>
        <w:keepNext/>
        <w:spacing w:after="0" w:line="240" w:lineRule="auto"/>
        <w:ind w:left="216" w:right="216"/>
        <w:shd w:fill="F3F4F6"/>
      </w:pPr>
      <w:r>
        <w:rPr>
          <w:rFonts w:ascii="Consolas" w:hAnsi="Consolas" w:eastAsia="Microsoft YaHei"/>
          <w:color w:val="1F2937"/>
          <w:sz w:val="16"/>
        </w:rPr>
        <w:t xml:space="preserve">  "priority": "P1",</w:t>
      </w:r>
    </w:p>
    <w:p>
      <w:pPr>
        <w:keepNext/>
        <w:spacing w:after="0" w:line="240" w:lineRule="auto"/>
        <w:ind w:left="216" w:right="216"/>
        <w:shd w:fill="F3F4F6"/>
      </w:pPr>
      <w:r>
        <w:rPr>
          <w:rFonts w:ascii="Consolas" w:hAnsi="Consolas" w:eastAsia="Microsoft YaHei"/>
          <w:color w:val="1F2937"/>
          <w:sz w:val="16"/>
        </w:rPr>
        <w:t xml:space="preserve">  "status": "in_analysis",</w:t>
      </w:r>
    </w:p>
    <w:p>
      <w:pPr>
        <w:keepNext/>
        <w:spacing w:after="0" w:line="240" w:lineRule="auto"/>
        <w:ind w:left="216" w:right="216"/>
        <w:shd w:fill="F3F4F6"/>
      </w:pPr>
      <w:r>
        <w:rPr>
          <w:rFonts w:ascii="Consolas" w:hAnsi="Consolas" w:eastAsia="Microsoft YaHei"/>
          <w:color w:val="1F2937"/>
          <w:sz w:val="16"/>
        </w:rPr>
        <w:t xml:space="preserve">  "owner": "business.owner"</w:t>
      </w:r>
    </w:p>
    <w:p>
      <w:pPr>
        <w:keepNext w:val="0"/>
        <w:spacing w:after="0" w:line="240" w:lineRule="auto"/>
        <w:ind w:left="216" w:right="216"/>
        <w:shd w:fill="F3F4F6"/>
      </w:pPr>
      <w:r>
        <w:rPr>
          <w:rFonts w:ascii="Consolas" w:hAnsi="Consolas" w:eastAsia="Microsoft YaHei"/>
          <w:color w:val="1F2937"/>
          <w:sz w:val="16"/>
        </w:rPr>
        <w:t>}</w:t>
      </w:r>
    </w:p>
    <w:p>
      <w:pPr>
        <w:pStyle w:val="Heading2"/>
        <w:keepNext/>
      </w:pPr>
      <w:r>
        <w:t>57.2 示例：建立模型依赖与字段映射</w:t>
      </w:r>
    </w:p>
    <w:p>
      <w:pPr>
        <w:keepNext/>
        <w:spacing w:after="0" w:line="240" w:lineRule="auto"/>
        <w:ind w:left="216" w:right="216"/>
        <w:shd w:fill="F3F4F6"/>
      </w:pPr>
      <w:r>
        <w:rPr>
          <w:rFonts w:ascii="Consolas" w:hAnsi="Consolas" w:eastAsia="Microsoft YaHei"/>
          <w:color w:val="1F2937"/>
          <w:sz w:val="16"/>
        </w:rPr>
        <w:t>POST /api/models/10/relationships</w:t>
      </w:r>
    </w:p>
    <w:p>
      <w:pPr>
        <w:keepNext/>
        <w:spacing w:after="0" w:line="240" w:lineRule="auto"/>
        <w:ind w:left="216" w:right="216"/>
        <w:shd w:fill="F3F4F6"/>
      </w:pPr>
      <w:r>
        <w:rPr>
          <w:rFonts w:ascii="Consolas" w:hAnsi="Consolas" w:eastAsia="Microsoft YaHei"/>
          <w:color w:val="1F2937"/>
          <w:sz w:val="16"/>
        </w:rPr>
        <w:t>Content-Type: application/json</w:t>
      </w:r>
    </w:p>
    <w:p>
      <w:pPr>
        <w:keepNext/>
        <w:spacing w:after="0" w:line="240" w:lineRule="auto"/>
        <w:ind w:left="216" w:right="216"/>
        <w:shd w:fill="F3F4F6"/>
      </w:pPr>
      <w:r>
        <w:rPr>
          <w:rFonts w:ascii="Consolas" w:hAnsi="Consolas" w:eastAsia="Microsoft YaHei"/>
          <w:color w:val="1F2937"/>
          <w:sz w:val="16"/>
        </w:rPr>
        <w:t xml:space="preserve"> </w:t>
      </w:r>
    </w:p>
    <w:p>
      <w:pPr>
        <w:keepNext/>
        <w:spacing w:after="0" w:line="240" w:lineRule="auto"/>
        <w:ind w:left="216" w:right="216"/>
        <w:shd w:fill="F3F4F6"/>
      </w:pPr>
      <w:r>
        <w:rPr>
          <w:rFonts w:ascii="Consolas" w:hAnsi="Consolas" w:eastAsia="Microsoft YaHei"/>
          <w:color w:val="1F2937"/>
          <w:sz w:val="16"/>
        </w:rPr>
        <w:t>{</w:t>
      </w:r>
    </w:p>
    <w:p>
      <w:pPr>
        <w:keepNext/>
        <w:spacing w:after="0" w:line="240" w:lineRule="auto"/>
        <w:ind w:left="216" w:right="216"/>
        <w:shd w:fill="F3F4F6"/>
      </w:pPr>
      <w:r>
        <w:rPr>
          <w:rFonts w:ascii="Consolas" w:hAnsi="Consolas" w:eastAsia="Microsoft YaHei"/>
          <w:color w:val="1F2937"/>
          <w:sz w:val="16"/>
        </w:rPr>
        <w:t xml:space="preserve">  "target_model_id": 12,</w:t>
      </w:r>
    </w:p>
    <w:p>
      <w:pPr>
        <w:keepNext/>
        <w:spacing w:after="0" w:line="240" w:lineRule="auto"/>
        <w:ind w:left="216" w:right="216"/>
        <w:shd w:fill="F3F4F6"/>
      </w:pPr>
      <w:r>
        <w:rPr>
          <w:rFonts w:ascii="Consolas" w:hAnsi="Consolas" w:eastAsia="Microsoft YaHei"/>
          <w:color w:val="1F2937"/>
          <w:sz w:val="16"/>
        </w:rPr>
        <w:t xml:space="preserve">  "relationship_type": "joins_to",</w:t>
      </w:r>
    </w:p>
    <w:p>
      <w:pPr>
        <w:keepNext/>
        <w:spacing w:after="0" w:line="240" w:lineRule="auto"/>
        <w:ind w:left="216" w:right="216"/>
        <w:shd w:fill="F3F4F6"/>
      </w:pPr>
      <w:r>
        <w:rPr>
          <w:rFonts w:ascii="Consolas" w:hAnsi="Consolas" w:eastAsia="Microsoft YaHei"/>
          <w:color w:val="1F2937"/>
          <w:sz w:val="16"/>
        </w:rPr>
        <w:t xml:space="preserve">  "source_fields": ["customer_id"],</w:t>
      </w:r>
    </w:p>
    <w:p>
      <w:pPr>
        <w:keepNext/>
        <w:spacing w:after="0" w:line="240" w:lineRule="auto"/>
        <w:ind w:left="216" w:right="216"/>
        <w:shd w:fill="F3F4F6"/>
      </w:pPr>
      <w:r>
        <w:rPr>
          <w:rFonts w:ascii="Consolas" w:hAnsi="Consolas" w:eastAsia="Microsoft YaHei"/>
          <w:color w:val="1F2937"/>
          <w:sz w:val="16"/>
        </w:rPr>
        <w:t xml:space="preserve">  "target_fields": ["id"],</w:t>
      </w:r>
    </w:p>
    <w:p>
      <w:pPr>
        <w:keepNext/>
        <w:spacing w:after="0" w:line="240" w:lineRule="auto"/>
        <w:ind w:left="216" w:right="216"/>
        <w:shd w:fill="F3F4F6"/>
      </w:pPr>
      <w:r>
        <w:rPr>
          <w:rFonts w:ascii="Consolas" w:hAnsi="Consolas" w:eastAsia="Microsoft YaHei"/>
          <w:color w:val="1F2937"/>
          <w:sz w:val="16"/>
        </w:rPr>
        <w:t xml:space="preserve">  "cardinality": "many_to_one",</w:t>
      </w:r>
    </w:p>
    <w:p>
      <w:pPr>
        <w:keepNext/>
        <w:spacing w:after="0" w:line="240" w:lineRule="auto"/>
        <w:ind w:left="216" w:right="216"/>
        <w:shd w:fill="F3F4F6"/>
      </w:pPr>
      <w:r>
        <w:rPr>
          <w:rFonts w:ascii="Consolas" w:hAnsi="Consolas" w:eastAsia="Microsoft YaHei"/>
          <w:color w:val="1F2937"/>
          <w:sz w:val="16"/>
        </w:rPr>
        <w:t xml:space="preserve">  "description": "订单明细通过客户编号关联客户维表"</w:t>
      </w:r>
    </w:p>
    <w:p>
      <w:pPr>
        <w:keepNext w:val="0"/>
        <w:spacing w:after="0" w:line="240" w:lineRule="auto"/>
        <w:ind w:left="216" w:right="216"/>
        <w:shd w:fill="F3F4F6"/>
      </w:pPr>
      <w:r>
        <w:rPr>
          <w:rFonts w:ascii="Consolas" w:hAnsi="Consolas" w:eastAsia="Microsoft YaHei"/>
          <w:color w:val="1F2937"/>
          <w:sz w:val="16"/>
        </w:rPr>
        <w:t>}</w:t>
      </w:r>
    </w:p>
    <w:p>
      <w:pPr>
        <w:spacing w:after="100" w:line="269" w:lineRule="auto"/>
      </w:pPr>
      <w:r>
        <w:t>关键错误码包括 SUBJECT_AREA_PROJECT_MISMATCH、REQUIREMENT_PROJECT_MISMATCH、CROSS_PROJECT_RELATIONSHIP、SELF_RELATIONSHIP、RELATIONSHIP_FIELD_NOT_FOUND、RELATIONSHIP_FIELD_PAIR_MISMATCH、MODEL_RELATIONSHIP_EXISTS、NO_PUBLISHED_BASELINE、MODEL_VERSION_NOT_FOUND 等。所有错误沿用统一错误对象和 request_id。</w:t>
      </w:r>
    </w:p>
    <w:p>
      <w:pPr>
        <w:pStyle w:val="Heading1"/>
        <w:keepNext/>
      </w:pPr>
      <w:r>
        <w:t>58. 数据库迁移与兼容性</w:t>
      </w:r>
    </w:p>
    <w:p>
      <w:pPr>
        <w:spacing w:after="100" w:line="269" w:lineRule="auto"/>
      </w:pPr>
      <w:r>
        <w:t>V0.6 通过 Alembic revision 761be0cda0ff 扩展 V0.5 schema，down_revision 为 d50979bffe74。增量包含 business_requirements、subject_areas、requirement_model_links、model_relationships 四张表，并为 data_models 新增可空 subject_area_id 外键。SQLite 在通过 batch ALTER 重建父表时，如果开启外键，删除旧 data_models 可能触发 model_fields 等子表级联删除；因此 migrations/env.py 只在迁移连接期间临时关闭 SQLite foreign_keys，迁移结束后立即重新开启，并以含有历史模型、字段和版本快照的数据保留回归测试保护该行为。</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7365D"/>
            <w:vAlign w:val="center"/>
            <w:tcMar>
              <w:top w:w="90" w:type="dxa"/>
              <w:start w:w="100" w:type="dxa"/>
              <w:bottom w:w="90" w:type="dxa"/>
              <w:end w:w="100" w:type="dxa"/>
            </w:tcMar>
          </w:tcPr>
          <w:p>
            <w:pPr>
              <w:spacing w:after="0"/>
            </w:pPr>
            <w:r>
              <w:rPr>
                <w:b/>
                <w:color w:val="FFFFFF"/>
                <w:sz w:val="16"/>
              </w:rPr>
              <w:t>迁移对象</w:t>
            </w:r>
          </w:p>
        </w:tc>
        <w:tc>
          <w:tcPr>
            <w:tcW w:type="dxa" w:w="3960"/>
            <w:shd w:fill="17365D"/>
            <w:vAlign w:val="center"/>
            <w:tcMar>
              <w:top w:w="90" w:type="dxa"/>
              <w:start w:w="100" w:type="dxa"/>
              <w:bottom w:w="90" w:type="dxa"/>
              <w:end w:w="100" w:type="dxa"/>
            </w:tcMar>
          </w:tcPr>
          <w:p>
            <w:pPr>
              <w:spacing w:after="0"/>
            </w:pPr>
            <w:r>
              <w:rPr>
                <w:b/>
                <w:color w:val="FFFFFF"/>
                <w:sz w:val="16"/>
              </w:rPr>
              <w:t>约束/索引</w:t>
            </w:r>
          </w:p>
        </w:tc>
        <w:tc>
          <w:tcPr>
            <w:tcW w:type="dxa" w:w="3096"/>
            <w:shd w:fill="17365D"/>
            <w:vAlign w:val="center"/>
            <w:tcMar>
              <w:top w:w="90" w:type="dxa"/>
              <w:start w:w="100" w:type="dxa"/>
              <w:bottom w:w="90" w:type="dxa"/>
              <w:end w:w="100" w:type="dxa"/>
            </w:tcMar>
          </w:tcPr>
          <w:p>
            <w:pPr>
              <w:spacing w:after="0"/>
            </w:pPr>
            <w:r>
              <w:rPr>
                <w:b/>
                <w:color w:val="FFFFFF"/>
                <w:sz w:val="16"/>
              </w:rPr>
              <w:t>升级兼容性</w:t>
            </w:r>
          </w:p>
        </w:tc>
      </w:tr>
      <w:tr>
        <w:trPr>
          <w:cantSplit/>
        </w:trPr>
        <w:tc>
          <w:tcPr>
            <w:tcW w:type="dxa" w:w="2376"/>
            <w:vAlign w:val="center"/>
            <w:tcMar>
              <w:top w:w="90" w:type="dxa"/>
              <w:start w:w="100" w:type="dxa"/>
              <w:bottom w:w="90" w:type="dxa"/>
              <w:end w:w="100" w:type="dxa"/>
            </w:tcMar>
          </w:tcPr>
          <w:p>
            <w:pPr>
              <w:spacing w:after="0" w:line="240" w:lineRule="auto"/>
            </w:pPr>
            <w:r>
              <w:rPr>
                <w:sz w:val="16"/>
              </w:rPr>
              <w:t>business_requirements</w:t>
            </w:r>
          </w:p>
        </w:tc>
        <w:tc>
          <w:tcPr>
            <w:tcW w:type="dxa" w:w="3960"/>
            <w:vAlign w:val="center"/>
            <w:tcMar>
              <w:top w:w="90" w:type="dxa"/>
              <w:start w:w="100" w:type="dxa"/>
              <w:bottom w:w="90" w:type="dxa"/>
              <w:end w:w="100" w:type="dxa"/>
            </w:tcMar>
          </w:tcPr>
          <w:p>
            <w:pPr>
              <w:spacing w:after="0" w:line="240" w:lineRule="auto"/>
            </w:pPr>
            <w:r>
              <w:rPr>
                <w:sz w:val="16"/>
              </w:rPr>
              <w:t>项目 + requirement_key 唯一；按 project_id/status 索引</w:t>
            </w:r>
          </w:p>
        </w:tc>
        <w:tc>
          <w:tcPr>
            <w:tcW w:type="dxa" w:w="3096"/>
            <w:vAlign w:val="center"/>
            <w:tcMar>
              <w:top w:w="90" w:type="dxa"/>
              <w:start w:w="100" w:type="dxa"/>
              <w:bottom w:w="90" w:type="dxa"/>
              <w:end w:w="100" w:type="dxa"/>
            </w:tcMar>
          </w:tcPr>
          <w:p>
            <w:pPr>
              <w:spacing w:after="0" w:line="240" w:lineRule="auto"/>
            </w:pPr>
            <w:r>
              <w:rPr>
                <w:sz w:val="16"/>
              </w:rPr>
              <w:t>旧表保留；新表初始化为空，不迁移旧模型数据</w:t>
            </w:r>
          </w:p>
        </w:tc>
      </w:tr>
      <w:tr>
        <w:trPr>
          <w:cantSplit/>
        </w:trPr>
        <w:tc>
          <w:tcPr>
            <w:tcW w:type="dxa" w:w="2376"/>
            <w:vAlign w:val="center"/>
            <w:tcMar>
              <w:top w:w="90" w:type="dxa"/>
              <w:start w:w="100" w:type="dxa"/>
              <w:bottom w:w="90" w:type="dxa"/>
              <w:end w:w="100" w:type="dxa"/>
            </w:tcMar>
            <w:shd w:fill="F4F7FA"/>
          </w:tcPr>
          <w:p>
            <w:pPr>
              <w:spacing w:after="0" w:line="240" w:lineRule="auto"/>
            </w:pPr>
            <w:r>
              <w:rPr>
                <w:sz w:val="16"/>
              </w:rPr>
              <w:t>subject_areas</w:t>
            </w:r>
          </w:p>
        </w:tc>
        <w:tc>
          <w:tcPr>
            <w:tcW w:type="dxa" w:w="3960"/>
            <w:vAlign w:val="center"/>
            <w:tcMar>
              <w:top w:w="90" w:type="dxa"/>
              <w:start w:w="100" w:type="dxa"/>
              <w:bottom w:w="90" w:type="dxa"/>
              <w:end w:w="100" w:type="dxa"/>
            </w:tcMar>
            <w:shd w:fill="F4F7FA"/>
          </w:tcPr>
          <w:p>
            <w:pPr>
              <w:spacing w:after="0" w:line="240" w:lineRule="auto"/>
            </w:pPr>
            <w:r>
              <w:rPr>
                <w:sz w:val="16"/>
              </w:rPr>
              <w:t>项目 + area_key 唯一；project_id/name 索引</w:t>
            </w:r>
          </w:p>
        </w:tc>
        <w:tc>
          <w:tcPr>
            <w:tcW w:type="dxa" w:w="3096"/>
            <w:vAlign w:val="center"/>
            <w:tcMar>
              <w:top w:w="90" w:type="dxa"/>
              <w:start w:w="100" w:type="dxa"/>
              <w:bottom w:w="90" w:type="dxa"/>
              <w:end w:w="100" w:type="dxa"/>
            </w:tcMar>
            <w:shd w:fill="F4F7FA"/>
          </w:tcPr>
          <w:p>
            <w:pPr>
              <w:spacing w:after="0" w:line="240" w:lineRule="auto"/>
            </w:pPr>
            <w:r>
              <w:rPr>
                <w:sz w:val="16"/>
              </w:rPr>
              <w:t>历史模型的 subject_area_id 默认 NULL</w:t>
            </w:r>
          </w:p>
        </w:tc>
      </w:tr>
      <w:tr>
        <w:trPr>
          <w:cantSplit/>
        </w:trPr>
        <w:tc>
          <w:tcPr>
            <w:tcW w:type="dxa" w:w="2376"/>
            <w:vAlign w:val="center"/>
            <w:tcMar>
              <w:top w:w="90" w:type="dxa"/>
              <w:start w:w="100" w:type="dxa"/>
              <w:bottom w:w="90" w:type="dxa"/>
              <w:end w:w="100" w:type="dxa"/>
            </w:tcMar>
          </w:tcPr>
          <w:p>
            <w:pPr>
              <w:spacing w:after="0" w:line="240" w:lineRule="auto"/>
            </w:pPr>
            <w:r>
              <w:rPr>
                <w:sz w:val="16"/>
              </w:rPr>
              <w:t>requirement_model_links</w:t>
            </w:r>
          </w:p>
        </w:tc>
        <w:tc>
          <w:tcPr>
            <w:tcW w:type="dxa" w:w="3960"/>
            <w:vAlign w:val="center"/>
            <w:tcMar>
              <w:top w:w="90" w:type="dxa"/>
              <w:start w:w="100" w:type="dxa"/>
              <w:bottom w:w="90" w:type="dxa"/>
              <w:end w:w="100" w:type="dxa"/>
            </w:tcMar>
          </w:tcPr>
          <w:p>
            <w:pPr>
              <w:spacing w:after="0" w:line="240" w:lineRule="auto"/>
            </w:pPr>
            <w:r>
              <w:rPr>
                <w:sz w:val="16"/>
              </w:rPr>
              <w:t>requirement_id + model_id 唯一；model_id 索引</w:t>
            </w:r>
          </w:p>
        </w:tc>
        <w:tc>
          <w:tcPr>
            <w:tcW w:type="dxa" w:w="3096"/>
            <w:vAlign w:val="center"/>
            <w:tcMar>
              <w:top w:w="90" w:type="dxa"/>
              <w:start w:w="100" w:type="dxa"/>
              <w:bottom w:w="90" w:type="dxa"/>
              <w:end w:w="100" w:type="dxa"/>
            </w:tcMar>
          </w:tcPr>
          <w:p>
            <w:pPr>
              <w:spacing w:after="0" w:line="240" w:lineRule="auto"/>
            </w:pPr>
            <w:r>
              <w:rPr>
                <w:sz w:val="16"/>
              </w:rPr>
              <w:t>旧模型不自动关联任何需求</w:t>
            </w:r>
          </w:p>
        </w:tc>
      </w:tr>
      <w:tr>
        <w:trPr>
          <w:cantSplit/>
        </w:trPr>
        <w:tc>
          <w:tcPr>
            <w:tcW w:type="dxa" w:w="2376"/>
            <w:vAlign w:val="center"/>
            <w:tcMar>
              <w:top w:w="90" w:type="dxa"/>
              <w:start w:w="100" w:type="dxa"/>
              <w:bottom w:w="90" w:type="dxa"/>
              <w:end w:w="100" w:type="dxa"/>
            </w:tcMar>
            <w:shd w:fill="F4F7FA"/>
          </w:tcPr>
          <w:p>
            <w:pPr>
              <w:spacing w:after="0" w:line="240" w:lineRule="auto"/>
            </w:pPr>
            <w:r>
              <w:rPr>
                <w:sz w:val="16"/>
              </w:rPr>
              <w:t>model_relationships</w:t>
            </w:r>
          </w:p>
        </w:tc>
        <w:tc>
          <w:tcPr>
            <w:tcW w:type="dxa" w:w="3960"/>
            <w:vAlign w:val="center"/>
            <w:tcMar>
              <w:top w:w="90" w:type="dxa"/>
              <w:start w:w="100" w:type="dxa"/>
              <w:bottom w:w="90" w:type="dxa"/>
              <w:end w:w="100" w:type="dxa"/>
            </w:tcMar>
            <w:shd w:fill="F4F7FA"/>
          </w:tcPr>
          <w:p>
            <w:pPr>
              <w:spacing w:after="0" w:line="240" w:lineRule="auto"/>
            </w:pPr>
            <w:r>
              <w:rPr>
                <w:sz w:val="16"/>
              </w:rPr>
              <w:t>禁止 source=target；源/目标/类型唯一；project/source 索引</w:t>
            </w:r>
          </w:p>
        </w:tc>
        <w:tc>
          <w:tcPr>
            <w:tcW w:type="dxa" w:w="3096"/>
            <w:vAlign w:val="center"/>
            <w:tcMar>
              <w:top w:w="90" w:type="dxa"/>
              <w:start w:w="100" w:type="dxa"/>
              <w:bottom w:w="90" w:type="dxa"/>
              <w:end w:w="100" w:type="dxa"/>
            </w:tcMar>
            <w:shd w:fill="F4F7FA"/>
          </w:tcPr>
          <w:p>
            <w:pPr>
              <w:spacing w:after="0" w:line="240" w:lineRule="auto"/>
            </w:pPr>
            <w:r>
              <w:rPr>
                <w:sz w:val="16"/>
              </w:rPr>
              <w:t>关系元数据初始为空，不会自动推断依赖</w:t>
            </w:r>
          </w:p>
        </w:tc>
      </w:tr>
      <w:tr>
        <w:trPr>
          <w:cantSplit/>
        </w:trPr>
        <w:tc>
          <w:tcPr>
            <w:tcW w:type="dxa" w:w="2376"/>
            <w:vAlign w:val="center"/>
            <w:tcMar>
              <w:top w:w="90" w:type="dxa"/>
              <w:start w:w="100" w:type="dxa"/>
              <w:bottom w:w="90" w:type="dxa"/>
              <w:end w:w="100" w:type="dxa"/>
            </w:tcMar>
          </w:tcPr>
          <w:p>
            <w:pPr>
              <w:spacing w:after="0" w:line="240" w:lineRule="auto"/>
            </w:pPr>
            <w:r>
              <w:rPr>
                <w:sz w:val="16"/>
              </w:rPr>
              <w:t>data_models.subject_area_id</w:t>
            </w:r>
          </w:p>
        </w:tc>
        <w:tc>
          <w:tcPr>
            <w:tcW w:type="dxa" w:w="3960"/>
            <w:vAlign w:val="center"/>
            <w:tcMar>
              <w:top w:w="90" w:type="dxa"/>
              <w:start w:w="100" w:type="dxa"/>
              <w:bottom w:w="90" w:type="dxa"/>
              <w:end w:w="100" w:type="dxa"/>
            </w:tcMar>
          </w:tcPr>
          <w:p>
            <w:pPr>
              <w:spacing w:after="0" w:line="240" w:lineRule="auto"/>
            </w:pPr>
            <w:r>
              <w:rPr>
                <w:sz w:val="16"/>
              </w:rPr>
              <w:t>可空 FK 到 subject_areas，删除域时 SET NULL</w:t>
            </w:r>
          </w:p>
        </w:tc>
        <w:tc>
          <w:tcPr>
            <w:tcW w:type="dxa" w:w="3096"/>
            <w:vAlign w:val="center"/>
            <w:tcMar>
              <w:top w:w="90" w:type="dxa"/>
              <w:start w:w="100" w:type="dxa"/>
              <w:bottom w:w="90" w:type="dxa"/>
              <w:end w:w="100" w:type="dxa"/>
            </w:tcMar>
          </w:tcPr>
          <w:p>
            <w:pPr>
              <w:spacing w:after="0" w:line="240" w:lineRule="auto"/>
            </w:pPr>
            <w:r>
              <w:rPr>
                <w:sz w:val="16"/>
              </w:rPr>
              <w:t>兼容旧模型；API 校验主题域与项目归属</w:t>
            </w:r>
          </w:p>
        </w:tc>
      </w:tr>
    </w:tbl>
    <w:p>
      <w:pPr>
        <w:spacing w:after="20"/>
      </w:pPr>
    </w:p>
    <w:p>
      <w:pPr>
        <w:keepNext/>
        <w:spacing w:after="0" w:line="240" w:lineRule="auto"/>
        <w:ind w:left="216" w:right="216"/>
        <w:shd w:fill="F3F4F6"/>
      </w:pPr>
      <w:r>
        <w:rPr>
          <w:rFonts w:ascii="Consolas" w:hAnsi="Consolas" w:eastAsia="Microsoft YaHei"/>
          <w:color w:val="1F2937"/>
          <w:sz w:val="16"/>
        </w:rPr>
        <w:t># V0.6 升级命令（先在备份/测试副本执行）</w:t>
      </w:r>
    </w:p>
    <w:p>
      <w:pPr>
        <w:keepNext/>
        <w:spacing w:after="0" w:line="240" w:lineRule="auto"/>
        <w:ind w:left="216" w:right="216"/>
        <w:shd w:fill="F3F4F6"/>
      </w:pPr>
      <w:r>
        <w:rPr>
          <w:rFonts w:ascii="Consolas" w:hAnsi="Consolas" w:eastAsia="Microsoft YaHei"/>
          <w:color w:val="1F2937"/>
          <w:sz w:val="16"/>
        </w:rPr>
        <w:t>python -m alembic current</w:t>
      </w:r>
    </w:p>
    <w:p>
      <w:pPr>
        <w:keepNext/>
        <w:spacing w:after="0" w:line="240" w:lineRule="auto"/>
        <w:ind w:left="216" w:right="216"/>
        <w:shd w:fill="F3F4F6"/>
      </w:pPr>
      <w:r>
        <w:rPr>
          <w:rFonts w:ascii="Consolas" w:hAnsi="Consolas" w:eastAsia="Microsoft YaHei"/>
          <w:color w:val="1F2937"/>
          <w:sz w:val="16"/>
        </w:rPr>
        <w:t>python -m alembic upgrade head</w:t>
      </w:r>
    </w:p>
    <w:p>
      <w:pPr>
        <w:keepNext/>
        <w:spacing w:after="0" w:line="240" w:lineRule="auto"/>
        <w:ind w:left="216" w:right="216"/>
        <w:shd w:fill="F3F4F6"/>
      </w:pPr>
      <w:r>
        <w:rPr>
          <w:rFonts w:ascii="Consolas" w:hAnsi="Consolas" w:eastAsia="Microsoft YaHei"/>
          <w:color w:val="1F2937"/>
          <w:sz w:val="16"/>
        </w:rPr>
        <w:t>python -m alembic current</w:t>
      </w:r>
    </w:p>
    <w:p>
      <w:pPr>
        <w:keepNext/>
        <w:spacing w:after="0" w:line="240" w:lineRule="auto"/>
        <w:ind w:left="216" w:right="216"/>
        <w:shd w:fill="F3F4F6"/>
      </w:pPr>
      <w:r>
        <w:rPr>
          <w:rFonts w:ascii="Consolas" w:hAnsi="Consolas" w:eastAsia="Microsoft YaHei"/>
          <w:color w:val="1F2937"/>
          <w:sz w:val="16"/>
        </w:rPr>
        <w:t xml:space="preserve"> </w:t>
      </w:r>
    </w:p>
    <w:p>
      <w:pPr>
        <w:keepNext w:val="0"/>
        <w:spacing w:after="0" w:line="240" w:lineRule="auto"/>
        <w:ind w:left="216" w:right="216"/>
        <w:shd w:fill="F3F4F6"/>
      </w:pPr>
      <w:r>
        <w:rPr>
          <w:rFonts w:ascii="Consolas" w:hAnsi="Consolas" w:eastAsia="Microsoft YaHei"/>
          <w:color w:val="1F2937"/>
          <w:sz w:val="16"/>
        </w:rPr>
        <w:t># 当前最新 revision：761be0cda0ff</w:t>
      </w:r>
    </w:p>
    <w:tbl>
      <w:tblPr>
        <w:tblStyle w:val="TableGrid"/>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60"/>
            </w:pPr>
            <w:r>
              <w:rPr>
                <w:b/>
                <w:color w:val="7D5000"/>
              </w:rPr>
              <w:t>既有 V0.5 数据库注意事项</w:t>
            </w:r>
          </w:p>
          <w:p>
            <w:pPr>
              <w:spacing w:after="0"/>
            </w:pPr>
            <w:r>
              <w:rPr>
                <w:sz w:val="18"/>
              </w:rPr>
              <w:t>未版本化的 V0.5 旧库不能直接在唯一数据副本上接管。先停服、备份、对比表结构，在备份副本演练。ADOPT_LEGACY_SCHEMA=true 会将旧库标记到 V0.5 初始 revision d50979bffe74，然后正常升级至 V0.6 head；完成后关闭接管开关。该检查并非完整 schema diff。</w:t>
            </w:r>
          </w:p>
        </w:tc>
      </w:tr>
    </w:tbl>
    <w:p>
      <w:pPr>
        <w:spacing w:after="20"/>
      </w:pPr>
    </w:p>
    <w:p>
      <w:pPr>
        <w:pStyle w:val="Heading1"/>
        <w:keepNext/>
      </w:pPr>
      <w:r>
        <w:t>59. V0.6 自动化验证结果</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00" w:type="dxa"/>
              <w:bottom w:w="90" w:type="dxa"/>
              <w:end w:w="100" w:type="dxa"/>
            </w:tcMar>
          </w:tcPr>
          <w:p>
            <w:pPr>
              <w:spacing w:after="0"/>
            </w:pPr>
            <w:r>
              <w:rPr>
                <w:b/>
                <w:color w:val="FFFFFF"/>
                <w:sz w:val="16"/>
              </w:rPr>
              <w:t>测试组</w:t>
            </w:r>
          </w:p>
        </w:tc>
        <w:tc>
          <w:tcPr>
            <w:tcW w:type="dxa" w:w="4968"/>
            <w:shd w:fill="17365D"/>
            <w:vAlign w:val="center"/>
            <w:tcMar>
              <w:top w:w="90" w:type="dxa"/>
              <w:start w:w="100" w:type="dxa"/>
              <w:bottom w:w="90" w:type="dxa"/>
              <w:end w:w="100" w:type="dxa"/>
            </w:tcMar>
          </w:tcPr>
          <w:p>
            <w:pPr>
              <w:spacing w:after="0"/>
            </w:pPr>
            <w:r>
              <w:rPr>
                <w:b/>
                <w:color w:val="FFFFFF"/>
                <w:sz w:val="16"/>
              </w:rPr>
              <w:t>内容</w:t>
            </w:r>
          </w:p>
        </w:tc>
        <w:tc>
          <w:tcPr>
            <w:tcW w:type="dxa" w:w="2520"/>
            <w:shd w:fill="17365D"/>
            <w:vAlign w:val="center"/>
            <w:tcMar>
              <w:top w:w="90" w:type="dxa"/>
              <w:start w:w="100" w:type="dxa"/>
              <w:bottom w:w="90" w:type="dxa"/>
              <w:end w:w="100" w:type="dxa"/>
            </w:tcMar>
          </w:tcPr>
          <w:p>
            <w:pPr>
              <w:spacing w:after="0"/>
            </w:pPr>
            <w:r>
              <w:rPr>
                <w:b/>
                <w:color w:val="FFFFFF"/>
                <w:sz w:val="16"/>
              </w:rPr>
              <w:t>结果</w:t>
            </w:r>
          </w:p>
        </w:tc>
      </w:tr>
      <w:tr>
        <w:trPr>
          <w:cantSplit/>
        </w:trPr>
        <w:tc>
          <w:tcPr>
            <w:tcW w:type="dxa" w:w="1944"/>
            <w:vAlign w:val="center"/>
            <w:tcMar>
              <w:top w:w="90" w:type="dxa"/>
              <w:start w:w="100" w:type="dxa"/>
              <w:bottom w:w="90" w:type="dxa"/>
              <w:end w:w="100" w:type="dxa"/>
            </w:tcMar>
          </w:tcPr>
          <w:p>
            <w:pPr>
              <w:spacing w:after="0" w:line="240" w:lineRule="auto"/>
            </w:pPr>
            <w:r>
              <w:rPr>
                <w:sz w:val="16"/>
              </w:rPr>
              <w:t>既有主流程</w:t>
            </w:r>
          </w:p>
        </w:tc>
        <w:tc>
          <w:tcPr>
            <w:tcW w:type="dxa" w:w="4968"/>
            <w:vAlign w:val="center"/>
            <w:tcMar>
              <w:top w:w="90" w:type="dxa"/>
              <w:start w:w="100" w:type="dxa"/>
              <w:bottom w:w="90" w:type="dxa"/>
              <w:end w:w="100" w:type="dxa"/>
            </w:tcMar>
          </w:tcPr>
          <w:p>
            <w:pPr>
              <w:spacing w:after="0" w:line="240" w:lineRule="auto"/>
            </w:pPr>
            <w:r>
              <w:rPr>
                <w:sz w:val="16"/>
              </w:rPr>
              <w:t>创建模型、校验、评审、发布快照、DDL 预览、请求 ID</w:t>
            </w:r>
          </w:p>
        </w:tc>
        <w:tc>
          <w:tcPr>
            <w:tcW w:type="dxa" w:w="2520"/>
            <w:vAlign w:val="center"/>
            <w:tcMar>
              <w:top w:w="90" w:type="dxa"/>
              <w:start w:w="100" w:type="dxa"/>
              <w:bottom w:w="90" w:type="dxa"/>
              <w:end w:w="100" w:type="dxa"/>
            </w:tcMar>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业务需求与主题域</w:t>
            </w:r>
          </w:p>
        </w:tc>
        <w:tc>
          <w:tcPr>
            <w:tcW w:type="dxa" w:w="4968"/>
            <w:vAlign w:val="center"/>
            <w:tcMar>
              <w:top w:w="90" w:type="dxa"/>
              <w:start w:w="100" w:type="dxa"/>
              <w:bottom w:w="90" w:type="dxa"/>
              <w:end w:w="100" w:type="dxa"/>
            </w:tcMar>
            <w:shd w:fill="F4F7FA"/>
          </w:tcPr>
          <w:p>
            <w:pPr>
              <w:spacing w:after="0" w:line="240" w:lineRule="auto"/>
            </w:pPr>
            <w:r>
              <w:rPr>
                <w:sz w:val="16"/>
              </w:rPr>
              <w:t>创建主题域/需求、模型归属、多对多关联、重复更新不重复插入关联</w:t>
            </w:r>
          </w:p>
        </w:tc>
        <w:tc>
          <w:tcPr>
            <w:tcW w:type="dxa" w:w="2520"/>
            <w:vAlign w:val="center"/>
            <w:tcMar>
              <w:top w:w="90" w:type="dxa"/>
              <w:start w:w="100" w:type="dxa"/>
              <w:bottom w:w="90" w:type="dxa"/>
              <w:end w:w="100" w:type="dxa"/>
            </w:tcMar>
            <w:shd w:fill="F4F7FA"/>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tcPr>
          <w:p>
            <w:pPr>
              <w:spacing w:after="0" w:line="240" w:lineRule="auto"/>
            </w:pPr>
            <w:r>
              <w:rPr>
                <w:sz w:val="16"/>
              </w:rPr>
              <w:t>跨项目边界</w:t>
            </w:r>
          </w:p>
        </w:tc>
        <w:tc>
          <w:tcPr>
            <w:tcW w:type="dxa" w:w="4968"/>
            <w:vAlign w:val="center"/>
            <w:tcMar>
              <w:top w:w="90" w:type="dxa"/>
              <w:start w:w="100" w:type="dxa"/>
              <w:bottom w:w="90" w:type="dxa"/>
              <w:end w:w="100" w:type="dxa"/>
            </w:tcMar>
          </w:tcPr>
          <w:p>
            <w:pPr>
              <w:spacing w:after="0" w:line="240" w:lineRule="auto"/>
            </w:pPr>
            <w:r>
              <w:rPr>
                <w:sz w:val="16"/>
              </w:rPr>
              <w:t>需求或主题域不属于模型项目时拒绝保存</w:t>
            </w:r>
          </w:p>
        </w:tc>
        <w:tc>
          <w:tcPr>
            <w:tcW w:type="dxa" w:w="2520"/>
            <w:vAlign w:val="center"/>
            <w:tcMar>
              <w:top w:w="90" w:type="dxa"/>
              <w:start w:w="100" w:type="dxa"/>
              <w:bottom w:w="90" w:type="dxa"/>
              <w:end w:w="100" w:type="dxa"/>
            </w:tcMar>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模型关系</w:t>
            </w:r>
          </w:p>
        </w:tc>
        <w:tc>
          <w:tcPr>
            <w:tcW w:type="dxa" w:w="4968"/>
            <w:vAlign w:val="center"/>
            <w:tcMar>
              <w:top w:w="90" w:type="dxa"/>
              <w:start w:w="100" w:type="dxa"/>
              <w:bottom w:w="90" w:type="dxa"/>
              <w:end w:w="100" w:type="dxa"/>
            </w:tcMar>
            <w:shd w:fill="F4F7FA"/>
          </w:tcPr>
          <w:p>
            <w:pPr>
              <w:spacing w:after="0" w:line="240" w:lineRule="auto"/>
            </w:pPr>
            <w:r>
              <w:rPr>
                <w:sz w:val="16"/>
              </w:rPr>
              <w:t>创建/查询/删除关系；拦截自引用、未知字段和非法关系字段对</w:t>
            </w:r>
          </w:p>
        </w:tc>
        <w:tc>
          <w:tcPr>
            <w:tcW w:type="dxa" w:w="2520"/>
            <w:vAlign w:val="center"/>
            <w:tcMar>
              <w:top w:w="90" w:type="dxa"/>
              <w:start w:w="100" w:type="dxa"/>
              <w:bottom w:w="90" w:type="dxa"/>
              <w:end w:w="100" w:type="dxa"/>
            </w:tcMar>
            <w:shd w:fill="F4F7FA"/>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tcPr>
          <w:p>
            <w:pPr>
              <w:spacing w:after="0" w:line="240" w:lineRule="auto"/>
            </w:pPr>
            <w:r>
              <w:rPr>
                <w:sz w:val="16"/>
              </w:rPr>
              <w:t>版本变更</w:t>
            </w:r>
          </w:p>
        </w:tc>
        <w:tc>
          <w:tcPr>
            <w:tcW w:type="dxa" w:w="4968"/>
            <w:vAlign w:val="center"/>
            <w:tcMar>
              <w:top w:w="90" w:type="dxa"/>
              <w:start w:w="100" w:type="dxa"/>
              <w:bottom w:w="90" w:type="dxa"/>
              <w:end w:w="100" w:type="dxa"/>
            </w:tcMar>
          </w:tcPr>
          <w:p>
            <w:pPr>
              <w:spacing w:after="0" w:line="240" w:lineRule="auto"/>
            </w:pPr>
            <w:r>
              <w:rPr>
                <w:sz w:val="16"/>
              </w:rPr>
              <w:t>已发布模型发起变更、发布 V2、比较 V1/V2 新增字段差异</w:t>
            </w:r>
          </w:p>
        </w:tc>
        <w:tc>
          <w:tcPr>
            <w:tcW w:type="dxa" w:w="2520"/>
            <w:vAlign w:val="center"/>
            <w:tcMar>
              <w:top w:w="90" w:type="dxa"/>
              <w:start w:w="100" w:type="dxa"/>
              <w:bottom w:w="90" w:type="dxa"/>
              <w:end w:w="100" w:type="dxa"/>
            </w:tcMar>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数据库迁移</w:t>
            </w:r>
          </w:p>
        </w:tc>
        <w:tc>
          <w:tcPr>
            <w:tcW w:type="dxa" w:w="4968"/>
            <w:vAlign w:val="center"/>
            <w:tcMar>
              <w:top w:w="90" w:type="dxa"/>
              <w:start w:w="100" w:type="dxa"/>
              <w:bottom w:w="90" w:type="dxa"/>
              <w:end w:w="100" w:type="dxa"/>
            </w:tcMar>
            <w:shd w:fill="F4F7FA"/>
          </w:tcPr>
          <w:p>
            <w:pPr>
              <w:spacing w:after="0" w:line="240" w:lineRule="auto"/>
            </w:pPr>
            <w:r>
              <w:rPr>
                <w:sz w:val="16"/>
              </w:rPr>
              <w:t>V0.5 -&gt; V0.6；upgrade/current/downgrade/upgrade 隔离 SQLite 烟测</w:t>
            </w:r>
          </w:p>
        </w:tc>
        <w:tc>
          <w:tcPr>
            <w:tcW w:type="dxa" w:w="2520"/>
            <w:vAlign w:val="center"/>
            <w:tcMar>
              <w:top w:w="90" w:type="dxa"/>
              <w:start w:w="100" w:type="dxa"/>
              <w:bottom w:w="90" w:type="dxa"/>
              <w:end w:w="100" w:type="dxa"/>
            </w:tcMar>
            <w:shd w:fill="F4F7FA"/>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tcPr>
          <w:p>
            <w:pPr>
              <w:spacing w:after="0" w:line="240" w:lineRule="auto"/>
            </w:pPr>
            <w:r>
              <w:rPr>
                <w:sz w:val="16"/>
              </w:rPr>
              <w:t>数据保留迁移</w:t>
            </w:r>
          </w:p>
        </w:tc>
        <w:tc>
          <w:tcPr>
            <w:tcW w:type="dxa" w:w="4968"/>
            <w:vAlign w:val="center"/>
            <w:tcMar>
              <w:top w:w="90" w:type="dxa"/>
              <w:start w:w="100" w:type="dxa"/>
              <w:bottom w:w="90" w:type="dxa"/>
              <w:end w:w="100" w:type="dxa"/>
            </w:tcMar>
          </w:tcPr>
          <w:p>
            <w:pPr>
              <w:spacing w:after="0" w:line="240" w:lineRule="auto"/>
            </w:pPr>
            <w:r>
              <w:rPr>
                <w:sz w:val="16"/>
              </w:rPr>
              <w:t>使用含已有模型、字段与版本快照的 V0.5 数据库升级，检查原有数据仍存在</w:t>
            </w:r>
          </w:p>
        </w:tc>
        <w:tc>
          <w:tcPr>
            <w:tcW w:type="dxa" w:w="2520"/>
            <w:vAlign w:val="center"/>
            <w:tcMar>
              <w:top w:w="90" w:type="dxa"/>
              <w:start w:w="100" w:type="dxa"/>
              <w:bottom w:w="90" w:type="dxa"/>
              <w:end w:w="100" w:type="dxa"/>
            </w:tcMar>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旧库接管</w:t>
            </w:r>
          </w:p>
        </w:tc>
        <w:tc>
          <w:tcPr>
            <w:tcW w:type="dxa" w:w="4968"/>
            <w:vAlign w:val="center"/>
            <w:tcMar>
              <w:top w:w="90" w:type="dxa"/>
              <w:start w:w="100" w:type="dxa"/>
              <w:bottom w:w="90" w:type="dxa"/>
              <w:end w:w="100" w:type="dxa"/>
            </w:tcMar>
            <w:shd w:fill="F4F7FA"/>
          </w:tcPr>
          <w:p>
            <w:pPr>
              <w:spacing w:after="0" w:line="240" w:lineRule="auto"/>
            </w:pPr>
            <w:r>
              <w:rPr>
                <w:sz w:val="16"/>
              </w:rPr>
              <w:t>未版本化 V0.5 schema 默认拒绝；显式接管后标记 V0.5 revision 并升级 V0.6</w:t>
            </w:r>
          </w:p>
        </w:tc>
        <w:tc>
          <w:tcPr>
            <w:tcW w:type="dxa" w:w="2520"/>
            <w:vAlign w:val="center"/>
            <w:tcMar>
              <w:top w:w="90" w:type="dxa"/>
              <w:start w:w="100" w:type="dxa"/>
              <w:bottom w:w="90" w:type="dxa"/>
              <w:end w:w="100" w:type="dxa"/>
            </w:tcMar>
            <w:shd w:fill="F4F7FA"/>
          </w:tcPr>
          <w:p>
            <w:pPr>
              <w:spacing w:after="0" w:line="240" w:lineRule="auto"/>
            </w:pPr>
            <w:r>
              <w:rPr>
                <w:sz w:val="16"/>
              </w:rPr>
              <w:t>通过（SQLite 隔离烟测）</w:t>
            </w:r>
          </w:p>
        </w:tc>
      </w:tr>
      <w:tr>
        <w:trPr>
          <w:cantSplit/>
        </w:trPr>
        <w:tc>
          <w:tcPr>
            <w:tcW w:type="dxa" w:w="1944"/>
            <w:vAlign w:val="center"/>
            <w:tcMar>
              <w:top w:w="90" w:type="dxa"/>
              <w:start w:w="100" w:type="dxa"/>
              <w:bottom w:w="90" w:type="dxa"/>
              <w:end w:w="100" w:type="dxa"/>
            </w:tcMar>
          </w:tcPr>
          <w:p>
            <w:pPr>
              <w:spacing w:after="0" w:line="240" w:lineRule="auto"/>
            </w:pPr>
            <w:r>
              <w:rPr>
                <w:sz w:val="16"/>
              </w:rPr>
              <w:t>JS 语法</w:t>
            </w:r>
          </w:p>
        </w:tc>
        <w:tc>
          <w:tcPr>
            <w:tcW w:type="dxa" w:w="4968"/>
            <w:vAlign w:val="center"/>
            <w:tcMar>
              <w:top w:w="90" w:type="dxa"/>
              <w:start w:w="100" w:type="dxa"/>
              <w:bottom w:w="90" w:type="dxa"/>
              <w:end w:w="100" w:type="dxa"/>
            </w:tcMar>
          </w:tcPr>
          <w:p>
            <w:pPr>
              <w:spacing w:after="0" w:line="240" w:lineRule="auto"/>
            </w:pPr>
            <w:r>
              <w:rPr>
                <w:sz w:val="16"/>
              </w:rPr>
              <w:t>node --check frontend/static/app.js</w:t>
            </w:r>
          </w:p>
        </w:tc>
        <w:tc>
          <w:tcPr>
            <w:tcW w:type="dxa" w:w="2520"/>
            <w:vAlign w:val="center"/>
            <w:tcMar>
              <w:top w:w="90" w:type="dxa"/>
              <w:start w:w="100" w:type="dxa"/>
              <w:bottom w:w="90" w:type="dxa"/>
              <w:end w:w="100" w:type="dxa"/>
            </w:tcMar>
          </w:tcPr>
          <w:p>
            <w:pPr>
              <w:spacing w:after="0" w:line="240" w:lineRule="auto"/>
            </w:pPr>
            <w:r>
              <w:rPr>
                <w:sz w:val="16"/>
              </w:rPr>
              <w:t>通过</w:t>
            </w:r>
          </w:p>
        </w:tc>
      </w:tr>
      <w:tr>
        <w:trPr>
          <w:cantSplit/>
        </w:trPr>
        <w:tc>
          <w:tcPr>
            <w:tcW w:type="dxa" w:w="1944"/>
            <w:vAlign w:val="center"/>
            <w:tcMar>
              <w:top w:w="90" w:type="dxa"/>
              <w:start w:w="100" w:type="dxa"/>
              <w:bottom w:w="90" w:type="dxa"/>
              <w:end w:w="100" w:type="dxa"/>
            </w:tcMar>
            <w:shd w:fill="F4F7FA"/>
          </w:tcPr>
          <w:p>
            <w:pPr>
              <w:spacing w:after="0" w:line="240" w:lineRule="auto"/>
            </w:pPr>
            <w:r>
              <w:rPr>
                <w:sz w:val="16"/>
              </w:rPr>
              <w:t>真实 PostgreSQL/引擎</w:t>
            </w:r>
          </w:p>
        </w:tc>
        <w:tc>
          <w:tcPr>
            <w:tcW w:type="dxa" w:w="4968"/>
            <w:vAlign w:val="center"/>
            <w:tcMar>
              <w:top w:w="90" w:type="dxa"/>
              <w:start w:w="100" w:type="dxa"/>
              <w:bottom w:w="90" w:type="dxa"/>
              <w:end w:w="100" w:type="dxa"/>
            </w:tcMar>
            <w:shd w:fill="F4F7FA"/>
          </w:tcPr>
          <w:p>
            <w:pPr>
              <w:spacing w:after="0" w:line="240" w:lineRule="auto"/>
            </w:pPr>
            <w:r>
              <w:rPr>
                <w:sz w:val="16"/>
              </w:rPr>
              <w:t>未在真实 PostgreSQL 服务或 MySQL/Hive 执行集成测试</w:t>
            </w:r>
          </w:p>
        </w:tc>
        <w:tc>
          <w:tcPr>
            <w:tcW w:type="dxa" w:w="2520"/>
            <w:vAlign w:val="center"/>
            <w:tcMar>
              <w:top w:w="90" w:type="dxa"/>
              <w:start w:w="100" w:type="dxa"/>
              <w:bottom w:w="90" w:type="dxa"/>
              <w:end w:w="100" w:type="dxa"/>
            </w:tcMar>
            <w:shd w:fill="F4F7FA"/>
          </w:tcPr>
          <w:p>
            <w:pPr>
              <w:spacing w:after="0" w:line="240" w:lineRule="auto"/>
            </w:pPr>
            <w:r>
              <w:rPr>
                <w:sz w:val="16"/>
              </w:rPr>
              <w:t>待验证</w:t>
            </w:r>
          </w:p>
        </w:tc>
      </w:tr>
      <w:tr>
        <w:trPr>
          <w:cantSplit/>
        </w:trPr>
        <w:tc>
          <w:tcPr>
            <w:tcW w:type="dxa" w:w="1944"/>
            <w:vAlign w:val="center"/>
            <w:tcMar>
              <w:top w:w="90" w:type="dxa"/>
              <w:start w:w="100" w:type="dxa"/>
              <w:bottom w:w="90" w:type="dxa"/>
              <w:end w:w="100" w:type="dxa"/>
            </w:tcMar>
          </w:tcPr>
          <w:p>
            <w:pPr>
              <w:spacing w:after="0" w:line="240" w:lineRule="auto"/>
            </w:pPr>
            <w:r>
              <w:rPr>
                <w:sz w:val="16"/>
              </w:rPr>
              <w:t>浏览器自动化/压测/渗透</w:t>
            </w:r>
          </w:p>
        </w:tc>
        <w:tc>
          <w:tcPr>
            <w:tcW w:type="dxa" w:w="4968"/>
            <w:vAlign w:val="center"/>
            <w:tcMar>
              <w:top w:w="90" w:type="dxa"/>
              <w:start w:w="100" w:type="dxa"/>
              <w:bottom w:w="90" w:type="dxa"/>
              <w:end w:w="100" w:type="dxa"/>
            </w:tcMar>
          </w:tcPr>
          <w:p>
            <w:pPr>
              <w:spacing w:after="0" w:line="240" w:lineRule="auto"/>
            </w:pPr>
            <w:r>
              <w:rPr>
                <w:sz w:val="16"/>
              </w:rPr>
              <w:t>未形成生产级浏览器 E2E、压测与渗透测试门禁</w:t>
            </w:r>
          </w:p>
        </w:tc>
        <w:tc>
          <w:tcPr>
            <w:tcW w:type="dxa" w:w="2520"/>
            <w:vAlign w:val="center"/>
            <w:tcMar>
              <w:top w:w="90" w:type="dxa"/>
              <w:start w:w="100" w:type="dxa"/>
              <w:bottom w:w="90" w:type="dxa"/>
              <w:end w:w="100" w:type="dxa"/>
            </w:tcMar>
          </w:tcPr>
          <w:p>
            <w:pPr>
              <w:spacing w:after="0" w:line="240" w:lineRule="auto"/>
            </w:pPr>
            <w:r>
              <w:rPr>
                <w:sz w:val="16"/>
              </w:rPr>
              <w:t>待实施</w:t>
            </w:r>
          </w:p>
        </w:tc>
      </w:tr>
    </w:tbl>
    <w:p>
      <w:pPr>
        <w:spacing w:after="20"/>
      </w:pPr>
    </w:p>
    <w:p>
      <w:pPr>
        <w:spacing w:after="100" w:line="269" w:lineRule="auto"/>
      </w:pPr>
      <w:r>
        <w:t>本版自动化测试为 14 passed。SQLite schema migration 从 V0.5 初始 revision 升级至 V0.6、在隔离测试库演练降级/再升级均通过；额外使用含有既有模型、字段与版本快照的数据副本验证升级后记录仍然保留。旧库接管烟测也验证了先 stamp 到 V0.5 revision 再升级新 migration 的顺序。以上不代表真实 PostgreSQL 的 DDL、锁行为、备份恢复和并发性能已验证。</w:t>
      </w:r>
    </w:p>
    <w:p>
      <w:pPr>
        <w:pStyle w:val="Heading1"/>
        <w:keepNext/>
      </w:pPr>
      <w:r>
        <w:t>60. 已知限制、风险与安全边界</w:t>
      </w:r>
    </w:p>
    <w:p>
      <w:pPr>
        <w:pStyle w:val="ListBullet"/>
        <w:spacing w:after="40"/>
      </w:pPr>
      <w:r>
        <w:t>真实身份认证和资源级权限未实现；X-Actor 仍只是本地/测试演示字段，production 环境启动保护必须保留。</w:t>
      </w:r>
    </w:p>
    <w:p>
      <w:pPr>
        <w:pStyle w:val="ListBullet"/>
        <w:spacing w:after="40"/>
      </w:pPr>
      <w:r>
        <w:t>需求状态允许通用 PUT 更新，尚无正式状态机、业务审批或已确认需求冻结机制。</w:t>
      </w:r>
    </w:p>
    <w:p>
      <w:pPr>
        <w:pStyle w:val="ListBullet"/>
        <w:spacing w:after="40"/>
      </w:pPr>
      <w:r>
        <w:t>模型关系不纳入 model_versions 快照；版本 diff 当前不包含关系新增/删除/修改。正式血缘与影响分析之前必须补关系版本化。</w:t>
      </w:r>
    </w:p>
    <w:p>
      <w:pPr>
        <w:pStyle w:val="ListBullet"/>
        <w:spacing w:after="40"/>
      </w:pPr>
      <w:r>
        <w:t>物理 DDL 仍为预览字符串；模型关系不会自动转换成数据库外键，也不执行目标引擎 SQL。</w:t>
      </w:r>
    </w:p>
    <w:p>
      <w:pPr>
        <w:pStyle w:val="ListBullet"/>
        <w:spacing w:after="40"/>
      </w:pPr>
      <w:r>
        <w:t>模型字段粘贴采用 TSV 解析，支持固定列顺序；更复杂的 CSV、引号转义、公式、类型参数和错误行定位尚需增强。</w:t>
      </w:r>
    </w:p>
    <w:p>
      <w:pPr>
        <w:pStyle w:val="ListBullet"/>
        <w:spacing w:after="40"/>
      </w:pPr>
      <w:r>
        <w:t>前端未完成完整浏览器自动化回归；本次主要基于 API 集成测试、JS 语法和迁移烟测验证。</w:t>
      </w:r>
    </w:p>
    <w:p>
      <w:pPr>
        <w:pStyle w:val="ListBullet"/>
        <w:spacing w:after="40"/>
      </w:pPr>
      <w:r>
        <w:t>数据库中的关系两端同项目约束当前由 API 校验实现，数据库层的复合外键/触发器强化仍可作为下一阶段工作。</w:t>
      </w:r>
    </w:p>
    <w:p>
      <w:pPr>
        <w:pStyle w:val="Heading1"/>
        <w:keepNext/>
      </w:pPr>
      <w:r>
        <w:t>61. V0.6 验收清单与下一阶段建议</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7365D"/>
            <w:vAlign w:val="center"/>
            <w:tcMar>
              <w:top w:w="90" w:type="dxa"/>
              <w:start w:w="100" w:type="dxa"/>
              <w:bottom w:w="90" w:type="dxa"/>
              <w:end w:w="100" w:type="dxa"/>
            </w:tcMar>
          </w:tcPr>
          <w:p>
            <w:pPr>
              <w:spacing w:after="0"/>
            </w:pPr>
            <w:r>
              <w:rPr>
                <w:b/>
                <w:color w:val="FFFFFF"/>
                <w:sz w:val="16"/>
              </w:rPr>
              <w:t>验收项</w:t>
            </w:r>
          </w:p>
        </w:tc>
        <w:tc>
          <w:tcPr>
            <w:tcW w:type="dxa" w:w="5256"/>
            <w:shd w:fill="17365D"/>
            <w:vAlign w:val="center"/>
            <w:tcMar>
              <w:top w:w="90" w:type="dxa"/>
              <w:start w:w="100" w:type="dxa"/>
              <w:bottom w:w="90" w:type="dxa"/>
              <w:end w:w="100" w:type="dxa"/>
            </w:tcMar>
          </w:tcPr>
          <w:p>
            <w:pPr>
              <w:spacing w:after="0"/>
            </w:pPr>
            <w:r>
              <w:rPr>
                <w:b/>
                <w:color w:val="FFFFFF"/>
                <w:sz w:val="16"/>
              </w:rPr>
              <w:t>通过标准</w:t>
            </w:r>
          </w:p>
        </w:tc>
        <w:tc>
          <w:tcPr>
            <w:tcW w:type="dxa" w:w="2160"/>
            <w:shd w:fill="17365D"/>
            <w:vAlign w:val="center"/>
            <w:tcMar>
              <w:top w:w="90" w:type="dxa"/>
              <w:start w:w="100" w:type="dxa"/>
              <w:bottom w:w="90" w:type="dxa"/>
              <w:end w:w="100" w:type="dxa"/>
            </w:tcMar>
          </w:tcPr>
          <w:p>
            <w:pPr>
              <w:spacing w:after="0"/>
            </w:pPr>
            <w:r>
              <w:rPr>
                <w:b/>
                <w:color w:val="FFFFFF"/>
                <w:sz w:val="16"/>
              </w:rPr>
              <w:t>V0.6 状态</w:t>
            </w:r>
          </w:p>
        </w:tc>
      </w:tr>
      <w:tr>
        <w:trPr>
          <w:cantSplit/>
        </w:trPr>
        <w:tc>
          <w:tcPr>
            <w:tcW w:type="dxa" w:w="2016"/>
            <w:vAlign w:val="center"/>
            <w:tcMar>
              <w:top w:w="90" w:type="dxa"/>
              <w:start w:w="100" w:type="dxa"/>
              <w:bottom w:w="90" w:type="dxa"/>
              <w:end w:w="100" w:type="dxa"/>
            </w:tcMar>
          </w:tcPr>
          <w:p>
            <w:pPr>
              <w:spacing w:after="0" w:line="240" w:lineRule="auto"/>
            </w:pPr>
            <w:r>
              <w:rPr>
                <w:sz w:val="16"/>
              </w:rPr>
              <w:t>业务需求 CRUD</w:t>
            </w:r>
          </w:p>
        </w:tc>
        <w:tc>
          <w:tcPr>
            <w:tcW w:type="dxa" w:w="5256"/>
            <w:vAlign w:val="center"/>
            <w:tcMar>
              <w:top w:w="90" w:type="dxa"/>
              <w:start w:w="100" w:type="dxa"/>
              <w:bottom w:w="90" w:type="dxa"/>
              <w:end w:w="100" w:type="dxa"/>
            </w:tcMar>
          </w:tcPr>
          <w:p>
            <w:pPr>
              <w:spacing w:after="0" w:line="240" w:lineRule="auto"/>
            </w:pPr>
            <w:r>
              <w:rPr>
                <w:sz w:val="16"/>
              </w:rPr>
              <w:t>可创建、查询、编辑；必填、优先级和状态值按 schema 校验</w:t>
            </w:r>
          </w:p>
        </w:tc>
        <w:tc>
          <w:tcPr>
            <w:tcW w:type="dxa" w:w="2160"/>
            <w:vAlign w:val="center"/>
            <w:tcMar>
              <w:top w:w="90" w:type="dxa"/>
              <w:start w:w="100" w:type="dxa"/>
              <w:bottom w:w="90" w:type="dxa"/>
              <w:end w:w="100" w:type="dxa"/>
            </w:tcMar>
          </w:tcPr>
          <w:p>
            <w:pPr>
              <w:spacing w:after="0" w:line="240" w:lineRule="auto"/>
            </w:pPr>
            <w:r>
              <w:rPr>
                <w:sz w:val="16"/>
              </w:rPr>
              <w:t>已实现；需补正式状态转换守卫</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6"/>
              </w:rPr>
              <w:t>主题域管理</w:t>
            </w:r>
          </w:p>
        </w:tc>
        <w:tc>
          <w:tcPr>
            <w:tcW w:type="dxa" w:w="5256"/>
            <w:vAlign w:val="center"/>
            <w:tcMar>
              <w:top w:w="90" w:type="dxa"/>
              <w:start w:w="100" w:type="dxa"/>
              <w:bottom w:w="90" w:type="dxa"/>
              <w:end w:w="100" w:type="dxa"/>
            </w:tcMar>
            <w:shd w:fill="F4F7FA"/>
          </w:tcPr>
          <w:p>
            <w:pPr>
              <w:spacing w:after="0" w:line="240" w:lineRule="auto"/>
            </w:pPr>
            <w:r>
              <w:rPr>
                <w:sz w:val="16"/>
              </w:rPr>
              <w:t>项目内编码唯一；模型可选归属；跨项目归属失败</w:t>
            </w:r>
          </w:p>
        </w:tc>
        <w:tc>
          <w:tcPr>
            <w:tcW w:type="dxa" w:w="2160"/>
            <w:vAlign w:val="center"/>
            <w:tcMar>
              <w:top w:w="90" w:type="dxa"/>
              <w:start w:w="100" w:type="dxa"/>
              <w:bottom w:w="90" w:type="dxa"/>
              <w:end w:w="100" w:type="dxa"/>
            </w:tcMar>
            <w:shd w:fill="F4F7FA"/>
          </w:tcPr>
          <w:p>
            <w:pPr>
              <w:spacing w:after="0" w:line="240" w:lineRule="auto"/>
            </w:pPr>
            <w:r>
              <w:rPr>
                <w:sz w:val="16"/>
              </w:rPr>
              <w:t>已实现并测试</w:t>
            </w:r>
          </w:p>
        </w:tc>
      </w:tr>
      <w:tr>
        <w:trPr>
          <w:cantSplit/>
        </w:trPr>
        <w:tc>
          <w:tcPr>
            <w:tcW w:type="dxa" w:w="2016"/>
            <w:vAlign w:val="center"/>
            <w:tcMar>
              <w:top w:w="90" w:type="dxa"/>
              <w:start w:w="100" w:type="dxa"/>
              <w:bottom w:w="90" w:type="dxa"/>
              <w:end w:w="100" w:type="dxa"/>
            </w:tcMar>
          </w:tcPr>
          <w:p>
            <w:pPr>
              <w:spacing w:after="0" w:line="240" w:lineRule="auto"/>
            </w:pPr>
            <w:r>
              <w:rPr>
                <w:sz w:val="16"/>
              </w:rPr>
              <w:t>需求追溯</w:t>
            </w:r>
          </w:p>
        </w:tc>
        <w:tc>
          <w:tcPr>
            <w:tcW w:type="dxa" w:w="5256"/>
            <w:vAlign w:val="center"/>
            <w:tcMar>
              <w:top w:w="90" w:type="dxa"/>
              <w:start w:w="100" w:type="dxa"/>
              <w:bottom w:w="90" w:type="dxa"/>
              <w:end w:w="100" w:type="dxa"/>
            </w:tcMar>
          </w:tcPr>
          <w:p>
            <w:pPr>
              <w:spacing w:after="0" w:line="240" w:lineRule="auto"/>
            </w:pPr>
            <w:r>
              <w:rPr>
                <w:sz w:val="16"/>
              </w:rPr>
              <w:t>需求和模型多对多关联；重复保存不重复创建 link</w:t>
            </w:r>
          </w:p>
        </w:tc>
        <w:tc>
          <w:tcPr>
            <w:tcW w:type="dxa" w:w="2160"/>
            <w:vAlign w:val="center"/>
            <w:tcMar>
              <w:top w:w="90" w:type="dxa"/>
              <w:start w:w="100" w:type="dxa"/>
              <w:bottom w:w="90" w:type="dxa"/>
              <w:end w:w="100" w:type="dxa"/>
            </w:tcMar>
          </w:tcPr>
          <w:p>
            <w:pPr>
              <w:spacing w:after="0" w:line="240" w:lineRule="auto"/>
            </w:pPr>
            <w:r>
              <w:rPr>
                <w:sz w:val="16"/>
              </w:rPr>
              <w:t>已实现并测试</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6"/>
              </w:rPr>
              <w:t>模型关系</w:t>
            </w:r>
          </w:p>
        </w:tc>
        <w:tc>
          <w:tcPr>
            <w:tcW w:type="dxa" w:w="5256"/>
            <w:vAlign w:val="center"/>
            <w:tcMar>
              <w:top w:w="90" w:type="dxa"/>
              <w:start w:w="100" w:type="dxa"/>
              <w:bottom w:w="90" w:type="dxa"/>
              <w:end w:w="100" w:type="dxa"/>
            </w:tcMar>
            <w:shd w:fill="F4F7FA"/>
          </w:tcPr>
          <w:p>
            <w:pPr>
              <w:spacing w:after="0" w:line="240" w:lineRule="auto"/>
            </w:pPr>
            <w:r>
              <w:rPr>
                <w:sz w:val="16"/>
              </w:rPr>
              <w:t>可创建/查询/删除；字段对和项目边界校验</w:t>
            </w:r>
          </w:p>
        </w:tc>
        <w:tc>
          <w:tcPr>
            <w:tcW w:type="dxa" w:w="2160"/>
            <w:vAlign w:val="center"/>
            <w:tcMar>
              <w:top w:w="90" w:type="dxa"/>
              <w:start w:w="100" w:type="dxa"/>
              <w:bottom w:w="90" w:type="dxa"/>
              <w:end w:w="100" w:type="dxa"/>
            </w:tcMar>
            <w:shd w:fill="F4F7FA"/>
          </w:tcPr>
          <w:p>
            <w:pPr>
              <w:spacing w:after="0" w:line="240" w:lineRule="auto"/>
            </w:pPr>
            <w:r>
              <w:rPr>
                <w:sz w:val="16"/>
              </w:rPr>
              <w:t>已实现并测试</w:t>
            </w:r>
          </w:p>
        </w:tc>
      </w:tr>
      <w:tr>
        <w:trPr>
          <w:cantSplit/>
        </w:trPr>
        <w:tc>
          <w:tcPr>
            <w:tcW w:type="dxa" w:w="2016"/>
            <w:vAlign w:val="center"/>
            <w:tcMar>
              <w:top w:w="90" w:type="dxa"/>
              <w:start w:w="100" w:type="dxa"/>
              <w:bottom w:w="90" w:type="dxa"/>
              <w:end w:w="100" w:type="dxa"/>
            </w:tcMar>
          </w:tcPr>
          <w:p>
            <w:pPr>
              <w:spacing w:after="0" w:line="240" w:lineRule="auto"/>
            </w:pPr>
            <w:r>
              <w:rPr>
                <w:sz w:val="16"/>
              </w:rPr>
              <w:t>变更工作流</w:t>
            </w:r>
          </w:p>
        </w:tc>
        <w:tc>
          <w:tcPr>
            <w:tcW w:type="dxa" w:w="5256"/>
            <w:vAlign w:val="center"/>
            <w:tcMar>
              <w:top w:w="90" w:type="dxa"/>
              <w:start w:w="100" w:type="dxa"/>
              <w:bottom w:w="90" w:type="dxa"/>
              <w:end w:w="100" w:type="dxa"/>
            </w:tcMar>
          </w:tcPr>
          <w:p>
            <w:pPr>
              <w:spacing w:after="0" w:line="240" w:lineRule="auto"/>
            </w:pPr>
            <w:r>
              <w:rPr>
                <w:sz w:val="16"/>
              </w:rPr>
              <w:t>正式模型可创建变更稿；旧版本快照保留；V2 发布后可以 diff</w:t>
            </w:r>
          </w:p>
        </w:tc>
        <w:tc>
          <w:tcPr>
            <w:tcW w:type="dxa" w:w="2160"/>
            <w:vAlign w:val="center"/>
            <w:tcMar>
              <w:top w:w="90" w:type="dxa"/>
              <w:start w:w="100" w:type="dxa"/>
              <w:bottom w:w="90" w:type="dxa"/>
              <w:end w:w="100" w:type="dxa"/>
            </w:tcMar>
          </w:tcPr>
          <w:p>
            <w:pPr>
              <w:spacing w:after="0" w:line="240" w:lineRule="auto"/>
            </w:pPr>
            <w:r>
              <w:rPr>
                <w:sz w:val="16"/>
              </w:rPr>
              <w:t>已实现并测试</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6"/>
              </w:rPr>
              <w:t>字段批量粘贴</w:t>
            </w:r>
          </w:p>
        </w:tc>
        <w:tc>
          <w:tcPr>
            <w:tcW w:type="dxa" w:w="5256"/>
            <w:vAlign w:val="center"/>
            <w:tcMar>
              <w:top w:w="90" w:type="dxa"/>
              <w:start w:w="100" w:type="dxa"/>
              <w:bottom w:w="90" w:type="dxa"/>
              <w:end w:w="100" w:type="dxa"/>
            </w:tcMar>
            <w:shd w:fill="F4F7FA"/>
          </w:tcPr>
          <w:p>
            <w:pPr>
              <w:spacing w:after="0" w:line="240" w:lineRule="auto"/>
            </w:pPr>
            <w:r>
              <w:rPr>
                <w:sz w:val="16"/>
              </w:rPr>
              <w:t>TSV 生成草稿行，后续可校验、保存</w:t>
            </w:r>
          </w:p>
        </w:tc>
        <w:tc>
          <w:tcPr>
            <w:tcW w:type="dxa" w:w="2160"/>
            <w:vAlign w:val="center"/>
            <w:tcMar>
              <w:top w:w="90" w:type="dxa"/>
              <w:start w:w="100" w:type="dxa"/>
              <w:bottom w:w="90" w:type="dxa"/>
              <w:end w:w="100" w:type="dxa"/>
            </w:tcMar>
            <w:shd w:fill="F4F7FA"/>
          </w:tcPr>
          <w:p>
            <w:pPr>
              <w:spacing w:after="0" w:line="240" w:lineRule="auto"/>
            </w:pPr>
            <w:r>
              <w:rPr>
                <w:sz w:val="16"/>
              </w:rPr>
              <w:t>已实现；缺浏览器 E2E</w:t>
            </w:r>
          </w:p>
        </w:tc>
      </w:tr>
      <w:tr>
        <w:trPr>
          <w:cantSplit/>
        </w:trPr>
        <w:tc>
          <w:tcPr>
            <w:tcW w:type="dxa" w:w="2016"/>
            <w:vAlign w:val="center"/>
            <w:tcMar>
              <w:top w:w="90" w:type="dxa"/>
              <w:start w:w="100" w:type="dxa"/>
              <w:bottom w:w="90" w:type="dxa"/>
              <w:end w:w="100" w:type="dxa"/>
            </w:tcMar>
          </w:tcPr>
          <w:p>
            <w:pPr>
              <w:spacing w:after="0" w:line="240" w:lineRule="auto"/>
            </w:pPr>
            <w:r>
              <w:rPr>
                <w:sz w:val="16"/>
              </w:rPr>
              <w:t>迁移与升级</w:t>
            </w:r>
          </w:p>
        </w:tc>
        <w:tc>
          <w:tcPr>
            <w:tcW w:type="dxa" w:w="5256"/>
            <w:vAlign w:val="center"/>
            <w:tcMar>
              <w:top w:w="90" w:type="dxa"/>
              <w:start w:w="100" w:type="dxa"/>
              <w:bottom w:w="90" w:type="dxa"/>
              <w:end w:w="100" w:type="dxa"/>
            </w:tcMar>
          </w:tcPr>
          <w:p>
            <w:pPr>
              <w:spacing w:after="0" w:line="240" w:lineRule="auto"/>
            </w:pPr>
            <w:r>
              <w:rPr>
                <w:sz w:val="16"/>
              </w:rPr>
              <w:t>revision 761be0cda0ff；V0.5 基线升级和旧库接管烟测通过</w:t>
            </w:r>
          </w:p>
        </w:tc>
        <w:tc>
          <w:tcPr>
            <w:tcW w:type="dxa" w:w="2160"/>
            <w:vAlign w:val="center"/>
            <w:tcMar>
              <w:top w:w="90" w:type="dxa"/>
              <w:start w:w="100" w:type="dxa"/>
              <w:bottom w:w="90" w:type="dxa"/>
              <w:end w:w="100" w:type="dxa"/>
            </w:tcMar>
          </w:tcPr>
          <w:p>
            <w:pPr>
              <w:spacing w:after="0" w:line="240" w:lineRule="auto"/>
            </w:pPr>
            <w:r>
              <w:rPr>
                <w:sz w:val="16"/>
              </w:rPr>
              <w:t>SQLite 已验证</w:t>
            </w:r>
          </w:p>
        </w:tc>
      </w:tr>
      <w:tr>
        <w:trPr>
          <w:cantSplit/>
        </w:trPr>
        <w:tc>
          <w:tcPr>
            <w:tcW w:type="dxa" w:w="2016"/>
            <w:vAlign w:val="center"/>
            <w:tcMar>
              <w:top w:w="90" w:type="dxa"/>
              <w:start w:w="100" w:type="dxa"/>
              <w:bottom w:w="90" w:type="dxa"/>
              <w:end w:w="100" w:type="dxa"/>
            </w:tcMar>
            <w:shd w:fill="F4F7FA"/>
          </w:tcPr>
          <w:p>
            <w:pPr>
              <w:spacing w:after="0" w:line="240" w:lineRule="auto"/>
            </w:pPr>
            <w:r>
              <w:rPr>
                <w:sz w:val="16"/>
              </w:rPr>
              <w:t>生产身份与授权</w:t>
            </w:r>
          </w:p>
        </w:tc>
        <w:tc>
          <w:tcPr>
            <w:tcW w:type="dxa" w:w="5256"/>
            <w:vAlign w:val="center"/>
            <w:tcMar>
              <w:top w:w="90" w:type="dxa"/>
              <w:start w:w="100" w:type="dxa"/>
              <w:bottom w:w="90" w:type="dxa"/>
              <w:end w:w="100" w:type="dxa"/>
            </w:tcMar>
            <w:shd w:fill="F4F7FA"/>
          </w:tcPr>
          <w:p>
            <w:pPr>
              <w:spacing w:after="0" w:line="240" w:lineRule="auto"/>
            </w:pPr>
            <w:r>
              <w:rPr>
                <w:sz w:val="16"/>
              </w:rPr>
              <w:t>SSO、可信身份、资源级权限与审计闭环</w:t>
            </w:r>
          </w:p>
        </w:tc>
        <w:tc>
          <w:tcPr>
            <w:tcW w:type="dxa" w:w="2160"/>
            <w:vAlign w:val="center"/>
            <w:tcMar>
              <w:top w:w="90" w:type="dxa"/>
              <w:start w:w="100" w:type="dxa"/>
              <w:bottom w:w="90" w:type="dxa"/>
              <w:end w:w="100" w:type="dxa"/>
            </w:tcMar>
            <w:shd w:fill="F4F7FA"/>
          </w:tcPr>
          <w:p>
            <w:pPr>
              <w:spacing w:after="0" w:line="240" w:lineRule="auto"/>
            </w:pPr>
            <w:r>
              <w:rPr>
                <w:sz w:val="16"/>
              </w:rPr>
              <w:t>未完成；不可上线</w:t>
            </w:r>
          </w:p>
        </w:tc>
      </w:tr>
    </w:tbl>
    <w:p>
      <w:pPr>
        <w:spacing w:after="20"/>
      </w:pPr>
    </w:p>
    <w:p>
      <w:pPr>
        <w:spacing w:after="100" w:line="269" w:lineRule="auto"/>
      </w:pPr>
      <w:r>
        <w:t>建议 V0.7 聚焦三个方向：一是为需求状态和评审建立正式的动作 API 与任务模型；二是将模型关系纳入不可变版本快照，使血缘/影响分析可按版本计算；三是实现可视化关系图、自动保存恢复和真实浏览器 E2E。等这些主数据与版本语义稳定后，再接 ETL 开发和数据质量规则，避免下游模块依赖不稳定的模型标识。</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F8C8D"/>
        <w:sz w:val="16"/>
      </w:rPr>
      <w:t xml:space="preserve">内部设计文档 · V0.6  |  第 </w:t>
    </w:r>
    <w:fldSimple w:instr="PAGE"/>
    <w:r>
      <w:rPr>
        <w:rFonts w:ascii="Microsoft YaHei" w:hAnsi="Microsoft YaHei" w:eastAsia="Microsoft YaHei"/>
        <w:color w:val="7F8C8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7F8C8D"/>
        <w:sz w:val="16"/>
      </w:rPr>
      <w:t>数据开发与建模管理平台  |  需求与技术设计说明书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19"/>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19"/>
    </w:rPr>
  </w:style>
  <w:style w:type="paragraph" w:styleId="ListNumber2">
    <w:name w:val="List Number 2"/>
    <w:basedOn w:val="Normal"/>
    <w:uiPriority w:val="99"/>
    <w:unhideWhenUsed/>
    <w:rsid w:val="0029639D"/>
    <w:pPr>
      <w:numPr>
        <w:numId w:val="6"/>
      </w:numPr>
      <w:contextualSpacing/>
    </w:pPr>
    <w:rPr>
      <w:rFonts w:ascii="Microsoft YaHei" w:hAnsi="Microsoft YaHei" w:eastAsia="Microsoft YaHei"/>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数据开发与建模管理平台——数据建模中心需求与技术设计说明书 V0.6</dc:title>
  <dc:subject>V0.6 业务需求、主题域、模型关系、版本差异与变更工作流</dc:subject>
  <dc:creator>OpenAI</dc:creator>
  <cp:keywords>数据建模, 业务需求追溯, 主题域, 模型关系, Alembic, V0.6</cp:keywords>
  <dc:description>V0.4 implementation supplement; includes runnable prototype scope and explicit production boundaries.</dc:description>
  <cp:lastModifiedBy/>
  <cp:revision>1</cp:revision>
  <dcterms:created xsi:type="dcterms:W3CDTF">2013-12-23T23:15:00Z</dcterms:created>
  <dcterms:modified xsi:type="dcterms:W3CDTF">2026-10-21T10:30:00Z</dcterms:modified>
  <cp:category/>
</cp:coreProperties>
</file>