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1E2761"/>
          <w:sz w:val="52"/>
          <w:szCs w:val="52"/>
        </w:rPr>
        <w:t xml:space="preserve">Dossier de Conception</w:t>
      </w:r>
    </w:p>
    <w:p>
      <w:pPr>
        <w:spacing w:after="200" w:before="0"/>
        <w:jc w:val="center"/>
      </w:pPr>
      <w:r>
        <w:rPr>
          <w:rFonts w:ascii="Arial" w:cs="Arial" w:eastAsia="Arial" w:hAnsi="Arial"/>
          <w:b/>
          <w:bCs/>
          <w:color w:val="4A90D9"/>
          <w:sz w:val="36"/>
          <w:szCs w:val="36"/>
        </w:rPr>
        <w:t xml:space="preserve">Projet smartEngine</w:t>
      </w:r>
    </w:p>
    <w:p>
      <w:pPr>
        <w:spacing w:after="800" w:before="0"/>
        <w:jc w:val="center"/>
      </w:pPr>
      <w:r>
        <w:rPr>
          <w:rFonts w:ascii="Arial" w:cs="Arial" w:eastAsia="Arial" w:hAnsi="Arial"/>
          <w:i/>
          <w:iCs/>
          <w:color w:val="666666"/>
          <w:sz w:val="28"/>
          <w:szCs w:val="28"/>
        </w:rPr>
        <w:t xml:space="preserve">Prédiction de churn pour un SaaS B2B</w:t>
      </w:r>
    </w:p>
    <w:p>
      <w:pPr>
        <w:spacing w:after="200" w:before="0"/>
        <w:jc w:val="center"/>
      </w:pPr>
      <w:r>
        <w:rPr>
          <w:rFonts w:ascii="Arial" w:cs="Arial" w:eastAsia="Arial" w:hAnsi="Arial"/>
          <w:color w:val="888888"/>
          <w:sz w:val="24"/>
          <w:szCs w:val="24"/>
        </w:rPr>
        <w:t xml:space="preserve">INSEEC MSc  |  Groupe G8  |  2025–2026</w:t>
      </w:r>
    </w:p>
    <w:p>
      <w:pPr>
        <w:spacing w:after="2000" w:before="0"/>
        <w:jc w:val="center"/>
      </w:pPr>
      <w:r>
        <w:rPr>
          <w:rFonts w:ascii="Arial" w:cs="Arial" w:eastAsia="Arial" w:hAnsi="Arial"/>
          <w:color w:val="888888"/>
          <w:sz w:val="22"/>
          <w:szCs w:val="22"/>
        </w:rPr>
        <w:t xml:space="preserve">Modules : Scoring prédictif &amp; Marketing  |  Ciblage et Data Marketing</w:t>
      </w:r>
    </w:p>
    <w:p>
      <w:r>
        <w:br w:type="page"/>
      </w:r>
    </w:p>
    <w:p>
      <w:pPr>
        <w:pStyle w:val="Heading1"/>
        <w:spacing w:after="200" w:before="400"/>
      </w:pPr>
      <w:r>
        <w:rPr>
          <w:rFonts w:ascii="Arial" w:cs="Arial" w:eastAsia="Arial" w:hAnsi="Arial"/>
          <w:b/>
          <w:bCs/>
          <w:color w:val="1E2761"/>
          <w:sz w:val="32"/>
          <w:szCs w:val="32"/>
        </w:rPr>
        <w:t xml:space="preserve">Section 1 — Sprint 1 : Cadrage du Projet</w:t>
      </w:r>
    </w:p>
    <w:p>
      <w:pPr>
        <w:spacing w:after="80" w:before="80"/>
      </w:pPr>
      <w:r>
        <w:t xml:space="preserve"/>
      </w:r>
    </w:p>
    <w:p>
      <w:pPr>
        <w:pStyle w:val="Heading2"/>
        <w:spacing w:after="140" w:before="280"/>
      </w:pPr>
      <w:r>
        <w:rPr>
          <w:rFonts w:ascii="Arial" w:cs="Arial" w:eastAsia="Arial" w:hAnsi="Arial"/>
          <w:b/>
          <w:bCs/>
          <w:color w:val="1E2761"/>
          <w:sz w:val="28"/>
          <w:szCs w:val="28"/>
        </w:rPr>
        <w:t xml:space="preserve">1. Contexte métier de RavenStack</w:t>
      </w:r>
    </w:p>
    <w:p>
      <w:pPr>
        <w:spacing w:after="80" w:before="80"/>
      </w:pPr>
      <w:r>
        <w:rPr>
          <w:rFonts w:ascii="Arial" w:cs="Arial" w:eastAsia="Arial" w:hAnsi="Arial"/>
          <w:sz w:val="24"/>
          <w:szCs w:val="24"/>
        </w:rPr>
        <w:t xml:space="preserve">RavenStack est un fournisseur de services SaaS (Software as a Service) en pleine croissance. Dans un marché B2B hautement concurrentiel, la rétention des clients est devenue la priorité stratégique numéro un. RavenStack fait face à un phénomène de « churn » (résiliation) qui impacte son revenu récurrent mensuel (MRR). Pour pérenniser son activité, l'entreprise doit passer d'une posture réactive (constater le départ d'un client) à une posture proactive (prédire le risque de départ pour intervenir en amont).</w:t>
      </w:r>
    </w:p>
    <w:p>
      <w:pPr>
        <w:spacing w:after="80" w:before="80"/>
      </w:pPr>
      <w:r>
        <w:t xml:space="preserve"/>
      </w:r>
    </w:p>
    <w:p>
      <w:pPr>
        <w:pStyle w:val="Heading2"/>
        <w:spacing w:after="140" w:before="280"/>
      </w:pPr>
      <w:r>
        <w:rPr>
          <w:rFonts w:ascii="Arial" w:cs="Arial" w:eastAsia="Arial" w:hAnsi="Arial"/>
          <w:b/>
          <w:bCs/>
          <w:color w:val="1E2761"/>
          <w:sz w:val="28"/>
          <w:szCs w:val="28"/>
        </w:rPr>
        <w:t xml:space="preserve">2. Objectifs du projet smartEngine</w:t>
      </w:r>
    </w:p>
    <w:p>
      <w:pPr>
        <w:spacing w:after="80" w:before="80"/>
      </w:pPr>
      <w:r>
        <w:rPr>
          <w:rFonts w:ascii="Arial" w:cs="Arial" w:eastAsia="Arial" w:hAnsi="Arial"/>
          <w:sz w:val="24"/>
          <w:szCs w:val="24"/>
        </w:rPr>
        <w:t xml:space="preserve">Le projet smartEngine a pour but de concevoir et déployer une plateforme d'intelligence artificielle capable de :</w:t>
      </w:r>
    </w:p>
    <w:p>
      <w:pPr>
        <w:pStyle w:val="ListParagraph"/>
        <w:numPr>
          <w:ilvl w:val="0"/>
          <w:numId w:val="2"/>
        </w:numPr>
        <w:spacing w:after="60" w:before="60"/>
      </w:pPr>
      <w:r>
        <w:rPr>
          <w:rFonts w:ascii="Arial" w:cs="Arial" w:eastAsia="Arial" w:hAnsi="Arial"/>
          <w:b w:val="false"/>
          <w:bCs w:val="false"/>
          <w:sz w:val="24"/>
          <w:szCs w:val="24"/>
        </w:rPr>
        <w:t xml:space="preserve">Identifier les signaux faibles de désengagement client.</w:t>
      </w:r>
    </w:p>
    <w:p>
      <w:pPr>
        <w:pStyle w:val="ListParagraph"/>
        <w:numPr>
          <w:ilvl w:val="0"/>
          <w:numId w:val="2"/>
        </w:numPr>
        <w:spacing w:after="60" w:before="60"/>
      </w:pPr>
      <w:r>
        <w:rPr>
          <w:rFonts w:ascii="Arial" w:cs="Arial" w:eastAsia="Arial" w:hAnsi="Arial"/>
          <w:b w:val="false"/>
          <w:bCs w:val="false"/>
          <w:sz w:val="24"/>
          <w:szCs w:val="24"/>
        </w:rPr>
        <w:t xml:space="preserve">Prédire avec précision la probabilité de churn pour chaque compte.</w:t>
      </w:r>
    </w:p>
    <w:p>
      <w:pPr>
        <w:pStyle w:val="ListParagraph"/>
        <w:numPr>
          <w:ilvl w:val="0"/>
          <w:numId w:val="2"/>
        </w:numPr>
        <w:spacing w:after="60" w:before="60"/>
      </w:pPr>
      <w:r>
        <w:rPr>
          <w:rFonts w:ascii="Arial" w:cs="Arial" w:eastAsia="Arial" w:hAnsi="Arial"/>
          <w:b w:val="false"/>
          <w:bCs w:val="false"/>
          <w:sz w:val="24"/>
          <w:szCs w:val="24"/>
        </w:rPr>
        <w:t xml:space="preserve">Fournir une interface visuelle (Dashboard) aux équipes de Customer Success pour prioriser leurs actions de rétention.</w:t>
      </w:r>
    </w:p>
    <w:p>
      <w:pPr>
        <w:pStyle w:val="ListParagraph"/>
        <w:numPr>
          <w:ilvl w:val="0"/>
          <w:numId w:val="2"/>
        </w:numPr>
        <w:spacing w:after="60" w:before="60"/>
      </w:pPr>
      <w:r>
        <w:rPr>
          <w:rFonts w:ascii="Arial" w:cs="Arial" w:eastAsia="Arial" w:hAnsi="Arial"/>
          <w:b w:val="false"/>
          <w:bCs w:val="false"/>
          <w:sz w:val="24"/>
          <w:szCs w:val="24"/>
        </w:rPr>
        <w:t xml:space="preserve">Automatiser des alertes via des workflows intelligents (n8n).</w:t>
      </w:r>
    </w:p>
    <w:p>
      <w:pPr>
        <w:spacing w:after="80" w:before="80"/>
      </w:pPr>
      <w:r>
        <w:t xml:space="preserve"/>
      </w:r>
    </w:p>
    <w:p>
      <w:pPr>
        <w:pStyle w:val="Heading2"/>
        <w:spacing w:after="140" w:before="280"/>
      </w:pPr>
      <w:r>
        <w:rPr>
          <w:rFonts w:ascii="Arial" w:cs="Arial" w:eastAsia="Arial" w:hAnsi="Arial"/>
          <w:b/>
          <w:bCs/>
          <w:color w:val="1E2761"/>
          <w:sz w:val="28"/>
          <w:szCs w:val="28"/>
        </w:rPr>
        <w:t xml:space="preserve">3. Contraintes RGPD</w:t>
      </w:r>
    </w:p>
    <w:p>
      <w:pPr>
        <w:spacing w:after="80" w:before="80"/>
      </w:pPr>
      <w:r>
        <w:rPr>
          <w:rFonts w:ascii="Arial" w:cs="Arial" w:eastAsia="Arial" w:hAnsi="Arial"/>
          <w:sz w:val="24"/>
          <w:szCs w:val="24"/>
        </w:rPr>
        <w:t xml:space="preserve">Le traitement des données clients est soumis au Règlement Général sur la Protection des Données (RGPD) :</w:t>
      </w:r>
    </w:p>
    <w:p>
      <w:pPr>
        <w:pStyle w:val="ListParagraph"/>
        <w:numPr>
          <w:ilvl w:val="0"/>
          <w:numId w:val="2"/>
        </w:numPr>
        <w:spacing w:after="60" w:before="60"/>
      </w:pPr>
      <w:r>
        <w:rPr>
          <w:rFonts w:ascii="Arial" w:cs="Arial" w:eastAsia="Arial" w:hAnsi="Arial"/>
          <w:b w:val="false"/>
          <w:bCs w:val="false"/>
          <w:sz w:val="24"/>
          <w:szCs w:val="24"/>
        </w:rPr>
        <w:t xml:space="preserve">Principes généraux : Limitation des finalités (les données ne servent qu'à la rétention), minimisation des données (seules les données utiles au churn sont traitées) et sécurité renforcée.</w:t>
      </w:r>
    </w:p>
    <w:p>
      <w:pPr>
        <w:pStyle w:val="ListParagraph"/>
        <w:numPr>
          <w:ilvl w:val="0"/>
          <w:numId w:val="2"/>
        </w:numPr>
        <w:spacing w:after="60" w:before="60"/>
      </w:pPr>
      <w:r>
        <w:rPr>
          <w:rFonts w:ascii="Arial" w:cs="Arial" w:eastAsia="Arial" w:hAnsi="Arial"/>
          <w:b w:val="false"/>
          <w:bCs w:val="false"/>
          <w:sz w:val="24"/>
          <w:szCs w:val="24"/>
        </w:rPr>
        <w:t xml:space="preserve">Article 22 (Décisions automatisées) : Le RGPD interdit les décisions produisant des effets juridiques basées uniquement sur un traitement automatisé sans intervention humaine.</w:t>
      </w:r>
    </w:p>
    <w:p>
      <w:pPr>
        <w:pStyle w:val="ListParagraph"/>
        <w:numPr>
          <w:ilvl w:val="0"/>
          <w:numId w:val="2"/>
        </w:numPr>
        <w:spacing w:after="60" w:before="60"/>
      </w:pPr>
      <w:r>
        <w:rPr>
          <w:rFonts w:ascii="Arial" w:cs="Arial" w:eastAsia="Arial" w:hAnsi="Arial"/>
          <w:b w:val="false"/>
          <w:bCs w:val="false"/>
          <w:sz w:val="24"/>
          <w:szCs w:val="24"/>
        </w:rPr>
        <w:t xml:space="preserve">Application au score de churn : Le score de churn ne doit pas entraîner une résiliation automatique du contrat par RavenStack, mais doit servir d'outil d'aide à la décision pour un gestionnaire humain. Le client doit pouvoir contester ou obtenir une explication sur son score.</w:t>
      </w:r>
    </w:p>
    <w:p>
      <w:pPr>
        <w:pStyle w:val="ListParagraph"/>
        <w:numPr>
          <w:ilvl w:val="0"/>
          <w:numId w:val="2"/>
        </w:numPr>
        <w:spacing w:after="60" w:before="60"/>
      </w:pPr>
      <w:r>
        <w:rPr>
          <w:rFonts w:ascii="Arial" w:cs="Arial" w:eastAsia="Arial" w:hAnsi="Arial"/>
          <w:b w:val="false"/>
          <w:bCs w:val="false"/>
          <w:sz w:val="24"/>
          <w:szCs w:val="24"/>
        </w:rPr>
        <w:t xml:space="preserve">Loi Informatique et Libertés : En complément du RGPD, elle encadre la protection des données personnelles en France, notamment sur les droits d'accès et de rectification.</w:t>
      </w:r>
    </w:p>
    <w:p>
      <w:pPr>
        <w:spacing w:after="80" w:before="80"/>
      </w:pPr>
      <w:r>
        <w:t xml:space="preserve"/>
      </w:r>
    </w:p>
    <w:p>
      <w:pPr>
        <w:pStyle w:val="Heading2"/>
        <w:spacing w:after="140" w:before="280"/>
      </w:pPr>
      <w:r>
        <w:rPr>
          <w:rFonts w:ascii="Arial" w:cs="Arial" w:eastAsia="Arial" w:hAnsi="Arial"/>
          <w:b/>
          <w:bCs/>
          <w:color w:val="1E2761"/>
          <w:sz w:val="28"/>
          <w:szCs w:val="28"/>
        </w:rPr>
        <w:t xml:space="preserve">4. Choix d'outils justifiés</w:t>
      </w:r>
    </w:p>
    <w:p>
      <w:pPr>
        <w:pStyle w:val="ListParagraph"/>
        <w:numPr>
          <w:ilvl w:val="0"/>
          <w:numId w:val="2"/>
        </w:numPr>
        <w:spacing w:after="60" w:before="60"/>
      </w:pPr>
      <w:r>
        <w:rPr>
          <w:rFonts w:ascii="Arial" w:cs="Arial" w:eastAsia="Arial" w:hAnsi="Arial"/>
          <w:b w:val="false"/>
          <w:bCs w:val="false"/>
          <w:sz w:val="24"/>
          <w:szCs w:val="24"/>
        </w:rPr>
        <w:t xml:space="preserve">Python/pandas : Standard industriel pour le traitement de données tabulaires (CSV).</w:t>
      </w:r>
    </w:p>
    <w:p>
      <w:pPr>
        <w:pStyle w:val="ListParagraph"/>
        <w:numPr>
          <w:ilvl w:val="0"/>
          <w:numId w:val="2"/>
        </w:numPr>
        <w:spacing w:after="60" w:before="60"/>
      </w:pPr>
      <w:r>
        <w:rPr>
          <w:rFonts w:ascii="Arial" w:cs="Arial" w:eastAsia="Arial" w:hAnsi="Arial"/>
          <w:b w:val="false"/>
          <w:bCs w:val="false"/>
          <w:sz w:val="24"/>
          <w:szCs w:val="24"/>
        </w:rPr>
        <w:t xml:space="preserve">scikit-learn : Pour sa robustesse et sa simplicité dans la mise en œuvre de modèles de classification performants.</w:t>
      </w:r>
    </w:p>
    <w:p>
      <w:pPr>
        <w:pStyle w:val="ListParagraph"/>
        <w:numPr>
          <w:ilvl w:val="0"/>
          <w:numId w:val="2"/>
        </w:numPr>
        <w:spacing w:after="60" w:before="60"/>
      </w:pPr>
      <w:r>
        <w:rPr>
          <w:rFonts w:ascii="Arial" w:cs="Arial" w:eastAsia="Arial" w:hAnsi="Arial"/>
          <w:b w:val="false"/>
          <w:bCs w:val="false"/>
          <w:sz w:val="24"/>
          <w:szCs w:val="24"/>
        </w:rPr>
        <w:t xml:space="preserve">Streamlit : Choisi pour sa capacité à transformer des scripts Python en applications web interactives en quelques minutes, facilitant l'adoption par les métiers.</w:t>
      </w:r>
    </w:p>
    <w:p>
      <w:pPr>
        <w:pStyle w:val="ListParagraph"/>
        <w:numPr>
          <w:ilvl w:val="0"/>
          <w:numId w:val="2"/>
        </w:numPr>
        <w:spacing w:after="60" w:before="60"/>
      </w:pPr>
      <w:r>
        <w:rPr>
          <w:rFonts w:ascii="Arial" w:cs="Arial" w:eastAsia="Arial" w:hAnsi="Arial"/>
          <w:b w:val="false"/>
          <w:bCs w:val="false"/>
          <w:sz w:val="24"/>
          <w:szCs w:val="24"/>
        </w:rPr>
        <w:t xml:space="preserve">n8n : Pour son approche « low-code » permettant de connecter les prédictions du modèle aux outils de communication (Email, Slack, CRM) sans développement lourd.</w:t>
      </w:r>
    </w:p>
    <w:p>
      <w:pPr>
        <w:pStyle w:val="ListParagraph"/>
        <w:numPr>
          <w:ilvl w:val="0"/>
          <w:numId w:val="2"/>
        </w:numPr>
        <w:spacing w:after="60" w:before="60"/>
      </w:pPr>
      <w:r>
        <w:rPr>
          <w:rFonts w:ascii="Arial" w:cs="Arial" w:eastAsia="Arial" w:hAnsi="Arial"/>
          <w:b w:val="false"/>
          <w:bCs w:val="false"/>
          <w:sz w:val="24"/>
          <w:szCs w:val="24"/>
        </w:rPr>
        <w:t xml:space="preserve">Gemini CLI : Utilisé comme agent d'ingénierie pour accélérer le développement, la documentation et le respect des standards de code.</w:t>
      </w:r>
    </w:p>
    <w:p>
      <w:pPr>
        <w:spacing w:after="80" w:before="80"/>
      </w:pPr>
      <w:r>
        <w:t xml:space="preserve"/>
      </w:r>
    </w:p>
    <w:p>
      <w:pPr>
        <w:spacing w:after="100" w:before="60"/>
        <w:jc w:val="right"/>
      </w:pPr>
      <w:r>
        <w:rPr>
          <w:rFonts w:ascii="Arial" w:cs="Arial" w:eastAsia="Arial" w:hAnsi="Arial"/>
          <w:i/>
          <w:iCs/>
          <w:color w:val="888888"/>
          <w:sz w:val="22"/>
          <w:szCs w:val="22"/>
        </w:rPr>
        <w:t xml:space="preserve">Document de conception — Sprint 1 — 10 Mars 2026</w:t>
      </w:r>
    </w:p>
    <w:p>
      <w:r>
        <w:br w:type="page"/>
      </w:r>
    </w:p>
    <w:p>
      <w:pPr>
        <w:pStyle w:val="Heading1"/>
        <w:spacing w:after="200" w:before="400"/>
      </w:pPr>
      <w:r>
        <w:rPr>
          <w:rFonts w:ascii="Arial" w:cs="Arial" w:eastAsia="Arial" w:hAnsi="Arial"/>
          <w:b/>
          <w:bCs/>
          <w:color w:val="1E2761"/>
          <w:sz w:val="32"/>
          <w:szCs w:val="32"/>
        </w:rPr>
        <w:t xml:space="preserve">Section 2 — Sprint 2 : Ingénierie des données</w:t>
      </w:r>
    </w:p>
    <w:p>
      <w:pPr>
        <w:spacing w:after="80" w:before="80"/>
      </w:pPr>
      <w:r>
        <w:t xml:space="preserve"/>
      </w:r>
    </w:p>
    <w:p>
      <w:pPr>
        <w:spacing w:after="80" w:before="80"/>
      </w:pPr>
      <w:r>
        <w:rPr>
          <w:rFonts w:ascii="Arial" w:cs="Arial" w:eastAsia="Arial" w:hAnsi="Arial"/>
          <w:i/>
          <w:iCs/>
          <w:color w:val="666666"/>
          <w:sz w:val="22"/>
          <w:szCs w:val="22"/>
        </w:rPr>
        <w:t xml:space="preserve">[ Contenu produit par l'équipe lors du Sprint 2 — à insérer ici ]</w:t>
      </w:r>
    </w:p>
    <w:p>
      <w:pPr>
        <w:spacing w:after="80" w:before="80"/>
      </w:pPr>
      <w:r>
        <w:t xml:space="preserve"/>
      </w:r>
    </w:p>
    <w:p>
      <w:pPr>
        <w:spacing w:after="100" w:before="60"/>
        <w:jc w:val="right"/>
      </w:pPr>
      <w:r>
        <w:rPr>
          <w:rFonts w:ascii="Arial" w:cs="Arial" w:eastAsia="Arial" w:hAnsi="Arial"/>
          <w:i/>
          <w:iCs/>
          <w:color w:val="888888"/>
          <w:sz w:val="22"/>
          <w:szCs w:val="22"/>
        </w:rPr>
        <w:t xml:space="preserve">Document de conception — Sprint 2</w:t>
      </w:r>
    </w:p>
    <w:p>
      <w:r>
        <w:br w:type="page"/>
      </w:r>
    </w:p>
    <w:p>
      <w:pPr>
        <w:pStyle w:val="Heading1"/>
        <w:spacing w:after="200" w:before="400"/>
      </w:pPr>
      <w:r>
        <w:rPr>
          <w:rFonts w:ascii="Arial" w:cs="Arial" w:eastAsia="Arial" w:hAnsi="Arial"/>
          <w:b/>
          <w:bCs/>
          <w:color w:val="1E2761"/>
          <w:sz w:val="32"/>
          <w:szCs w:val="32"/>
        </w:rPr>
        <w:t xml:space="preserve">Section 3 — Sprint 3 : Modélisation</w:t>
      </w:r>
    </w:p>
    <w:p>
      <w:pPr>
        <w:spacing w:after="80" w:before="80"/>
      </w:pPr>
      <w:r>
        <w:t xml:space="preserve"/>
      </w:r>
    </w:p>
    <w:p>
      <w:pPr>
        <w:spacing w:after="80" w:before="80"/>
      </w:pPr>
      <w:r>
        <w:rPr>
          <w:rFonts w:ascii="Arial" w:cs="Arial" w:eastAsia="Arial" w:hAnsi="Arial"/>
          <w:i/>
          <w:iCs/>
          <w:color w:val="666666"/>
          <w:sz w:val="22"/>
          <w:szCs w:val="22"/>
        </w:rPr>
        <w:t xml:space="preserve">[ Contenu produit par l'équipe lors du Sprint 3 — à insérer ici ]</w:t>
      </w:r>
    </w:p>
    <w:p>
      <w:pPr>
        <w:spacing w:after="80" w:before="80"/>
      </w:pPr>
      <w:r>
        <w:t xml:space="preserve"/>
      </w:r>
    </w:p>
    <w:p>
      <w:pPr>
        <w:spacing w:after="100" w:before="60"/>
        <w:jc w:val="right"/>
      </w:pPr>
      <w:r>
        <w:rPr>
          <w:rFonts w:ascii="Arial" w:cs="Arial" w:eastAsia="Arial" w:hAnsi="Arial"/>
          <w:i/>
          <w:iCs/>
          <w:color w:val="888888"/>
          <w:sz w:val="22"/>
          <w:szCs w:val="22"/>
        </w:rPr>
        <w:t xml:space="preserve">Document de conception — Sprint 3</w:t>
      </w:r>
    </w:p>
    <w:p>
      <w:r>
        <w:br w:type="page"/>
      </w:r>
    </w:p>
    <w:p>
      <w:pPr>
        <w:pStyle w:val="Heading1"/>
        <w:spacing w:after="200" w:before="400"/>
      </w:pPr>
      <w:r>
        <w:rPr>
          <w:rFonts w:ascii="Arial" w:cs="Arial" w:eastAsia="Arial" w:hAnsi="Arial"/>
          <w:b/>
          <w:bCs/>
          <w:color w:val="1E2761"/>
          <w:sz w:val="32"/>
          <w:szCs w:val="32"/>
        </w:rPr>
        <w:t xml:space="preserve">Section 4 — Sprint 4 : Déploiement</w:t>
      </w:r>
    </w:p>
    <w:p>
      <w:pPr>
        <w:spacing w:after="80" w:before="80"/>
      </w:pPr>
      <w:r>
        <w:t xml:space="preserve"/>
      </w:r>
    </w:p>
    <w:p>
      <w:pPr>
        <w:pStyle w:val="Heading2"/>
        <w:spacing w:after="140" w:before="280"/>
      </w:pPr>
      <w:r>
        <w:rPr>
          <w:rFonts w:ascii="Arial" w:cs="Arial" w:eastAsia="Arial" w:hAnsi="Arial"/>
          <w:b/>
          <w:bCs/>
          <w:color w:val="1E2761"/>
          <w:sz w:val="28"/>
          <w:szCs w:val="28"/>
        </w:rPr>
        <w:t xml:space="preserve">4.1 Segmentation risque / valeur</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Pourquoi la matrice risque / valeur plutôt qu'un clustering ?</w:t>
      </w:r>
    </w:p>
    <w:p>
      <w:pPr>
        <w:spacing w:after="80" w:before="80"/>
      </w:pPr>
      <w:r>
        <w:rPr>
          <w:rFonts w:ascii="Arial" w:cs="Arial" w:eastAsia="Arial" w:hAnsi="Arial"/>
          <w:sz w:val="24"/>
          <w:szCs w:val="24"/>
        </w:rPr>
        <w:t xml:space="preserve">Le Sprint 4 repose sur une segmentation intentionnellement simple : une matrice à deux dimensions croisant le score de churn (risque) et le MRR du compte (valeur). Ce choix s'oppose à une approche algorithmique de type K-means pour plusieurs raisons :</w:t>
      </w:r>
    </w:p>
    <w:p>
      <w:pPr>
        <w:pStyle w:val="ListParagraph"/>
        <w:numPr>
          <w:ilvl w:val="0"/>
          <w:numId w:val="2"/>
        </w:numPr>
        <w:spacing w:after="60" w:before="60"/>
      </w:pPr>
      <w:r>
        <w:rPr>
          <w:rFonts w:ascii="Arial" w:cs="Arial" w:eastAsia="Arial" w:hAnsi="Arial"/>
          <w:b w:val="false"/>
          <w:bCs w:val="false"/>
          <w:sz w:val="24"/>
          <w:szCs w:val="24"/>
        </w:rPr>
        <w:t xml:space="preserve">Lisibilité métier : chaque quadrant correspond à une décision d'action immédiate et compréhensible par un responsable Customer Success non technique.</w:t>
      </w:r>
    </w:p>
    <w:p>
      <w:pPr>
        <w:pStyle w:val="ListParagraph"/>
        <w:numPr>
          <w:ilvl w:val="0"/>
          <w:numId w:val="2"/>
        </w:numPr>
        <w:spacing w:after="60" w:before="60"/>
      </w:pPr>
      <w:r>
        <w:rPr>
          <w:rFonts w:ascii="Arial" w:cs="Arial" w:eastAsia="Arial" w:hAnsi="Arial"/>
          <w:b w:val="false"/>
          <w:bCs w:val="false"/>
          <w:sz w:val="24"/>
          <w:szCs w:val="24"/>
        </w:rPr>
        <w:t xml:space="preserve">Absence d'ambiguïté : un clustering automatique produit des groupes dont les frontières et l'interprétation varient selon les paramètres. La matrice est déterministe et reproductible.</w:t>
      </w:r>
    </w:p>
    <w:p>
      <w:pPr>
        <w:pStyle w:val="ListParagraph"/>
        <w:numPr>
          <w:ilvl w:val="0"/>
          <w:numId w:val="2"/>
        </w:numPr>
        <w:spacing w:after="60" w:before="60"/>
      </w:pPr>
      <w:r>
        <w:rPr>
          <w:rFonts w:ascii="Arial" w:cs="Arial" w:eastAsia="Arial" w:hAnsi="Arial"/>
          <w:b w:val="false"/>
          <w:bCs w:val="false"/>
          <w:sz w:val="24"/>
          <w:szCs w:val="24"/>
        </w:rPr>
        <w:t xml:space="preserve">Alignement avec la valeur business : la dimension MRR ancre la segmentation dans la réalité financière de RavenStack. Un algorithme non supervisé n'aurait aucune garantie de faire émerger cette dimension.</w:t>
      </w:r>
    </w:p>
    <w:p>
      <w:pPr>
        <w:pStyle w:val="ListParagraph"/>
        <w:numPr>
          <w:ilvl w:val="0"/>
          <w:numId w:val="2"/>
        </w:numPr>
        <w:spacing w:after="60" w:before="60"/>
      </w:pPr>
      <w:r>
        <w:rPr>
          <w:rFonts w:ascii="Arial" w:cs="Arial" w:eastAsia="Arial" w:hAnsi="Arial"/>
          <w:b w:val="false"/>
          <w:bCs w:val="false"/>
          <w:sz w:val="24"/>
          <w:szCs w:val="24"/>
        </w:rPr>
        <w:t xml:space="preserve">Conformité RGPD : une segmentation explicite et documentée est plus facile à auditer qu'un clustering boîte noire.</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Définition des seuils de valeur</w:t>
      </w:r>
    </w:p>
    <w:p>
      <w:pPr>
        <w:spacing w:after="80" w:before="80"/>
      </w:pPr>
      <w:r>
        <w:rPr>
          <w:rFonts w:ascii="Arial" w:cs="Arial" w:eastAsia="Arial" w:hAnsi="Arial"/>
          <w:sz w:val="24"/>
          <w:szCs w:val="24"/>
        </w:rPr>
        <w:t xml:space="preserve">Le seuil séparant « valeur faible » et « valeur élevée » a été fixé à la médiane du MRR du portefeuille, soit 1 923 €/mois. Ce choix garantit une répartition équilibrée du portefeuille entre les deux catégories, sans biais vers les extrêmes. Il pourrait être affiné avec le client (ex. seuil sur le 3e quartile pour concentrer les efforts sur les comptes premium).</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1200"/>
        <w:gridCol w:w="2500"/>
      </w:tblGrid>
      <w:tr>
        <w:trPr>
          <w:tblHeader/>
        </w:trPr>
        <w:tc>
          <w:tcPr>
            <w:tcW w:type="dxa" w:w="28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2"/>
                <w:szCs w:val="22"/>
              </w:rPr>
              <w:t xml:space="preserve">Quadrant</w:t>
            </w:r>
          </w:p>
        </w:tc>
        <w:tc>
          <w:tcPr>
            <w:tcW w:type="dxa" w:w="25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2"/>
                <w:szCs w:val="22"/>
              </w:rPr>
              <w:t xml:space="preserve">Profil</w:t>
            </w:r>
          </w:p>
        </w:tc>
        <w:tc>
          <w:tcPr>
            <w:tcW w:type="dxa" w:w="12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2"/>
                <w:szCs w:val="22"/>
              </w:rPr>
              <w:t xml:space="preserve">Comptes</w:t>
            </w:r>
          </w:p>
        </w:tc>
        <w:tc>
          <w:tcPr>
            <w:tcW w:type="dxa" w:w="25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2"/>
                <w:szCs w:val="22"/>
              </w:rPr>
              <w:t xml:space="preserve">Action</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 Risque élevé / Valeur élevée</w:t>
            </w:r>
          </w:p>
        </w:tc>
        <w:tc>
          <w:tcPr>
            <w:tcW w:type="dxa" w:w="2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Gros comptes en danger</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86</w:t>
            </w:r>
          </w:p>
        </w:tc>
        <w:tc>
          <w:tcPr>
            <w:tcW w:type="dxa" w:w="2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Appel CSM &lt; 24h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Risque élevé / Valeur faible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Petits comptes en danger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Email automatisé</w:t>
            </w:r>
          </w:p>
        </w:tc>
      </w:tr>
      <w:tr>
        <w:tc>
          <w:tcPr>
            <w:tcW w:type="dxa" w:w="2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 Risque faible / Valeur élevée</w:t>
            </w:r>
          </w:p>
        </w:tc>
        <w:tc>
          <w:tcPr>
            <w:tcW w:type="dxa" w:w="2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Gros comptes fidèles</w:t>
            </w:r>
          </w:p>
        </w:tc>
        <w:tc>
          <w:tcPr>
            <w:tcW w:type="dxa" w:w="1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164</w:t>
            </w:r>
          </w:p>
        </w:tc>
        <w:tc>
          <w:tcPr>
            <w:tcW w:type="dxa" w:w="25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Fidélisation trimestrielle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 Risque faible / Valeur faible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Petits comptes stables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149</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Aucune action prioritaire</w:t>
            </w:r>
          </w:p>
        </w:tc>
      </w:tr>
    </w:tbl>
    <w:p>
      <w:pPr>
        <w:spacing w:after="80" w:before="80"/>
      </w:pPr>
      <w:r>
        <w:t xml:space="preserve"/>
      </w:r>
    </w:p>
    <w:p>
      <w:pPr>
        <w:pStyle w:val="Heading2"/>
        <w:spacing w:after="140" w:before="280"/>
      </w:pPr>
      <w:r>
        <w:rPr>
          <w:rFonts w:ascii="Arial" w:cs="Arial" w:eastAsia="Arial" w:hAnsi="Arial"/>
          <w:b/>
          <w:bCs/>
          <w:color w:val="1E2761"/>
          <w:sz w:val="28"/>
          <w:szCs w:val="28"/>
        </w:rPr>
        <w:t xml:space="preserve">4.2 Dashboard Streamlit</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Choix des visualisations</w:t>
      </w:r>
    </w:p>
    <w:p>
      <w:pPr>
        <w:spacing w:after="80" w:before="80"/>
      </w:pPr>
      <w:r>
        <w:rPr>
          <w:rFonts w:ascii="Arial" w:cs="Arial" w:eastAsia="Arial" w:hAnsi="Arial"/>
          <w:sz w:val="24"/>
          <w:szCs w:val="24"/>
        </w:rPr>
        <w:t xml:space="preserve">Les visualisations ont été choisies selon le principe du data storytelling : chaque vue répond à une question métier précise.</w:t>
      </w:r>
    </w:p>
    <w:p>
      <w:pPr>
        <w:pStyle w:val="ListParagraph"/>
        <w:numPr>
          <w:ilvl w:val="0"/>
          <w:numId w:val="2"/>
        </w:numPr>
        <w:spacing w:after="60" w:before="60"/>
      </w:pPr>
      <w:r>
        <w:rPr>
          <w:rFonts w:ascii="Arial" w:cs="Arial" w:eastAsia="Arial" w:hAnsi="Arial"/>
          <w:b w:val="false"/>
          <w:bCs w:val="false"/>
          <w:sz w:val="24"/>
          <w:szCs w:val="24"/>
        </w:rPr>
        <w:t xml:space="preserve">Vue Portefeuille : KPIs en grands chiffres (taux de churn, MRR à risque), distribution des scores en histogramme, camembert de répartition par quadrant. Objectif : donner une vue d'ensemble en 30 secondes.</w:t>
      </w:r>
    </w:p>
    <w:p>
      <w:pPr>
        <w:pStyle w:val="ListParagraph"/>
        <w:numPr>
          <w:ilvl w:val="0"/>
          <w:numId w:val="2"/>
        </w:numPr>
        <w:spacing w:after="60" w:before="60"/>
      </w:pPr>
      <w:r>
        <w:rPr>
          <w:rFonts w:ascii="Arial" w:cs="Arial" w:eastAsia="Arial" w:hAnsi="Arial"/>
          <w:b w:val="false"/>
          <w:bCs w:val="false"/>
          <w:sz w:val="24"/>
          <w:szCs w:val="24"/>
        </w:rPr>
        <w:t xml:space="preserve">Vue Priorisation : scatter plot risque × valeur avec code couleur par quadrant, tableau filtrable et triable. Objectif : identifier les comptes à traiter en priorité.</w:t>
      </w:r>
    </w:p>
    <w:p>
      <w:pPr>
        <w:pStyle w:val="ListParagraph"/>
        <w:numPr>
          <w:ilvl w:val="0"/>
          <w:numId w:val="2"/>
        </w:numPr>
        <w:spacing w:after="60" w:before="60"/>
      </w:pPr>
      <w:r>
        <w:rPr>
          <w:rFonts w:ascii="Arial" w:cs="Arial" w:eastAsia="Arial" w:hAnsi="Arial"/>
          <w:b w:val="false"/>
          <w:bCs w:val="false"/>
          <w:sz w:val="24"/>
          <w:szCs w:val="24"/>
        </w:rPr>
        <w:t xml:space="preserve">Vue Fiche Compte : fiche individuelle avec profil, score, action recommandée et graphique SHAP waterfall. Objectif : préparer un appel de rétention.</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Accessibilité (WCAG)</w:t>
      </w:r>
    </w:p>
    <w:p>
      <w:pPr>
        <w:spacing w:after="80" w:before="80"/>
      </w:pPr>
      <w:r>
        <w:rPr>
          <w:rFonts w:ascii="Arial" w:cs="Arial" w:eastAsia="Arial" w:hAnsi="Arial"/>
          <w:sz w:val="24"/>
          <w:szCs w:val="24"/>
        </w:rPr>
        <w:t xml:space="preserve">Les principes WCAG 2.1 ont guidé les choix de design :</w:t>
      </w:r>
    </w:p>
    <w:p>
      <w:pPr>
        <w:pStyle w:val="ListParagraph"/>
        <w:numPr>
          <w:ilvl w:val="0"/>
          <w:numId w:val="2"/>
        </w:numPr>
        <w:spacing w:after="60" w:before="60"/>
      </w:pPr>
      <w:r>
        <w:rPr>
          <w:rFonts w:ascii="Arial" w:cs="Arial" w:eastAsia="Arial" w:hAnsi="Arial"/>
          <w:b w:val="false"/>
          <w:bCs w:val="false"/>
          <w:sz w:val="24"/>
          <w:szCs w:val="24"/>
        </w:rPr>
        <w:t xml:space="preserve">Contraste : ratio minimum 4,5:1 entre texte et fond pour les éléments informatifs.</w:t>
      </w:r>
    </w:p>
    <w:p>
      <w:pPr>
        <w:pStyle w:val="ListParagraph"/>
        <w:numPr>
          <w:ilvl w:val="0"/>
          <w:numId w:val="2"/>
        </w:numPr>
        <w:spacing w:after="60" w:before="60"/>
      </w:pPr>
      <w:r>
        <w:rPr>
          <w:rFonts w:ascii="Arial" w:cs="Arial" w:eastAsia="Arial" w:hAnsi="Arial"/>
          <w:b w:val="false"/>
          <w:bCs w:val="false"/>
          <w:sz w:val="24"/>
          <w:szCs w:val="24"/>
        </w:rPr>
        <w:t xml:space="preserve">Daltonisme : les quadrants ne sont pas distingués uniquement par la couleur — chaque carte porte également un emoji et un libellé textuel (🔴 Priorité maximale, 🟢 Aucune action).</w:t>
      </w:r>
    </w:p>
    <w:p>
      <w:pPr>
        <w:pStyle w:val="ListParagraph"/>
        <w:numPr>
          <w:ilvl w:val="0"/>
          <w:numId w:val="2"/>
        </w:numPr>
        <w:spacing w:after="60" w:before="60"/>
      </w:pPr>
      <w:r>
        <w:rPr>
          <w:rFonts w:ascii="Arial" w:cs="Arial" w:eastAsia="Arial" w:hAnsi="Arial"/>
          <w:b w:val="false"/>
          <w:bCs w:val="false"/>
          <w:sz w:val="24"/>
          <w:szCs w:val="24"/>
        </w:rPr>
        <w:t xml:space="preserve">Navigation clavier : Streamlit assure nativement la compatibilité avec la navigation au clavier.</w:t>
      </w:r>
    </w:p>
    <w:p>
      <w:pPr>
        <w:pStyle w:val="ListParagraph"/>
        <w:numPr>
          <w:ilvl w:val="0"/>
          <w:numId w:val="2"/>
        </w:numPr>
        <w:spacing w:after="60" w:before="60"/>
      </w:pPr>
      <w:r>
        <w:rPr>
          <w:rFonts w:ascii="Arial" w:cs="Arial" w:eastAsia="Arial" w:hAnsi="Arial"/>
          <w:b w:val="false"/>
          <w:bCs w:val="false"/>
          <w:sz w:val="24"/>
          <w:szCs w:val="24"/>
        </w:rPr>
        <w:t xml:space="preserve">Langage non technique : les scores de probabilité sont présentés en niveaux de risque (Faible / Modéré / Élevé) plutôt qu'en valeurs décimales brutes, pour éviter de fausses certitudes.</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Retour d'expérience Streamlit</w:t>
      </w:r>
    </w:p>
    <w:p>
      <w:pPr>
        <w:spacing w:after="80" w:before="80"/>
      </w:pPr>
      <w:r>
        <w:rPr>
          <w:rFonts w:ascii="Arial" w:cs="Arial" w:eastAsia="Arial" w:hAnsi="Arial"/>
          <w:sz w:val="24"/>
          <w:szCs w:val="24"/>
        </w:rPr>
        <w:t xml:space="preserve">Streamlit s'est révélé adapté au contexte : mise en place rapide, rendu natif des dataframes pandas et des graphiques Plotly/Matplotlib, et déploiement en une commande. Les limites rencontrées concernent la personnalisation avancée du CSS (nécessite des hacks via st.markdown), et la gestion d'état entre les pages (nécessite st.session_state).</w:t>
      </w:r>
    </w:p>
    <w:p>
      <w:pPr>
        <w:spacing w:after="80" w:before="80"/>
      </w:pPr>
      <w:r>
        <w:t xml:space="preserve"/>
      </w:r>
    </w:p>
    <w:p>
      <w:pPr>
        <w:pStyle w:val="Heading2"/>
        <w:spacing w:after="140" w:before="280"/>
      </w:pPr>
      <w:r>
        <w:rPr>
          <w:rFonts w:ascii="Arial" w:cs="Arial" w:eastAsia="Arial" w:hAnsi="Arial"/>
          <w:b/>
          <w:bCs/>
          <w:color w:val="1E2761"/>
          <w:sz w:val="28"/>
          <w:szCs w:val="28"/>
        </w:rPr>
        <w:t xml:space="preserve">4.3 Recommandations et mesure d'impact</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Méthode de calcul du ROI</w:t>
      </w:r>
    </w:p>
    <w:p>
      <w:pPr>
        <w:spacing w:after="80" w:before="80"/>
      </w:pPr>
      <w:r>
        <w:rPr>
          <w:rFonts w:ascii="Arial" w:cs="Arial" w:eastAsia="Arial" w:hAnsi="Arial"/>
          <w:sz w:val="24"/>
          <w:szCs w:val="24"/>
        </w:rPr>
        <w:t xml:space="preserve">Le ROI est calculé en trois étapes :</w:t>
      </w:r>
    </w:p>
    <w:p>
      <w:pPr>
        <w:pStyle w:val="ListParagraph"/>
        <w:numPr>
          <w:ilvl w:val="0"/>
          <w:numId w:val="2"/>
        </w:numPr>
        <w:spacing w:after="60" w:before="60"/>
      </w:pPr>
      <w:r>
        <w:rPr>
          <w:rFonts w:ascii="Arial" w:cs="Arial" w:eastAsia="Arial" w:hAnsi="Arial"/>
          <w:b w:val="false"/>
          <w:bCs w:val="false"/>
          <w:sz w:val="24"/>
          <w:szCs w:val="24"/>
        </w:rPr>
        <w:t xml:space="preserve">MRR exposé : somme du MRR des comptes classés en risque élevé (Quadrants 1 et 2) = 370 913 €/mois.</w:t>
      </w:r>
    </w:p>
    <w:p>
      <w:pPr>
        <w:pStyle w:val="ListParagraph"/>
        <w:numPr>
          <w:ilvl w:val="0"/>
          <w:numId w:val="2"/>
        </w:numPr>
        <w:spacing w:after="60" w:before="60"/>
      </w:pPr>
      <w:r>
        <w:rPr>
          <w:rFonts w:ascii="Arial" w:cs="Arial" w:eastAsia="Arial" w:hAnsi="Arial"/>
          <w:b w:val="false"/>
          <w:bCs w:val="false"/>
          <w:sz w:val="24"/>
          <w:szCs w:val="24"/>
        </w:rPr>
        <w:t xml:space="preserve">MRR sauvé : MRR exposé × taux de rétention attendu (scénario réaliste : 25 %) = ~92 728 €/mois.</w:t>
      </w:r>
    </w:p>
    <w:p>
      <w:pPr>
        <w:pStyle w:val="ListParagraph"/>
        <w:numPr>
          <w:ilvl w:val="0"/>
          <w:numId w:val="2"/>
        </w:numPr>
        <w:spacing w:after="60" w:before="60"/>
      </w:pPr>
      <w:r>
        <w:rPr>
          <w:rFonts w:ascii="Arial" w:cs="Arial" w:eastAsia="Arial" w:hAnsi="Arial"/>
          <w:b w:val="false"/>
          <w:bCs w:val="false"/>
          <w:sz w:val="24"/>
          <w:szCs w:val="24"/>
        </w:rPr>
        <w:t xml:space="preserve">Coût des actions : appels CSM (~2 580 €) + emails automatisés (~202 €) + fidélisation (~2 460 €/trimestre) = ~5 242 €.</w:t>
      </w:r>
    </w:p>
    <w:p>
      <w:pPr>
        <w:spacing w:after="80" w:before="80"/>
      </w:pPr>
      <w:r>
        <w:rPr>
          <w:rFonts w:ascii="Arial" w:cs="Arial" w:eastAsia="Arial" w:hAnsi="Arial"/>
          <w:sz w:val="24"/>
          <w:szCs w:val="24"/>
        </w:rPr>
        <w:t xml:space="preserve">ROI = MRR sauvé / Coût des actions = ~92 728 / ~5 242 ≈ x17 dès le premier mois.</w:t>
      </w:r>
    </w:p>
    <w:p>
      <w:pPr>
        <w:spacing w:after="80" w:before="80"/>
      </w:pPr>
      <w:r>
        <w:rPr>
          <w:rFonts w:ascii="Arial" w:cs="Arial" w:eastAsia="Arial" w:hAnsi="Arial"/>
          <w:i/>
          <w:iCs/>
          <w:color w:val="666666"/>
          <w:sz w:val="22"/>
          <w:szCs w:val="22"/>
        </w:rPr>
        <w:t xml:space="preserve">Ces estimations sont basées sur des benchmarks sectoriels SaaS B2B. Elles seront affinées lors de la phase pilote.</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Protocole de mesure d'impact</w:t>
      </w:r>
    </w:p>
    <w:p>
      <w:pPr>
        <w:spacing w:after="80" w:before="80"/>
      </w:pPr>
      <w:r>
        <w:rPr>
          <w:rFonts w:ascii="Arial" w:cs="Arial" w:eastAsia="Arial" w:hAnsi="Arial"/>
          <w:b/>
          <w:bCs/>
          <w:sz w:val="24"/>
          <w:szCs w:val="24"/>
        </w:rPr>
        <w:t xml:space="preserve">Groupe témoin : </w:t>
      </w:r>
      <w:r>
        <w:rPr>
          <w:rFonts w:ascii="Arial" w:cs="Arial" w:eastAsia="Arial" w:hAnsi="Arial"/>
          <w:sz w:val="24"/>
          <w:szCs w:val="24"/>
        </w:rPr>
        <w:t xml:space="preserve">les 101 comptes du Quadrant 2 (risque élevé / valeur faible) sont répartis aléatoirement en deux groupes. 50 reçoivent la séquence email de rétention ; 51 ne reçoivent rien (groupe témoin).</w:t>
      </w:r>
    </w:p>
    <w:p>
      <w:pPr>
        <w:spacing w:after="80" w:before="80"/>
      </w:pPr>
      <w:r>
        <w:rPr>
          <w:rFonts w:ascii="Arial" w:cs="Arial" w:eastAsia="Arial" w:hAnsi="Arial"/>
          <w:b/>
          <w:bCs/>
          <w:sz w:val="24"/>
          <w:szCs w:val="24"/>
        </w:rPr>
        <w:t xml:space="preserve">Test A/B : </w:t>
      </w:r>
      <w:r>
        <w:rPr>
          <w:rFonts w:ascii="Arial" w:cs="Arial" w:eastAsia="Arial" w:hAnsi="Arial"/>
          <w:sz w:val="24"/>
          <w:szCs w:val="24"/>
        </w:rPr>
        <w:t xml:space="preserve">après 4 semaines, le taux de rétention des deux groupes est comparé.</w:t>
      </w:r>
    </w:p>
    <w:p>
      <w:pPr>
        <w:spacing w:after="80" w:before="80"/>
      </w:pPr>
      <w:r>
        <w:rPr>
          <w:rFonts w:ascii="Arial" w:cs="Arial" w:eastAsia="Arial" w:hAnsi="Arial"/>
          <w:b/>
          <w:bCs/>
          <w:sz w:val="24"/>
          <w:szCs w:val="24"/>
        </w:rPr>
        <w:t xml:space="preserve">Uplift : </w:t>
      </w:r>
      <w:r>
        <w:rPr>
          <w:rFonts w:ascii="Arial" w:cs="Arial" w:eastAsia="Arial" w:hAnsi="Arial"/>
          <w:sz w:val="24"/>
          <w:szCs w:val="24"/>
        </w:rPr>
        <w:t xml:space="preserve">différence de rétention entre groupe traité et groupe témoin. Cible : +10 points minimum.</w:t>
      </w:r>
    </w:p>
    <w:p>
      <w:pPr>
        <w:spacing w:after="80" w:before="80"/>
      </w:pPr>
      <w:r>
        <w:rPr>
          <w:rFonts w:ascii="Arial" w:cs="Arial" w:eastAsia="Arial" w:hAnsi="Arial"/>
          <w:b/>
          <w:bCs/>
          <w:sz w:val="24"/>
          <w:szCs w:val="24"/>
        </w:rPr>
        <w:t xml:space="preserve">KPIs : </w:t>
      </w:r>
      <w:r>
        <w:rPr>
          <w:rFonts w:ascii="Arial" w:cs="Arial" w:eastAsia="Arial" w:hAnsi="Arial"/>
          <w:sz w:val="24"/>
          <w:szCs w:val="24"/>
        </w:rPr>
        <w:t xml:space="preserve">rétention Q1 ≥ 70 %, rétention Q2 traité ≥ 60 %, MRR sauvé ≥ 50 000 €, coût par compte retenu ≤ 150 €.</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Conduite du changement</w:t>
      </w:r>
    </w:p>
    <w:p>
      <w:pPr>
        <w:spacing w:after="80" w:before="80"/>
      </w:pPr>
      <w:r>
        <w:rPr>
          <w:rFonts w:ascii="Arial" w:cs="Arial" w:eastAsia="Arial" w:hAnsi="Arial"/>
          <w:sz w:val="24"/>
          <w:szCs w:val="24"/>
        </w:rPr>
        <w:t xml:space="preserve">Le déploiement d'un outil data dans une équipe Customer Success implique plusieurs freins identifiés :</w:t>
      </w:r>
    </w:p>
    <w:p>
      <w:pPr>
        <w:pStyle w:val="ListParagraph"/>
        <w:numPr>
          <w:ilvl w:val="0"/>
          <w:numId w:val="2"/>
        </w:numPr>
        <w:spacing w:after="60" w:before="60"/>
      </w:pPr>
      <w:r>
        <w:rPr>
          <w:rFonts w:ascii="Arial" w:cs="Arial" w:eastAsia="Arial" w:hAnsi="Arial"/>
          <w:b w:val="false"/>
          <w:bCs w:val="false"/>
          <w:sz w:val="24"/>
          <w:szCs w:val="24"/>
        </w:rPr>
        <w:t xml:space="preserve">Méfiance vis-à-vis du modèle : les CSMs peuvent douter de la pertinence des scores. Réponse : formation de 30 minutes sur le fonctionnement du modèle et présentation des explications SHAP.</w:t>
      </w:r>
    </w:p>
    <w:p>
      <w:pPr>
        <w:pStyle w:val="ListParagraph"/>
        <w:numPr>
          <w:ilvl w:val="0"/>
          <w:numId w:val="2"/>
        </w:numPr>
        <w:spacing w:after="60" w:before="60"/>
      </w:pPr>
      <w:r>
        <w:rPr>
          <w:rFonts w:ascii="Arial" w:cs="Arial" w:eastAsia="Arial" w:hAnsi="Arial"/>
          <w:b w:val="false"/>
          <w:bCs w:val="false"/>
          <w:sz w:val="24"/>
          <w:szCs w:val="24"/>
        </w:rPr>
        <w:t xml:space="preserve">Changement de process : intégrer le dashboard dans la routine quotidienne nécessite un sponsor interne (ex. directeur CS). Réponse : pilote sur le Quadrant 1 uniquement, avec bilan à 4 semaines.</w:t>
      </w:r>
    </w:p>
    <w:p>
      <w:pPr>
        <w:pStyle w:val="ListParagraph"/>
        <w:numPr>
          <w:ilvl w:val="0"/>
          <w:numId w:val="2"/>
        </w:numPr>
        <w:spacing w:after="60" w:before="60"/>
      </w:pPr>
      <w:r>
        <w:rPr>
          <w:rFonts w:ascii="Arial" w:cs="Arial" w:eastAsia="Arial" w:hAnsi="Arial"/>
          <w:b w:val="false"/>
          <w:bCs w:val="false"/>
          <w:sz w:val="24"/>
          <w:szCs w:val="24"/>
        </w:rPr>
        <w:t xml:space="preserve">Surcharge d'information : trop de données tue la donnée. Réponse : vue par défaut limitée aux 20 comptes les plus prioritaires.</w:t>
      </w:r>
    </w:p>
    <w:p>
      <w:pPr>
        <w:spacing w:after="80" w:before="80"/>
      </w:pPr>
      <w:r>
        <w:t xml:space="preserve"/>
      </w:r>
    </w:p>
    <w:p>
      <w:pPr>
        <w:pStyle w:val="Heading2"/>
        <w:spacing w:after="140" w:before="280"/>
      </w:pPr>
      <w:r>
        <w:rPr>
          <w:rFonts w:ascii="Arial" w:cs="Arial" w:eastAsia="Arial" w:hAnsi="Arial"/>
          <w:b/>
          <w:bCs/>
          <w:color w:val="1E2761"/>
          <w:sz w:val="28"/>
          <w:szCs w:val="28"/>
        </w:rPr>
        <w:t xml:space="preserve">4.4 Retour d'expérience sur les agents IA</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Bilan global sur les 4 sprints</w:t>
      </w:r>
    </w:p>
    <w:p>
      <w:pPr>
        <w:spacing w:after="80" w:before="80"/>
      </w:pPr>
      <w:r>
        <w:rPr>
          <w:rFonts w:ascii="Arial" w:cs="Arial" w:eastAsia="Arial" w:hAnsi="Arial"/>
          <w:sz w:val="24"/>
          <w:szCs w:val="24"/>
        </w:rPr>
        <w:t xml:space="preserve">Le projet a utilisé Gemini CLI comme infrastructure d'agents tout au long des 4 sprints. Voici le bilan par agent :</w:t>
      </w:r>
    </w:p>
    <w:p>
      <w:pPr>
        <w:spacing w:after="80" w:before="8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2200"/>
        <w:gridCol w:w="3700"/>
      </w:tblGrid>
      <w:tr>
        <w:trPr>
          <w:tblHeader/>
        </w:trPr>
        <w:tc>
          <w:tcPr>
            <w:tcW w:type="dxa" w:w="22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2"/>
                <w:szCs w:val="22"/>
              </w:rPr>
              <w:t xml:space="preserve">Agent</w:t>
            </w:r>
          </w:p>
        </w:tc>
        <w:tc>
          <w:tcPr>
            <w:tcW w:type="dxa" w:w="9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2"/>
                <w:szCs w:val="22"/>
              </w:rPr>
              <w:t xml:space="preserve">Sprint</w:t>
            </w:r>
          </w:p>
        </w:tc>
        <w:tc>
          <w:tcPr>
            <w:tcW w:type="dxa" w:w="22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2"/>
                <w:szCs w:val="22"/>
              </w:rPr>
              <w:t xml:space="preserve">Rôle</w:t>
            </w:r>
          </w:p>
        </w:tc>
        <w:tc>
          <w:tcPr>
            <w:tcW w:type="dxa" w:w="3700"/>
            <w:tcBorders>
              <w:top w:val="single" w:color="CCCCCC" w:sz="1"/>
              <w:left w:val="single" w:color="CCCCCC" w:sz="1"/>
              <w:bottom w:val="single" w:color="CCCCCC" w:sz="1"/>
              <w:right w:val="single" w:color="CCCCCC" w:sz="1"/>
            </w:tcBorders>
            <w:shd w:fill="1E2761" w:val="clear"/>
            <w:tcMar>
              <w:top w:type="dxa" w:w="80"/>
              <w:left w:type="dxa" w:w="120"/>
              <w:bottom w:type="dxa" w:w="80"/>
              <w:right w:type="dxa" w:w="120"/>
            </w:tcMar>
          </w:tcPr>
          <w:p>
            <w:r>
              <w:rPr>
                <w:rFonts w:ascii="Arial" w:cs="Arial" w:eastAsia="Arial" w:hAnsi="Arial"/>
                <w:b/>
                <w:bCs/>
                <w:color w:val="FFFFFF"/>
                <w:sz w:val="22"/>
                <w:szCs w:val="22"/>
              </w:rPr>
              <w:t xml:space="preserve">Bilan</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data-explorer.md</w:t>
            </w:r>
          </w:p>
        </w:tc>
        <w:tc>
          <w:tcPr>
            <w:tcW w:type="dxa" w:w="9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S1</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Exploration des 5 datasets</w:t>
            </w:r>
          </w:p>
        </w:tc>
        <w:tc>
          <w:tcPr>
            <w:tcW w:type="dxa" w:w="37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Efficace pour l'analyse descriptive. Hallucinations sur les types de colonnes → vérification manuelle requise.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data-engineer.md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Nettoyage et feature engineering</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Bon sur les transformations standards. Conflits de merge résolus manuellement.</w:t>
            </w:r>
          </w:p>
        </w:tc>
      </w:tr>
      <w:tr>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model-trainer.md</w:t>
            </w:r>
          </w:p>
        </w:tc>
        <w:tc>
          <w:tcPr>
            <w:tcW w:type="dxa" w:w="9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S3</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Entraînement et évaluation</w:t>
            </w:r>
          </w:p>
        </w:tc>
        <w:tc>
          <w:tcPr>
            <w:tcW w:type="dxa" w:w="37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2"/>
                <w:szCs w:val="22"/>
              </w:rPr>
              <w:t xml:space="preserve">Génération correcte du code sklearn. Choix des hyperparamètres à valider manuellement.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agent-deploiement.md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S4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Dashboard et segmentation</w:t>
            </w:r>
          </w:p>
        </w:tc>
        <w:tc>
          <w:tcPr>
            <w:tcW w:type="dxa" w:w="3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2"/>
                <w:szCs w:val="22"/>
              </w:rPr>
              <w:t xml:space="preserve">Génération du code Streamlit satisfaisante. CSS avancé nécessite retouche manuelle.</w:t>
            </w:r>
          </w:p>
        </w:tc>
      </w:tr>
    </w:tbl>
    <w:p>
      <w:pPr>
        <w:spacing w:after="80" w:before="80"/>
      </w:pPr>
      <w:r>
        <w:t xml:space="preserve"/>
      </w:r>
    </w:p>
    <w:p>
      <w:pPr>
        <w:spacing w:after="80" w:before="80"/>
      </w:pPr>
      <w:r>
        <w:rPr>
          <w:rFonts w:ascii="Arial" w:cs="Arial" w:eastAsia="Arial" w:hAnsi="Arial"/>
          <w:sz w:val="24"/>
          <w:szCs w:val="24"/>
        </w:rPr>
        <w:t xml:space="preserve">Ce qui a bien fonctionné :</w:t>
      </w:r>
    </w:p>
    <w:p>
      <w:pPr>
        <w:pStyle w:val="ListParagraph"/>
        <w:numPr>
          <w:ilvl w:val="0"/>
          <w:numId w:val="2"/>
        </w:numPr>
        <w:spacing w:after="60" w:before="60"/>
      </w:pPr>
      <w:r>
        <w:rPr>
          <w:rFonts w:ascii="Arial" w:cs="Arial" w:eastAsia="Arial" w:hAnsi="Arial"/>
          <w:b w:val="false"/>
          <w:bCs w:val="false"/>
          <w:sz w:val="24"/>
          <w:szCs w:val="24"/>
        </w:rPr>
        <w:t xml:space="preserve">Génération de code boilerplate (scripts Python, structure de fichiers, README).</w:t>
      </w:r>
    </w:p>
    <w:p>
      <w:pPr>
        <w:pStyle w:val="ListParagraph"/>
        <w:numPr>
          <w:ilvl w:val="0"/>
          <w:numId w:val="2"/>
        </w:numPr>
        <w:spacing w:after="60" w:before="60"/>
      </w:pPr>
      <w:r>
        <w:rPr>
          <w:rFonts w:ascii="Arial" w:cs="Arial" w:eastAsia="Arial" w:hAnsi="Arial"/>
          <w:b w:val="false"/>
          <w:bCs w:val="false"/>
          <w:sz w:val="24"/>
          <w:szCs w:val="24"/>
        </w:rPr>
        <w:t xml:space="preserve">Respect des conventions de nommage et de la structure du dépôt.</w:t>
      </w:r>
    </w:p>
    <w:p>
      <w:pPr>
        <w:pStyle w:val="ListParagraph"/>
        <w:numPr>
          <w:ilvl w:val="0"/>
          <w:numId w:val="2"/>
        </w:numPr>
        <w:spacing w:after="60" w:before="60"/>
      </w:pPr>
      <w:r>
        <w:rPr>
          <w:rFonts w:ascii="Arial" w:cs="Arial" w:eastAsia="Arial" w:hAnsi="Arial"/>
          <w:b w:val="false"/>
          <w:bCs w:val="false"/>
          <w:sz w:val="24"/>
          <w:szCs w:val="24"/>
        </w:rPr>
        <w:t xml:space="preserve">Accélération significative sur les tâches répétitives (nettoyage, évaluation).</w:t>
      </w:r>
    </w:p>
    <w:p>
      <w:pPr>
        <w:spacing w:after="80" w:before="80"/>
      </w:pPr>
      <w:r>
        <w:t xml:space="preserve"/>
      </w:r>
    </w:p>
    <w:p>
      <w:pPr>
        <w:spacing w:after="80" w:before="80"/>
      </w:pPr>
      <w:r>
        <w:rPr>
          <w:rFonts w:ascii="Arial" w:cs="Arial" w:eastAsia="Arial" w:hAnsi="Arial"/>
          <w:sz w:val="24"/>
          <w:szCs w:val="24"/>
        </w:rPr>
        <w:t xml:space="preserve">Ce qui a nécessité une intervention manuelle :</w:t>
      </w:r>
    </w:p>
    <w:p>
      <w:pPr>
        <w:pStyle w:val="ListParagraph"/>
        <w:numPr>
          <w:ilvl w:val="0"/>
          <w:numId w:val="2"/>
        </w:numPr>
        <w:spacing w:after="60" w:before="60"/>
      </w:pPr>
      <w:r>
        <w:rPr>
          <w:rFonts w:ascii="Arial" w:cs="Arial" w:eastAsia="Arial" w:hAnsi="Arial"/>
          <w:b w:val="false"/>
          <w:bCs w:val="false"/>
          <w:sz w:val="24"/>
          <w:szCs w:val="24"/>
        </w:rPr>
        <w:t xml:space="preserve">Validation des sorties sur des données réelles (l'agent ne connaît pas les données métier).</w:t>
      </w:r>
    </w:p>
    <w:p>
      <w:pPr>
        <w:pStyle w:val="ListParagraph"/>
        <w:numPr>
          <w:ilvl w:val="0"/>
          <w:numId w:val="2"/>
        </w:numPr>
        <w:spacing w:after="60" w:before="60"/>
      </w:pPr>
      <w:r>
        <w:rPr>
          <w:rFonts w:ascii="Arial" w:cs="Arial" w:eastAsia="Arial" w:hAnsi="Arial"/>
          <w:b w:val="false"/>
          <w:bCs w:val="false"/>
          <w:sz w:val="24"/>
          <w:szCs w:val="24"/>
        </w:rPr>
        <w:t xml:space="preserve">Résolution des conflits Git lors des merges entre branches.</w:t>
      </w:r>
    </w:p>
    <w:p>
      <w:pPr>
        <w:pStyle w:val="ListParagraph"/>
        <w:numPr>
          <w:ilvl w:val="0"/>
          <w:numId w:val="2"/>
        </w:numPr>
        <w:spacing w:after="60" w:before="60"/>
      </w:pPr>
      <w:r>
        <w:rPr>
          <w:rFonts w:ascii="Arial" w:cs="Arial" w:eastAsia="Arial" w:hAnsi="Arial"/>
          <w:b w:val="false"/>
          <w:bCs w:val="false"/>
          <w:sz w:val="24"/>
          <w:szCs w:val="24"/>
        </w:rPr>
        <w:t xml:space="preserve">Ajustements des visualisations Streamlit (mise en page, accessibilité).</w:t>
      </w:r>
    </w:p>
    <w:p>
      <w:pPr>
        <w:spacing w:after="80" w:before="80"/>
      </w:pPr>
      <w:r>
        <w:t xml:space="preserve"/>
      </w:r>
    </w:p>
    <w:p>
      <w:pPr>
        <w:pStyle w:val="Heading2"/>
        <w:spacing w:after="140" w:before="280"/>
      </w:pPr>
      <w:r>
        <w:rPr>
          <w:rFonts w:ascii="Arial" w:cs="Arial" w:eastAsia="Arial" w:hAnsi="Arial"/>
          <w:b/>
          <w:bCs/>
          <w:color w:val="1E2761"/>
          <w:sz w:val="28"/>
          <w:szCs w:val="28"/>
        </w:rPr>
        <w:t xml:space="preserve">4.5 Limites et perspectives</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Ce que le modèle ne capture pas</w:t>
      </w:r>
    </w:p>
    <w:p>
      <w:pPr>
        <w:pStyle w:val="ListParagraph"/>
        <w:numPr>
          <w:ilvl w:val="0"/>
          <w:numId w:val="2"/>
        </w:numPr>
        <w:spacing w:after="60" w:before="60"/>
      </w:pPr>
      <w:r>
        <w:rPr>
          <w:rFonts w:ascii="Arial" w:cs="Arial" w:eastAsia="Arial" w:hAnsi="Arial"/>
          <w:b w:val="false"/>
          <w:bCs w:val="false"/>
          <w:sz w:val="24"/>
          <w:szCs w:val="24"/>
        </w:rPr>
        <w:t xml:space="preserve">Les événements externes : changement de direction chez le client, rachat, crise budgétaire — aucune donnée comportementale ne peut anticiper ces cas.</w:t>
      </w:r>
    </w:p>
    <w:p>
      <w:pPr>
        <w:pStyle w:val="ListParagraph"/>
        <w:numPr>
          <w:ilvl w:val="0"/>
          <w:numId w:val="2"/>
        </w:numPr>
        <w:spacing w:after="60" w:before="60"/>
      </w:pPr>
      <w:r>
        <w:rPr>
          <w:rFonts w:ascii="Arial" w:cs="Arial" w:eastAsia="Arial" w:hAnsi="Arial"/>
          <w:b w:val="false"/>
          <w:bCs w:val="false"/>
          <w:sz w:val="24"/>
          <w:szCs w:val="24"/>
        </w:rPr>
        <w:t xml:space="preserve">La qualité de la relation client : un compte peu actif mais très satisfait de son CSM peut avoir un churn score élevé à tort.</w:t>
      </w:r>
    </w:p>
    <w:p>
      <w:pPr>
        <w:pStyle w:val="ListParagraph"/>
        <w:numPr>
          <w:ilvl w:val="0"/>
          <w:numId w:val="2"/>
        </w:numPr>
        <w:spacing w:after="60" w:before="60"/>
      </w:pPr>
      <w:r>
        <w:rPr>
          <w:rFonts w:ascii="Arial" w:cs="Arial" w:eastAsia="Arial" w:hAnsi="Arial"/>
          <w:b w:val="false"/>
          <w:bCs w:val="false"/>
          <w:sz w:val="24"/>
          <w:szCs w:val="24"/>
        </w:rPr>
        <w:t xml:space="preserve">Les données en temps réel : le modèle est entraîné sur des données historiques. Une dégradation brutale de l'expérience produit ne sera visible qu'au prochain re-scoring.</w:t>
      </w:r>
    </w:p>
    <w:p>
      <w:pPr>
        <w:pStyle w:val="ListParagraph"/>
        <w:numPr>
          <w:ilvl w:val="0"/>
          <w:numId w:val="2"/>
        </w:numPr>
        <w:spacing w:after="60" w:before="60"/>
      </w:pPr>
      <w:r>
        <w:rPr>
          <w:rFonts w:ascii="Arial" w:cs="Arial" w:eastAsia="Arial" w:hAnsi="Arial"/>
          <w:b w:val="false"/>
          <w:bCs w:val="false"/>
          <w:sz w:val="24"/>
          <w:szCs w:val="24"/>
        </w:rPr>
        <w:t xml:space="preserve">Les petits comptes récents : moins de 3 mois d'historique rend le score peu fiable pour ces profils.</w:t>
      </w:r>
    </w:p>
    <w:p>
      <w:pPr>
        <w:spacing w:after="80" w:before="80"/>
      </w:pPr>
      <w:r>
        <w:t xml:space="preserve"/>
      </w:r>
    </w:p>
    <w:p>
      <w:pPr>
        <w:pStyle w:val="Heading3"/>
        <w:spacing w:after="100" w:before="200"/>
      </w:pPr>
      <w:r>
        <w:rPr>
          <w:rFonts w:ascii="Arial" w:cs="Arial" w:eastAsia="Arial" w:hAnsi="Arial"/>
          <w:b/>
          <w:bCs/>
          <w:color w:val="4A90D9"/>
          <w:sz w:val="24"/>
          <w:szCs w:val="24"/>
        </w:rPr>
        <w:t xml:space="preserve">Améliorations possibles</w:t>
      </w:r>
    </w:p>
    <w:p>
      <w:pPr>
        <w:pStyle w:val="ListParagraph"/>
        <w:numPr>
          <w:ilvl w:val="0"/>
          <w:numId w:val="2"/>
        </w:numPr>
        <w:spacing w:after="60" w:before="60"/>
      </w:pPr>
      <w:r>
        <w:rPr>
          <w:rFonts w:ascii="Arial" w:cs="Arial" w:eastAsia="Arial" w:hAnsi="Arial"/>
          <w:b w:val="false"/>
          <w:bCs w:val="false"/>
          <w:sz w:val="24"/>
          <w:szCs w:val="24"/>
        </w:rPr>
        <w:t xml:space="preserve">Données enrichies : intégrer les données NPS, les appels de support enregistrés (NLP), et les logs produit en temps réel.</w:t>
      </w:r>
    </w:p>
    <w:p>
      <w:pPr>
        <w:pStyle w:val="ListParagraph"/>
        <w:numPr>
          <w:ilvl w:val="0"/>
          <w:numId w:val="2"/>
        </w:numPr>
        <w:spacing w:after="60" w:before="60"/>
      </w:pPr>
      <w:r>
        <w:rPr>
          <w:rFonts w:ascii="Arial" w:cs="Arial" w:eastAsia="Arial" w:hAnsi="Arial"/>
          <w:b w:val="false"/>
          <w:bCs w:val="false"/>
          <w:sz w:val="24"/>
          <w:szCs w:val="24"/>
        </w:rPr>
        <w:t xml:space="preserve">Modèles d'ensemble : tester XGBoost et LightGBM pour améliorer l'AUC au-delà de 0,6428.</w:t>
      </w:r>
    </w:p>
    <w:p>
      <w:pPr>
        <w:pStyle w:val="ListParagraph"/>
        <w:numPr>
          <w:ilvl w:val="0"/>
          <w:numId w:val="2"/>
        </w:numPr>
        <w:spacing w:after="60" w:before="60"/>
      </w:pPr>
      <w:r>
        <w:rPr>
          <w:rFonts w:ascii="Arial" w:cs="Arial" w:eastAsia="Arial" w:hAnsi="Arial"/>
          <w:b w:val="false"/>
          <w:bCs w:val="false"/>
          <w:sz w:val="24"/>
          <w:szCs w:val="24"/>
        </w:rPr>
        <w:t xml:space="preserve">Modèle de survie : remplacer la classification binaire par un modèle de durée (Cox, Weibull) pour prédire le temps avant churn plutôt qu'une probabilité binaire.</w:t>
      </w:r>
    </w:p>
    <w:p>
      <w:pPr>
        <w:pStyle w:val="ListParagraph"/>
        <w:numPr>
          <w:ilvl w:val="0"/>
          <w:numId w:val="2"/>
        </w:numPr>
        <w:spacing w:after="60" w:before="60"/>
      </w:pPr>
      <w:r>
        <w:rPr>
          <w:rFonts w:ascii="Arial" w:cs="Arial" w:eastAsia="Arial" w:hAnsi="Arial"/>
          <w:b w:val="false"/>
          <w:bCs w:val="false"/>
          <w:sz w:val="24"/>
          <w:szCs w:val="24"/>
        </w:rPr>
        <w:t xml:space="preserve">Intégration CRM : connecter le dashboard directement au CRM (Salesforce, HubSpot) pour déclencher des tâches automatiquement après validation humaine.</w:t>
      </w:r>
    </w:p>
    <w:p>
      <w:pPr>
        <w:pStyle w:val="ListParagraph"/>
        <w:numPr>
          <w:ilvl w:val="0"/>
          <w:numId w:val="2"/>
        </w:numPr>
        <w:spacing w:after="60" w:before="60"/>
      </w:pPr>
      <w:r>
        <w:rPr>
          <w:rFonts w:ascii="Arial" w:cs="Arial" w:eastAsia="Arial" w:hAnsi="Arial"/>
          <w:b w:val="false"/>
          <w:bCs w:val="false"/>
          <w:sz w:val="24"/>
          <w:szCs w:val="24"/>
        </w:rPr>
        <w:t xml:space="preserve">Ré-entraînement automatique : mettre en place un pipeline MLOps (MLflow, Airflow) pour ré-entraîner le modèle chaque trimestre sur les nouvelles données.</w:t>
      </w:r>
    </w:p>
    <w:p>
      <w:pPr>
        <w:spacing w:after="80" w:before="80"/>
      </w:pPr>
      <w:r>
        <w:t xml:space="preserve"/>
      </w:r>
    </w:p>
    <w:p>
      <w:pPr>
        <w:spacing w:after="100" w:before="60"/>
        <w:jc w:val="right"/>
      </w:pPr>
      <w:r>
        <w:rPr>
          <w:rFonts w:ascii="Arial" w:cs="Arial" w:eastAsia="Arial" w:hAnsi="Arial"/>
          <w:i/>
          <w:iCs/>
          <w:color w:val="888888"/>
          <w:sz w:val="22"/>
          <w:szCs w:val="22"/>
        </w:rPr>
        <w:t xml:space="preserve">Document de conception — Sprint 4 — Mai 2026</w:t>
      </w:r>
    </w:p>
    <w:p>
      <w:pPr>
        <w:spacing w:after="80" w:before="80"/>
      </w:pPr>
      <w:r>
        <w:t xml:space="preserve"/>
      </w:r>
    </w:p>
    <w:p>
      <w:pPr>
        <w:spacing w:after="100" w:before="400"/>
      </w:pPr>
      <w:r>
        <w:rPr>
          <w:rFonts w:ascii="Arial" w:cs="Arial" w:eastAsia="Arial" w:hAnsi="Arial"/>
          <w:color w:val="CCCCCC"/>
          <w:sz w:val="20"/>
          <w:szCs w:val="20"/>
        </w:rPr>
        <w:t xml:space="preserve">────────────────────────────────────────────────────────────</w:t>
      </w:r>
    </w:p>
    <w:p>
      <w:pPr>
        <w:jc w:val="center"/>
      </w:pPr>
      <w:r>
        <w:rPr>
          <w:rFonts w:ascii="Arial" w:cs="Arial" w:eastAsia="Arial" w:hAnsi="Arial"/>
          <w:color w:val="AAAAAA"/>
          <w:sz w:val="18"/>
          <w:szCs w:val="18"/>
        </w:rPr>
        <w:t xml:space="preserve">Projet smartEngine — INSEEC MSc — Groupe G8 — Tous droits réservés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20"/>
        <w:szCs w:val="20"/>
      </w:rPr>
      <w:t xml:space="preserve">Dossier de Conception — Projet SmartEngine — Groupe G8  |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2761"/>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E2761"/>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90D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2026-05-26T09:44:21.810Z</dcterms:created>
  <dcterms:modified xsi:type="dcterms:W3CDTF">2026-05-26T09:44:21.810Z</dcterms:modified>
</cp:coreProperties>
</file>

<file path=docProps/custom.xml><?xml version="1.0" encoding="utf-8"?>
<Properties xmlns="http://schemas.openxmlformats.org/officeDocument/2006/custom-properties" xmlns:vt="http://schemas.openxmlformats.org/officeDocument/2006/docPropsVTypes"/>
</file>