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p>
    <w:p>
      <w:pPr>
        <w:spacing w:after="80" w:before="0"/>
        <w:jc w:val="center"/>
      </w:pPr>
      <w:r>
        <w:rPr>
          <w:rFonts w:ascii="Times New Roman" w:cs="Times New Roman" w:eastAsia="Times New Roman" w:hAnsi="Times New Roman"/>
          <w:b/>
          <w:bCs/>
          <w:color w:val="1F3A6E"/>
          <w:sz w:val="72"/>
          <w:szCs w:val="72"/>
        </w:rPr>
        <w:t xml:space="preserve">SMARTENGINE</w:t>
      </w:r>
    </w:p>
    <w:p>
      <w:pPr>
        <w:spacing w:after="40" w:before="0"/>
        <w:jc w:val="center"/>
      </w:pPr>
      <w:r>
        <w:rPr>
          <w:rFonts w:ascii="Times New Roman" w:cs="Times New Roman" w:eastAsia="Times New Roman" w:hAnsi="Times New Roman"/>
          <w:color w:val="2563EB"/>
          <w:sz w:val="30"/>
          <w:szCs w:val="30"/>
        </w:rPr>
        <w:t xml:space="preserve">Groupe G8 — Projet Data Science</w:t>
      </w:r>
    </w:p>
    <w:p>
      <w:pPr>
        <w:pBdr>
          <w:bottom w:val="single" w:color="2563EB" w:sz="12"/>
        </w:pBdr>
        <w:spacing w:after="40" w:before="40"/>
      </w:pPr>
    </w:p>
    <w:p>
      <w:pPr>
        <w:spacing w:after="40" w:before="80"/>
        <w:jc w:val="center"/>
      </w:pPr>
      <w:r>
        <w:rPr>
          <w:rFonts w:ascii="Times New Roman" w:cs="Times New Roman" w:eastAsia="Times New Roman" w:hAnsi="Times New Roman"/>
          <w:b/>
          <w:bCs/>
          <w:color w:val="1F3A6E"/>
          <w:sz w:val="44"/>
          <w:szCs w:val="44"/>
        </w:rPr>
        <w:t xml:space="preserve">DOSSIER DE PROJET</w:t>
      </w:r>
    </w:p>
    <w:p>
      <w:pPr>
        <w:spacing w:after="120" w:before="0"/>
        <w:jc w:val="center"/>
      </w:pPr>
      <w:r>
        <w:rPr>
          <w:rFonts w:ascii="Times New Roman" w:cs="Times New Roman" w:eastAsia="Times New Roman" w:hAnsi="Times New Roman"/>
          <w:color w:val="6B7280"/>
          <w:sz w:val="28"/>
          <w:szCs w:val="28"/>
        </w:rPr>
        <w:t xml:space="preserve">Prédiction du Churn Client avec IA &amp; Gemini CLI</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tblGrid>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Times New Roman" w:cs="Times New Roman" w:eastAsia="Times New Roman" w:hAnsi="Times New Roman"/>
                <w:b/>
                <w:bCs/>
                <w:color w:val="1F3A6E"/>
                <w:sz w:val="20"/>
                <w:szCs w:val="20"/>
              </w:rPr>
              <w:t xml:space="preserve">Projet</w:t>
            </w:r>
          </w:p>
        </w:tc>
        <w:tc>
          <w:tcPr>
            <w:tcW w:type="dxa" w:w="4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Times New Roman" w:cs="Times New Roman" w:eastAsia="Times New Roman" w:hAnsi="Times New Roman"/>
                <w:color w:val="111827"/>
                <w:sz w:val="20"/>
                <w:szCs w:val="20"/>
              </w:rPr>
              <w:t xml:space="preserve">SmartEngine — Prédiction churn</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Times New Roman" w:cs="Times New Roman" w:eastAsia="Times New Roman" w:hAnsi="Times New Roman"/>
                <w:b/>
                <w:bCs/>
                <w:color w:val="1F3A6E"/>
                <w:sz w:val="20"/>
                <w:szCs w:val="20"/>
              </w:rPr>
              <w:t xml:space="preserve">Groupe</w:t>
            </w:r>
          </w:p>
        </w:tc>
        <w:tc>
          <w:tcPr>
            <w:tcW w:type="dxa" w:w="4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Times New Roman" w:cs="Times New Roman" w:eastAsia="Times New Roman" w:hAnsi="Times New Roman"/>
                <w:color w:val="111827"/>
                <w:sz w:val="20"/>
                <w:szCs w:val="20"/>
              </w:rPr>
              <w:t xml:space="preserve">G8</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Times New Roman" w:cs="Times New Roman" w:eastAsia="Times New Roman" w:hAnsi="Times New Roman"/>
                <w:b/>
                <w:bCs/>
                <w:color w:val="1F3A6E"/>
                <w:sz w:val="20"/>
                <w:szCs w:val="20"/>
              </w:rPr>
              <w:t xml:space="preserve">Branche GitHub</w:t>
            </w:r>
          </w:p>
        </w:tc>
        <w:tc>
          <w:tcPr>
            <w:tcW w:type="dxa" w:w="4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Times New Roman" w:cs="Times New Roman" w:eastAsia="Times New Roman" w:hAnsi="Times New Roman"/>
                <w:color w:val="111827"/>
                <w:sz w:val="20"/>
                <w:szCs w:val="20"/>
              </w:rPr>
              <w:t xml:space="preserve">etya-ale</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Times New Roman" w:cs="Times New Roman" w:eastAsia="Times New Roman" w:hAnsi="Times New Roman"/>
                <w:b/>
                <w:bCs/>
                <w:color w:val="1F3A6E"/>
                <w:sz w:val="20"/>
                <w:szCs w:val="20"/>
              </w:rPr>
              <w:t xml:space="preserve">Rôle actuel</w:t>
            </w:r>
          </w:p>
        </w:tc>
        <w:tc>
          <w:tcPr>
            <w:tcW w:type="dxa" w:w="4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Times New Roman" w:cs="Times New Roman" w:eastAsia="Times New Roman" w:hAnsi="Times New Roman"/>
                <w:color w:val="111827"/>
                <w:sz w:val="20"/>
                <w:szCs w:val="20"/>
              </w:rPr>
              <w:t xml:space="preserve">Développeur IA (Sprint 4)</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Times New Roman" w:cs="Times New Roman" w:eastAsia="Times New Roman" w:hAnsi="Times New Roman"/>
                <w:b/>
                <w:bCs/>
                <w:color w:val="1F3A6E"/>
                <w:sz w:val="20"/>
                <w:szCs w:val="20"/>
              </w:rPr>
              <w:t xml:space="preserve">Sprint actuel</w:t>
            </w:r>
          </w:p>
        </w:tc>
        <w:tc>
          <w:tcPr>
            <w:tcW w:type="dxa" w:w="4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Times New Roman" w:cs="Times New Roman" w:eastAsia="Times New Roman" w:hAnsi="Times New Roman"/>
                <w:color w:val="111827"/>
                <w:sz w:val="20"/>
                <w:szCs w:val="20"/>
              </w:rPr>
              <w:t xml:space="preserve">Sprint 4 — 26 mai 2026</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Times New Roman" w:cs="Times New Roman" w:eastAsia="Times New Roman" w:hAnsi="Times New Roman"/>
                <w:b/>
                <w:bCs/>
                <w:color w:val="1F3A6E"/>
                <w:sz w:val="20"/>
                <w:szCs w:val="20"/>
              </w:rPr>
              <w:t xml:space="preserve">Stack technique</w:t>
            </w:r>
          </w:p>
        </w:tc>
        <w:tc>
          <w:tcPr>
            <w:tcW w:type="dxa" w:w="45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Times New Roman" w:cs="Times New Roman" w:eastAsia="Times New Roman" w:hAnsi="Times New Roman"/>
                <w:color w:val="111827"/>
                <w:sz w:val="20"/>
                <w:szCs w:val="20"/>
              </w:rPr>
              <w:t xml:space="preserve">Gemini CLI · Python · GitHub · Streamlit</w:t>
            </w:r>
          </w:p>
        </w:tc>
      </w:tr>
    </w:tbl>
    <w:p>
      <w:r>
        <w:br w:type="page"/>
      </w:r>
    </w:p>
    <w:p>
      <w:pPr>
        <w:pStyle w:val="Heading1"/>
        <w:pBdr>
          <w:bottom w:val="single" w:color="2563EB" w:sz="8" w:space="4"/>
        </w:pBdr>
        <w:spacing w:after="120" w:before="200"/>
      </w:pPr>
      <w:r>
        <w:rPr>
          <w:rFonts w:ascii="Times New Roman" w:cs="Times New Roman" w:eastAsia="Times New Roman" w:hAnsi="Times New Roman"/>
          <w:b/>
          <w:bCs/>
          <w:color w:val="1F3A6E"/>
          <w:sz w:val="40"/>
          <w:szCs w:val="40"/>
        </w:rPr>
        <w:t xml:space="preserve">1. Contexte du Projet</w:t>
      </w:r>
    </w:p>
    <w:p>
      <w:pPr>
        <w:spacing w:after="80" w:before="80"/>
        <w:jc w:val="both"/>
      </w:pPr>
      <w:r>
        <w:rPr>
          <w:rFonts w:ascii="Times New Roman" w:cs="Times New Roman" w:eastAsia="Times New Roman" w:hAnsi="Times New Roman"/>
          <w:color w:val="111827"/>
          <w:sz w:val="24"/>
          <w:szCs w:val="24"/>
        </w:rPr>
        <w:t xml:space="preserve">SmartEngine est un projet académique de data science mené en méthode Agile/Scrum. L'objectif est de construire un système de prédiction du churn client (départ de clients) à partir de données comportementales, en s'appuyant sur Gemini CLI comme assistant IA pour automatiser les tâches de développement.</w:t>
      </w:r>
    </w:p>
    <w:p>
      <w:pPr>
        <w:spacing w:after="80" w:before="160"/>
      </w:pPr>
      <w:r>
        <w:rPr>
          <w:rFonts w:ascii="Times New Roman" w:cs="Times New Roman" w:eastAsia="Times New Roman" w:hAnsi="Times New Roman"/>
          <w:b/>
          <w:bCs/>
          <w:color w:val="1F3A6E"/>
          <w:sz w:val="24"/>
          <w:szCs w:val="24"/>
        </w:rPr>
        <w:t xml:space="preserve">Objectifs principaux</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Prédire les clients à risque de churn avec un modèle de Machine Learning (Random Forest)</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Automatiser le pipeline data (nettoyage, feature engineering, modélisation) via des agents Gemini</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Déployer un dashboard interactif Streamlit pour le scoring en temps réel</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Mettre en place des alertes automatiques (n8n) pour les CSM (Customer Success Managers)</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Versionner l'ensemble du travail sur GitHub en méthode Agile/Scrum</w:t>
      </w:r>
    </w:p>
    <w:p>
      <w:pPr>
        <w:spacing w:after="80" w:before="160"/>
      </w:pPr>
      <w:r>
        <w:rPr>
          <w:rFonts w:ascii="Times New Roman" w:cs="Times New Roman" w:eastAsia="Times New Roman" w:hAnsi="Times New Roman"/>
          <w:b/>
          <w:bCs/>
          <w:color w:val="1F3A6E"/>
          <w:sz w:val="24"/>
          <w:szCs w:val="24"/>
        </w:rPr>
        <w:t xml:space="preserve">Équipe &amp; Rôles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Membre</w:t>
            </w:r>
          </w:p>
        </w:tc>
        <w:tc>
          <w:tcPr>
            <w:tcW w:type="dxa" w:w="20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Rôle Sprint 2 &amp; 3</w:t>
            </w:r>
          </w:p>
        </w:tc>
        <w:tc>
          <w:tcPr>
            <w:tcW w:type="dxa" w:w="486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Responsabilités</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b/>
                <w:bCs/>
                <w:color w:val="1F3A6E"/>
                <w:sz w:val="20"/>
                <w:szCs w:val="20"/>
              </w:rPr>
              <w:t xml:space="preserve">Etya'alé</w:t>
            </w:r>
          </w:p>
        </w:tc>
        <w:tc>
          <w:tcPr>
            <w:tcW w:type="dxa" w:w="2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Times New Roman" w:cs="Times New Roman" w:eastAsia="Times New Roman" w:hAnsi="Times New Roman"/>
                <w:color w:val="2563EB"/>
                <w:sz w:val="20"/>
                <w:szCs w:val="20"/>
              </w:rPr>
              <w:t xml:space="preserve">Scrum Master → PO</w:t>
            </w:r>
          </w:p>
        </w:tc>
        <w:tc>
          <w:tcPr>
            <w:tcW w:type="dxa" w:w="48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Coordination, standups, dossier de conception, validation livrables</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b/>
                <w:bCs/>
                <w:color w:val="1F3A6E"/>
                <w:sz w:val="20"/>
                <w:szCs w:val="20"/>
              </w:rPr>
              <w:t xml:space="preserve">Ouzeifa</w:t>
            </w:r>
          </w:p>
        </w:tc>
        <w:tc>
          <w:tcPr>
            <w:tcW w:type="dxa" w:w="2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Times New Roman" w:cs="Times New Roman" w:eastAsia="Times New Roman" w:hAnsi="Times New Roman"/>
                <w:color w:val="2563EB"/>
                <w:sz w:val="20"/>
                <w:szCs w:val="20"/>
              </w:rPr>
              <w:t xml:space="preserve">Product Owner</w:t>
            </w:r>
          </w:p>
        </w:tc>
        <w:tc>
          <w:tcPr>
            <w:tcW w:type="dxa" w:w="48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Backlog, user stories, priorisation</w:t>
            </w:r>
          </w:p>
        </w:tc>
      </w:tr>
      <w:tr>
        <w:tc>
          <w:tcPr>
            <w:tcW w:type="dxa" w:w="2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b/>
                <w:bCs/>
                <w:color w:val="1F3A6E"/>
                <w:sz w:val="20"/>
                <w:szCs w:val="20"/>
              </w:rPr>
              <w:t xml:space="preserve">Équipe Dev</w:t>
            </w:r>
          </w:p>
        </w:tc>
        <w:tc>
          <w:tcPr>
            <w:tcW w:type="dxa" w:w="2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Times New Roman" w:cs="Times New Roman" w:eastAsia="Times New Roman" w:hAnsi="Times New Roman"/>
                <w:color w:val="2563EB"/>
                <w:sz w:val="20"/>
                <w:szCs w:val="20"/>
              </w:rPr>
              <w:t xml:space="preserve">Développeurs</w:t>
            </w:r>
          </w:p>
        </w:tc>
        <w:tc>
          <w:tcPr>
            <w:tcW w:type="dxa" w:w="48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Agents Gemini, scripts Python, modélisation</w:t>
            </w:r>
          </w:p>
        </w:tc>
      </w:tr>
    </w:tbl>
    <w:p>
      <w:r>
        <w:br w:type="page"/>
      </w:r>
    </w:p>
    <w:p>
      <w:pPr>
        <w:pStyle w:val="Heading1"/>
        <w:pBdr>
          <w:bottom w:val="single" w:color="2563EB" w:sz="8" w:space="4"/>
        </w:pBdr>
        <w:spacing w:after="120" w:before="200"/>
      </w:pPr>
      <w:r>
        <w:rPr>
          <w:rFonts w:ascii="Times New Roman" w:cs="Times New Roman" w:eastAsia="Times New Roman" w:hAnsi="Times New Roman"/>
          <w:b/>
          <w:bCs/>
          <w:color w:val="1F3A6E"/>
          <w:sz w:val="40"/>
          <w:szCs w:val="40"/>
        </w:rPr>
        <w:t xml:space="preserve">2. Avancement par Sprint</w:t>
      </w:r>
    </w:p>
    <w:p>
      <w:pPr>
        <w:pStyle w:val="Heading2"/>
        <w:spacing w:after="80" w:before="280"/>
      </w:pPr>
      <w:r>
        <w:rPr>
          <w:rFonts w:ascii="Times New Roman" w:cs="Times New Roman" w:eastAsia="Times New Roman" w:hAnsi="Times New Roman"/>
          <w:b/>
          <w:bCs/>
          <w:color w:val="16A34A"/>
          <w:sz w:val="30"/>
          <w:szCs w:val="30"/>
        </w:rPr>
        <w:t xml:space="preserve">Sprint 1 — Exploration des données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360"/>
        <w:gridCol w:w="1500"/>
      </w:tblGrid>
      <w:tr>
        <w:trPr>
          <w:tblHeader/>
        </w:trPr>
        <w:tc>
          <w:tcPr>
            <w:tcW w:type="dxa" w:w="45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Livrable</w:t>
            </w:r>
          </w:p>
        </w:tc>
        <w:tc>
          <w:tcPr>
            <w:tcW w:type="dxa" w:w="336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Détail</w:t>
            </w:r>
          </w:p>
        </w:tc>
        <w:tc>
          <w:tcPr>
            <w:tcW w:type="dxa" w:w="15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Statut</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5 notebooks d'exploration (EDA)</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data/notebooks/*.ipynb</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Analyse qualité données</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Valeurs manquantes, outliers détectés</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Commit branche etya-ale</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6339c45 — Sprint 1 finalisé</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GEMINI.md initialisé</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Contexte projet pour Gemini CLI</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bl>
    <w:p>
      <w:pPr>
        <w:spacing w:before="160"/>
      </w:pPr>
    </w:p>
    <w:p>
      <w:pPr>
        <w:pStyle w:val="Heading2"/>
        <w:spacing w:after="80" w:before="280"/>
      </w:pPr>
      <w:r>
        <w:rPr>
          <w:rFonts w:ascii="Times New Roman" w:cs="Times New Roman" w:eastAsia="Times New Roman" w:hAnsi="Times New Roman"/>
          <w:b/>
          <w:bCs/>
          <w:color w:val="16A34A"/>
          <w:sz w:val="30"/>
          <w:szCs w:val="30"/>
        </w:rPr>
        <w:t xml:space="preserve">Sprint 2 — Data Engineering &amp; Feature Engineering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360"/>
        <w:gridCol w:w="1500"/>
      </w:tblGrid>
      <w:tr>
        <w:trPr>
          <w:tblHeader/>
        </w:trPr>
        <w:tc>
          <w:tcPr>
            <w:tcW w:type="dxa" w:w="45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Livrable</w:t>
            </w:r>
          </w:p>
        </w:tc>
        <w:tc>
          <w:tcPr>
            <w:tcW w:type="dxa" w:w="336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Détail</w:t>
            </w:r>
          </w:p>
        </w:tc>
        <w:tc>
          <w:tcPr>
            <w:tcW w:type="dxa" w:w="15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Statut</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Agent data-cleaner.md</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.gemini/agents/data-cleaner.md</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Agent feature-engineer.md</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.gemini/agents/feature-engineer.md</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Agent data-merger.md</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.gemini/agents/data-merger.md</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5 CSV nettoyés</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outputs/cleaned/ — valeurs manquantes traitées</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10 variables créées</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outputs/features/features_per_account.csv</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dataset_final.csv (500×19)</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outputs/dataset_final.csv</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Section 2 dossier conception</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Feature engineering + justification métier</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Standup 2026-03-11</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docs/standups/2026-03-11.md</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bl>
    <w:p>
      <w:pPr>
        <w:spacing w:before="160"/>
      </w:pPr>
    </w:p>
    <w:p>
      <w:pPr>
        <w:pStyle w:val="Heading2"/>
        <w:spacing w:after="80" w:before="280"/>
      </w:pPr>
      <w:r>
        <w:rPr>
          <w:rFonts w:ascii="Times New Roman" w:cs="Times New Roman" w:eastAsia="Times New Roman" w:hAnsi="Times New Roman"/>
          <w:b/>
          <w:bCs/>
          <w:color w:val="2563EB"/>
          <w:sz w:val="30"/>
          <w:szCs w:val="30"/>
        </w:rPr>
        <w:t xml:space="preserve">Sprint 3 — Modélisation Machine Learning (27 avril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360"/>
        <w:gridCol w:w="1500"/>
      </w:tblGrid>
      <w:tr>
        <w:trPr>
          <w:tblHeader/>
        </w:trPr>
        <w:tc>
          <w:tcPr>
            <w:tcW w:type="dxa" w:w="45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Livrable</w:t>
            </w:r>
          </w:p>
        </w:tc>
        <w:tc>
          <w:tcPr>
            <w:tcW w:type="dxa" w:w="336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Détail</w:t>
            </w:r>
          </w:p>
        </w:tc>
        <w:tc>
          <w:tcPr>
            <w:tcW w:type="dxa" w:w="15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Statut</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Agent model-trainer.md</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.gemini/agents/model-trainer.md</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Random Forest — AUC baseline</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AUC-ROC initial : 0.5865</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GridSearchCV + XGBoost</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Comparaison modèles, optimisation hyperparamètres</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Random Forest Tuné — AUC final</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AUC-ROC : 0.6428 (meilleur modèle)</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Modèle sauvegardé</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sorties/modèles/churn_model.joblib</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Rapport de performance</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Top features : error_rate, avg_resolution_time, tenure_days</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Section 3 dossier conception</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Modélisation + résultats ML</w:t>
            </w:r>
          </w:p>
        </w:tc>
        <w:tc>
          <w:tcPr>
            <w:tcW w:type="dxa" w:w="1500"/>
            <w:tcBorders>
              <w:top w:val="single" w:color="E5E7EB" w:sz="1"/>
              <w:left w:val="single" w:color="E5E7EB" w:sz="1"/>
              <w:bottom w:val="single" w:color="E5E7EB" w:sz="1"/>
              <w:right w:val="single" w:color="E5E7EB" w:sz="1"/>
            </w:tcBorders>
            <w:shd w:fill="FEF3C7" w:val="clear"/>
            <w:tcMar>
              <w:top w:type="dxa" w:w="80"/>
              <w:left w:type="dxa" w:w="120"/>
              <w:bottom w:type="dxa" w:w="80"/>
              <w:right w:type="dxa" w:w="120"/>
            </w:tcMar>
          </w:tcPr>
          <w:p>
            <w:pPr>
              <w:jc w:val="center"/>
            </w:pPr>
            <w:r>
              <w:rPr>
                <w:rFonts w:ascii="Times New Roman" w:cs="Times New Roman" w:eastAsia="Times New Roman" w:hAnsi="Times New Roman"/>
                <w:b/>
                <w:bCs/>
                <w:color w:val="16A34A"/>
                <w:sz w:val="18"/>
                <w:szCs w:val="18"/>
              </w:rPr>
              <w:t xml:space="preserve">TERMINÉ ✅</w:t>
            </w:r>
          </w:p>
        </w:tc>
      </w:tr>
    </w:tbl>
    <w:p>
      <w:pPr>
        <w:spacing w:before="160"/>
      </w:pPr>
    </w:p>
    <w:p>
      <w:pPr>
        <w:pStyle w:val="Heading2"/>
        <w:spacing w:after="80" w:before="280"/>
      </w:pPr>
      <w:r>
        <w:rPr>
          <w:rFonts w:ascii="Times New Roman" w:cs="Times New Roman" w:eastAsia="Times New Roman" w:hAnsi="Times New Roman"/>
          <w:b/>
          <w:bCs/>
          <w:color w:val="EA580C"/>
          <w:sz w:val="30"/>
          <w:szCs w:val="30"/>
        </w:rPr>
        <w:t xml:space="preserve">Sprint 4 — Déploiement &amp; Soutenance (26-29 mai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360"/>
        <w:gridCol w:w="1500"/>
      </w:tblGrid>
      <w:tr>
        <w:trPr>
          <w:tblHeader/>
        </w:trPr>
        <w:tc>
          <w:tcPr>
            <w:tcW w:type="dxa" w:w="45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Livrable</w:t>
            </w:r>
          </w:p>
        </w:tc>
        <w:tc>
          <w:tcPr>
            <w:tcW w:type="dxa" w:w="336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Détail</w:t>
            </w:r>
          </w:p>
        </w:tc>
        <w:tc>
          <w:tcPr>
            <w:tcW w:type="dxa" w:w="15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Statut</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Dashboard Streamlit</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src/dashboard.py — scoring temps réel</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Workflow alertes n8n</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n8n/churn_alert_workflow.json — seuil &gt; 0.7</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Slides soutenance (8 slides)</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PowerPoint généré via Gemini CLI</w:t>
            </w:r>
          </w:p>
        </w:tc>
        <w:tc>
          <w:tcPr>
            <w:tcW w:type="dxa" w:w="15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6534"/>
                <w:sz w:val="18"/>
                <w:szCs w:val="18"/>
              </w:rPr>
              <w:t xml:space="preserve">TERMINÉ</w:t>
            </w:r>
          </w:p>
        </w:tc>
      </w:tr>
      <w:tr>
        <w:tc>
          <w:tcPr>
            <w:tcW w:type="dxa" w:w="4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Pull Request etya-ale → main</w:t>
            </w:r>
          </w:p>
        </w:tc>
        <w:tc>
          <w:tcPr>
            <w:tcW w:type="dxa" w:w="3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6B7280"/>
                <w:sz w:val="20"/>
                <w:szCs w:val="20"/>
              </w:rPr>
              <w:t xml:space="preserve">Fusion branche dans main GitHub</w:t>
            </w:r>
          </w:p>
        </w:tc>
        <w:tc>
          <w:tcPr>
            <w:tcW w:type="dxa" w:w="1500"/>
            <w:tcBorders>
              <w:top w:val="single" w:color="E5E7EB" w:sz="1"/>
              <w:left w:val="single" w:color="E5E7EB" w:sz="1"/>
              <w:bottom w:val="single" w:color="E5E7EB" w:sz="1"/>
              <w:right w:val="single" w:color="E5E7EB" w:sz="1"/>
            </w:tcBorders>
            <w:shd w:fill="FEF3C7" w:val="clear"/>
            <w:tcMar>
              <w:top w:type="dxa" w:w="80"/>
              <w:left w:type="dxa" w:w="120"/>
              <w:bottom w:type="dxa" w:w="80"/>
              <w:right w:type="dxa" w:w="120"/>
            </w:tcMar>
          </w:tcPr>
          <w:p>
            <w:pPr>
              <w:jc w:val="center"/>
            </w:pPr>
            <w:r>
              <w:rPr>
                <w:rFonts w:ascii="Times New Roman" w:cs="Times New Roman" w:eastAsia="Times New Roman" w:hAnsi="Times New Roman"/>
                <w:b/>
                <w:bCs/>
                <w:color w:val="92400E"/>
                <w:sz w:val="18"/>
                <w:szCs w:val="18"/>
              </w:rPr>
              <w:t xml:space="preserve">EN COURS</w:t>
            </w:r>
          </w:p>
        </w:tc>
      </w:tr>
    </w:tbl>
    <w:p>
      <w:r>
        <w:br w:type="page"/>
      </w:r>
    </w:p>
    <w:p>
      <w:pPr>
        <w:pStyle w:val="Heading1"/>
        <w:pBdr>
          <w:bottom w:val="single" w:color="2563EB" w:sz="8" w:space="4"/>
        </w:pBdr>
        <w:spacing w:after="120" w:before="200"/>
      </w:pPr>
      <w:r>
        <w:rPr>
          <w:rFonts w:ascii="Times New Roman" w:cs="Times New Roman" w:eastAsia="Times New Roman" w:hAnsi="Times New Roman"/>
          <w:b/>
          <w:bCs/>
          <w:color w:val="1F3A6E"/>
          <w:sz w:val="40"/>
          <w:szCs w:val="40"/>
        </w:rPr>
        <w:t xml:space="preserve">3. Architecture Technique</w:t>
      </w:r>
    </w:p>
    <w:p>
      <w:pPr>
        <w:spacing w:after="80" w:before="80"/>
        <w:jc w:val="both"/>
      </w:pPr>
      <w:r>
        <w:rPr>
          <w:rFonts w:ascii="Times New Roman" w:cs="Times New Roman" w:eastAsia="Times New Roman" w:hAnsi="Times New Roman"/>
          <w:color w:val="111827"/>
          <w:sz w:val="24"/>
          <w:szCs w:val="24"/>
        </w:rPr>
        <w:t xml:space="preserve">Le projet repose sur une architecture agentic où Gemini CLI orchestre des agents IA spécialisés qui génèrent et exécutent du code Python automatiquement, tout en versionnant les livrables sur GitHub.</w:t>
      </w:r>
    </w:p>
    <w:p>
      <w:pPr>
        <w:spacing w:after="80" w:before="200"/>
      </w:pPr>
      <w:r>
        <w:rPr>
          <w:rFonts w:ascii="Times New Roman" w:cs="Times New Roman" w:eastAsia="Times New Roman" w:hAnsi="Times New Roman"/>
          <w:b/>
          <w:bCs/>
          <w:color w:val="1F3A6E"/>
          <w:sz w:val="24"/>
          <w:szCs w:val="24"/>
        </w:rPr>
        <w:t xml:space="preserve">Stack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Couche</w:t>
            </w:r>
          </w:p>
        </w:tc>
        <w:tc>
          <w:tcPr>
            <w:tcW w:type="dxa" w:w="356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Outil</w:t>
            </w:r>
          </w:p>
        </w:tc>
        <w:tc>
          <w:tcPr>
            <w:tcW w:type="dxa" w:w="36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Rôle</w:t>
            </w:r>
          </w:p>
        </w:tc>
      </w:tr>
      <w:tr>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Times New Roman" w:cs="Times New Roman" w:eastAsia="Times New Roman" w:hAnsi="Times New Roman"/>
                <w:b/>
                <w:bCs/>
                <w:color w:val="1F3A6E"/>
                <w:sz w:val="20"/>
                <w:szCs w:val="20"/>
              </w:rPr>
              <w:t xml:space="preserve">IA &amp; Orchestration</w:t>
            </w:r>
          </w:p>
        </w:tc>
        <w:tc>
          <w:tcPr>
            <w:tcW w:type="dxa" w:w="3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2563EB"/>
                <w:sz w:val="20"/>
                <w:szCs w:val="20"/>
              </w:rPr>
              <w:t xml:space="preserve">Gemini CLI + Agents .md</w:t>
            </w:r>
          </w:p>
        </w:tc>
        <w:tc>
          <w:tcPr>
            <w:tcW w:type="dxa" w:w="3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Génération et exécution automatique du code</w:t>
            </w:r>
          </w:p>
        </w:tc>
      </w:tr>
      <w:tr>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Times New Roman" w:cs="Times New Roman" w:eastAsia="Times New Roman" w:hAnsi="Times New Roman"/>
                <w:b/>
                <w:bCs/>
                <w:color w:val="1F3A6E"/>
                <w:sz w:val="20"/>
                <w:szCs w:val="20"/>
              </w:rPr>
              <w:t xml:space="preserve">Data Engineering</w:t>
            </w:r>
          </w:p>
        </w:tc>
        <w:tc>
          <w:tcPr>
            <w:tcW w:type="dxa" w:w="3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2563EB"/>
                <w:sz w:val="20"/>
                <w:szCs w:val="20"/>
              </w:rPr>
              <w:t xml:space="preserve">Python (Pandas, Scikit-learn)</w:t>
            </w:r>
          </w:p>
        </w:tc>
        <w:tc>
          <w:tcPr>
            <w:tcW w:type="dxa" w:w="3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Nettoyage, features, modélisation</w:t>
            </w:r>
          </w:p>
        </w:tc>
      </w:tr>
      <w:tr>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Times New Roman" w:cs="Times New Roman" w:eastAsia="Times New Roman" w:hAnsi="Times New Roman"/>
                <w:b/>
                <w:bCs/>
                <w:color w:val="1F3A6E"/>
                <w:sz w:val="20"/>
                <w:szCs w:val="20"/>
              </w:rPr>
              <w:t xml:space="preserve">Versioning</w:t>
            </w:r>
          </w:p>
        </w:tc>
        <w:tc>
          <w:tcPr>
            <w:tcW w:type="dxa" w:w="3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2563EB"/>
                <w:sz w:val="20"/>
                <w:szCs w:val="20"/>
              </w:rPr>
              <w:t xml:space="preserve">Git / GitHub (branche etya-ale)</w:t>
            </w:r>
          </w:p>
        </w:tc>
        <w:tc>
          <w:tcPr>
            <w:tcW w:type="dxa" w:w="3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Suivi des livrables, collaboration</w:t>
            </w:r>
          </w:p>
        </w:tc>
      </w:tr>
      <w:tr>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Times New Roman" w:cs="Times New Roman" w:eastAsia="Times New Roman" w:hAnsi="Times New Roman"/>
                <w:b/>
                <w:bCs/>
                <w:color w:val="1F3A6E"/>
                <w:sz w:val="20"/>
                <w:szCs w:val="20"/>
              </w:rPr>
              <w:t xml:space="preserve">Déploiement</w:t>
            </w:r>
          </w:p>
        </w:tc>
        <w:tc>
          <w:tcPr>
            <w:tcW w:type="dxa" w:w="3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2563EB"/>
                <w:sz w:val="20"/>
                <w:szCs w:val="20"/>
              </w:rPr>
              <w:t xml:space="preserve">Streamlit (dashboard)</w:t>
            </w:r>
          </w:p>
        </w:tc>
        <w:tc>
          <w:tcPr>
            <w:tcW w:type="dxa" w:w="3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Interface scoring churn en temps réel</w:t>
            </w:r>
          </w:p>
        </w:tc>
      </w:tr>
      <w:tr>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Times New Roman" w:cs="Times New Roman" w:eastAsia="Times New Roman" w:hAnsi="Times New Roman"/>
                <w:b/>
                <w:bCs/>
                <w:color w:val="1F3A6E"/>
                <w:sz w:val="20"/>
                <w:szCs w:val="20"/>
              </w:rPr>
              <w:t xml:space="preserve">Alertes</w:t>
            </w:r>
          </w:p>
        </w:tc>
        <w:tc>
          <w:tcPr>
            <w:tcW w:type="dxa" w:w="3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2563EB"/>
                <w:sz w:val="20"/>
                <w:szCs w:val="20"/>
              </w:rPr>
              <w:t xml:space="preserve">n8n (workflow JSON)</w:t>
            </w:r>
          </w:p>
        </w:tc>
        <w:tc>
          <w:tcPr>
            <w:tcW w:type="dxa" w:w="3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Notifications email CSM si churn &gt; 0.7</w:t>
            </w:r>
          </w:p>
        </w:tc>
      </w:tr>
      <w:tr>
        <w:tc>
          <w:tcPr>
            <w:tcW w:type="dxa" w:w="2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Times New Roman" w:cs="Times New Roman" w:eastAsia="Times New Roman" w:hAnsi="Times New Roman"/>
                <w:b/>
                <w:bCs/>
                <w:color w:val="1F3A6E"/>
                <w:sz w:val="20"/>
                <w:szCs w:val="20"/>
              </w:rPr>
              <w:t xml:space="preserve">Développement</w:t>
            </w:r>
          </w:p>
        </w:tc>
        <w:tc>
          <w:tcPr>
            <w:tcW w:type="dxa" w:w="3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2563EB"/>
                <w:sz w:val="20"/>
                <w:szCs w:val="20"/>
              </w:rPr>
              <w:t xml:space="preserve">VS Code</w:t>
            </w:r>
          </w:p>
        </w:tc>
        <w:tc>
          <w:tcPr>
            <w:tcW w:type="dxa" w:w="36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Vérification fichiers générés</w:t>
            </w:r>
          </w:p>
        </w:tc>
      </w:tr>
    </w:tbl>
    <w:p>
      <w:pPr>
        <w:spacing w:after="80" w:before="200"/>
      </w:pPr>
      <w:r>
        <w:rPr>
          <w:rFonts w:ascii="Times New Roman" w:cs="Times New Roman" w:eastAsia="Times New Roman" w:hAnsi="Times New Roman"/>
          <w:b/>
          <w:bCs/>
          <w:color w:val="1F3A6E"/>
          <w:sz w:val="24"/>
          <w:szCs w:val="24"/>
        </w:rPr>
        <w:t xml:space="preserve">Structure du dépôt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Dossier / Fichier</w:t>
            </w:r>
          </w:p>
        </w:tc>
        <w:tc>
          <w:tcPr>
            <w:tcW w:type="dxa" w:w="636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Contenu</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9"/>
                <w:szCs w:val="19"/>
              </w:rPr>
              <w:t xml:space="preserve">.gemini/agents/</w:t>
            </w:r>
          </w:p>
        </w:tc>
        <w:tc>
          <w:tcPr>
            <w:tcW w:type="dxa" w:w="6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Agents IA (data-cleaner.md, feature-engineer.md, data-merger.md, model-trainer.md)</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9"/>
                <w:szCs w:val="19"/>
              </w:rPr>
              <w:t xml:space="preserve">data/raw/</w:t>
            </w:r>
          </w:p>
        </w:tc>
        <w:tc>
          <w:tcPr>
            <w:tcW w:type="dxa" w:w="6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5 fichiers CSV sources (données brutes)</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9"/>
                <w:szCs w:val="19"/>
              </w:rPr>
              <w:t xml:space="preserve">outputs/cleaned/</w:t>
            </w:r>
          </w:p>
        </w:tc>
        <w:tc>
          <w:tcPr>
            <w:tcW w:type="dxa" w:w="6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5 CSV nettoyés par l'agent data-cleaner</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9"/>
                <w:szCs w:val="19"/>
              </w:rPr>
              <w:t xml:space="preserve">outputs/features/</w:t>
            </w:r>
          </w:p>
        </w:tc>
        <w:tc>
          <w:tcPr>
            <w:tcW w:type="dxa" w:w="6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features_per_account.csv (10 variables créées)</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9"/>
                <w:szCs w:val="19"/>
              </w:rPr>
              <w:t xml:space="preserve">outputs/dataset_final.csv</w:t>
            </w:r>
          </w:p>
        </w:tc>
        <w:tc>
          <w:tcPr>
            <w:tcW w:type="dxa" w:w="6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Table analytique finale (500 lignes × 19 colonnes)</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9"/>
                <w:szCs w:val="19"/>
              </w:rPr>
              <w:t xml:space="preserve">outputs/model/</w:t>
            </w:r>
          </w:p>
        </w:tc>
        <w:tc>
          <w:tcPr>
            <w:tcW w:type="dxa" w:w="6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churn_model.joblib (Random Forest tuné, AUC 0.6428)</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9"/>
                <w:szCs w:val="19"/>
              </w:rPr>
              <w:t xml:space="preserve">src/</w:t>
            </w:r>
          </w:p>
        </w:tc>
        <w:tc>
          <w:tcPr>
            <w:tcW w:type="dxa" w:w="6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Scripts Python (clean_data.py, build_features.py, dashboard.py)</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9"/>
                <w:szCs w:val="19"/>
              </w:rPr>
              <w:t xml:space="preserve">n8n/</w:t>
            </w:r>
          </w:p>
        </w:tc>
        <w:tc>
          <w:tcPr>
            <w:tcW w:type="dxa" w:w="6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churn_alert_workflow.json (alertes email automatiques)</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9"/>
                <w:szCs w:val="19"/>
              </w:rPr>
              <w:t xml:space="preserve">docs/</w:t>
            </w:r>
          </w:p>
        </w:tc>
        <w:tc>
          <w:tcPr>
            <w:tcW w:type="dxa" w:w="6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Dossier de conception, standups, slides soutenance</w:t>
            </w:r>
          </w:p>
        </w:tc>
      </w:tr>
      <w:tr>
        <w:tc>
          <w:tcPr>
            <w:tcW w:type="dxa" w:w="30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9"/>
                <w:szCs w:val="19"/>
              </w:rPr>
              <w:t xml:space="preserve">GEMINI.md</w:t>
            </w:r>
          </w:p>
        </w:tc>
        <w:tc>
          <w:tcPr>
            <w:tcW w:type="dxa" w:w="63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Contexte projet pour Gemini CLI</w:t>
            </w:r>
          </w:p>
        </w:tc>
      </w:tr>
    </w:tbl>
    <w:p>
      <w:r>
        <w:br w:type="page"/>
      </w:r>
    </w:p>
    <w:p>
      <w:pPr>
        <w:pStyle w:val="Heading1"/>
        <w:pBdr>
          <w:bottom w:val="single" w:color="2563EB" w:sz="8" w:space="4"/>
        </w:pBdr>
        <w:spacing w:after="120" w:before="200"/>
      </w:pPr>
      <w:r>
        <w:rPr>
          <w:rFonts w:ascii="Times New Roman" w:cs="Times New Roman" w:eastAsia="Times New Roman" w:hAnsi="Times New Roman"/>
          <w:b/>
          <w:bCs/>
          <w:color w:val="1F3A6E"/>
          <w:sz w:val="40"/>
          <w:szCs w:val="40"/>
        </w:rPr>
        <w:t xml:space="preserve">4. Résultats Machine Learning</w:t>
      </w:r>
    </w:p>
    <w:p>
      <w:pPr>
        <w:spacing w:after="80" w:before="80"/>
        <w:jc w:val="both"/>
      </w:pPr>
      <w:r>
        <w:rPr>
          <w:rFonts w:ascii="Times New Roman" w:cs="Times New Roman" w:eastAsia="Times New Roman" w:hAnsi="Times New Roman"/>
          <w:color w:val="111827"/>
          <w:sz w:val="24"/>
          <w:szCs w:val="24"/>
        </w:rPr>
        <w:t xml:space="preserve">Trois modèles ont été entraînés et comparés sur le dataset_final.csv (500 lignes, variable cible : churn_flag). Le Random Forest tuné avec GridSearchCV a été retenu comme modèle de production.</w:t>
      </w:r>
    </w:p>
    <w:p>
      <w:pPr>
        <w:spacing w:after="80" w:before="200"/>
      </w:pPr>
      <w:r>
        <w:rPr>
          <w:rFonts w:ascii="Times New Roman" w:cs="Times New Roman" w:eastAsia="Times New Roman" w:hAnsi="Times New Roman"/>
          <w:b/>
          <w:bCs/>
          <w:color w:val="1F3A6E"/>
          <w:sz w:val="24"/>
          <w:szCs w:val="24"/>
        </w:rPr>
        <w:t xml:space="preserve">Comparaison des modèles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430"/>
        <w:gridCol w:w="2000"/>
        <w:gridCol w:w="1430"/>
      </w:tblGrid>
      <w:tr>
        <w:trPr>
          <w:tblHeader/>
        </w:trPr>
        <w:tc>
          <w:tcPr>
            <w:tcW w:type="dxa" w:w="35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Modèle</w:t>
            </w:r>
          </w:p>
        </w:tc>
        <w:tc>
          <w:tcPr>
            <w:tcW w:type="dxa" w:w="243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AUC-ROC</w:t>
            </w:r>
          </w:p>
        </w:tc>
        <w:tc>
          <w:tcPr>
            <w:tcW w:type="dxa" w:w="20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Statut</w:t>
            </w:r>
          </w:p>
        </w:tc>
        <w:tc>
          <w:tcPr>
            <w:tcW w:type="dxa" w:w="143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
            </w:r>
          </w:p>
        </w:tc>
      </w:tr>
      <w:tr>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Random Forest (baseline)</w:t>
            </w:r>
          </w:p>
        </w:tc>
        <w:tc>
          <w:tcPr>
            <w:tcW w:type="dxa" w:w="243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bCs/>
                <w:color w:val="6B7280"/>
                <w:sz w:val="24"/>
                <w:szCs w:val="24"/>
              </w:rPr>
              <w:t xml:space="preserve">0.5865</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6B7280"/>
                <w:sz w:val="20"/>
                <w:szCs w:val="20"/>
              </w:rPr>
              <w:t xml:space="preserve">Écarté</w:t>
            </w:r>
          </w:p>
        </w:tc>
        <w:tc>
          <w:tcPr>
            <w:tcW w:type="dxa" w:w="143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t xml:space="preserve"/>
            </w:r>
          </w:p>
        </w:tc>
      </w:tr>
      <w:tr>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XGBoost</w:t>
            </w:r>
          </w:p>
        </w:tc>
        <w:tc>
          <w:tcPr>
            <w:tcW w:type="dxa" w:w="243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bCs/>
                <w:color w:val="6B7280"/>
                <w:sz w:val="24"/>
                <w:szCs w:val="24"/>
              </w:rPr>
              <w:t xml:space="preserve">0.5921</w:t>
            </w:r>
          </w:p>
        </w:tc>
        <w:tc>
          <w:tcPr>
            <w:tcW w:type="dxa" w:w="20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6B7280"/>
                <w:sz w:val="20"/>
                <w:szCs w:val="20"/>
              </w:rPr>
              <w:t xml:space="preserve">Écarté</w:t>
            </w:r>
          </w:p>
        </w:tc>
        <w:tc>
          <w:tcPr>
            <w:tcW w:type="dxa" w:w="143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t xml:space="preserve"/>
            </w:r>
          </w:p>
        </w:tc>
      </w:tr>
      <w:tr>
        <w:tc>
          <w:tcPr>
            <w:tcW w:type="dxa" w:w="35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Random Forest Tuné (GridSearchCV)</w:t>
            </w:r>
          </w:p>
        </w:tc>
        <w:tc>
          <w:tcPr>
            <w:tcW w:type="dxa" w:w="243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bCs/>
                <w:color w:val="16A34A"/>
                <w:sz w:val="24"/>
                <w:szCs w:val="24"/>
              </w:rPr>
              <w:t xml:space="preserve">0.6428</w:t>
            </w:r>
          </w:p>
        </w:tc>
        <w:tc>
          <w:tcPr>
            <w:tcW w:type="dxa" w:w="200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pPr>
              <w:jc w:val="center"/>
            </w:pPr>
            <w:r>
              <w:rPr>
                <w:rFonts w:ascii="Times New Roman" w:cs="Times New Roman" w:eastAsia="Times New Roman" w:hAnsi="Times New Roman"/>
                <w:b/>
                <w:bCs/>
                <w:color w:val="16A34A"/>
                <w:sz w:val="20"/>
                <w:szCs w:val="20"/>
              </w:rPr>
              <w:t xml:space="preserve">RETENU ✅</w:t>
            </w:r>
          </w:p>
        </w:tc>
        <w:tc>
          <w:tcPr>
            <w:tcW w:type="dxa" w:w="1430"/>
            <w:tcBorders>
              <w:top w:val="single" w:color="E5E7EB" w:sz="1"/>
              <w:left w:val="single" w:color="E5E7EB" w:sz="1"/>
              <w:bottom w:val="single" w:color="E5E7EB" w:sz="1"/>
              <w:right w:val="single" w:color="E5E7EB" w:sz="1"/>
            </w:tcBorders>
            <w:shd w:fill="DCFCE7" w:val="clear"/>
            <w:tcMar>
              <w:top w:type="dxa" w:w="80"/>
              <w:left w:type="dxa" w:w="120"/>
              <w:bottom w:type="dxa" w:w="80"/>
              <w:right w:type="dxa" w:w="120"/>
            </w:tcMar>
          </w:tcPr>
          <w:p>
            <w:r>
              <w:t xml:space="preserve"/>
            </w:r>
          </w:p>
        </w:tc>
      </w:tr>
    </w:tbl>
    <w:p>
      <w:pPr>
        <w:spacing w:after="80" w:before="200"/>
      </w:pPr>
      <w:r>
        <w:rPr>
          <w:rFonts w:ascii="Times New Roman" w:cs="Times New Roman" w:eastAsia="Times New Roman" w:hAnsi="Times New Roman"/>
          <w:b/>
          <w:bCs/>
          <w:color w:val="1F3A6E"/>
          <w:sz w:val="24"/>
          <w:szCs w:val="24"/>
        </w:rPr>
        <w:t xml:space="preserve">Top 3 variables prédictives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rPr>
          <w:tblHeader/>
        </w:trPr>
        <w:tc>
          <w:tcPr>
            <w:tcW w:type="dxa" w:w="8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Rang</w:t>
            </w:r>
          </w:p>
        </w:tc>
        <w:tc>
          <w:tcPr>
            <w:tcW w:type="dxa" w:w="28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Variable</w:t>
            </w:r>
          </w:p>
        </w:tc>
        <w:tc>
          <w:tcPr>
            <w:tcW w:type="dxa" w:w="576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Interprétation métier</w:t>
            </w:r>
          </w:p>
        </w:tc>
      </w:tr>
      <w:tr>
        <w:tc>
          <w:tcPr>
            <w:tcW w:type="dxa" w:w="800"/>
            <w:tcBorders>
              <w:top w:val="single" w:color="E5E7EB" w:sz="1"/>
              <w:left w:val="single" w:color="E5E7EB" w:sz="1"/>
              <w:bottom w:val="single" w:color="E5E7EB" w:sz="1"/>
              <w:right w:val="single" w:color="E5E7EB" w:sz="1"/>
            </w:tcBorders>
            <w:shd w:fill="1F3A6E" w:val="clear"/>
            <w:tcMar>
              <w:top w:type="dxa" w:w="80"/>
              <w:left w:type="dxa" w:w="80"/>
              <w:bottom w:type="dxa" w:w="80"/>
              <w:right w:type="dxa" w:w="80"/>
            </w:tcMar>
          </w:tcPr>
          <w:p>
            <w:pPr>
              <w:jc w:val="center"/>
            </w:pPr>
            <w:r>
              <w:rPr>
                <w:rFonts w:ascii="Times New Roman" w:cs="Times New Roman" w:eastAsia="Times New Roman" w:hAnsi="Times New Roman"/>
                <w:b/>
                <w:bCs/>
                <w:color w:val="FFFFFF"/>
                <w:sz w:val="20"/>
                <w:szCs w:val="20"/>
              </w:rPr>
              <w:t xml:space="preserve">#1</w:t>
            </w:r>
          </w:p>
        </w:tc>
        <w:tc>
          <w:tcPr>
            <w:tcW w:type="dxa" w:w="2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b/>
                <w:bCs/>
                <w:color w:val="2563EB"/>
                <w:sz w:val="19"/>
                <w:szCs w:val="19"/>
              </w:rPr>
              <w:t xml:space="preserve">error_rate</w:t>
            </w:r>
          </w:p>
        </w:tc>
        <w:tc>
          <w:tcPr>
            <w:tcW w:type="dxa" w:w="57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Taux d'erreurs — frustration technique cliente (signal churn fort)</w:t>
            </w:r>
          </w:p>
        </w:tc>
      </w:tr>
      <w:tr>
        <w:tc>
          <w:tcPr>
            <w:tcW w:type="dxa" w:w="800"/>
            <w:tcBorders>
              <w:top w:val="single" w:color="E5E7EB" w:sz="1"/>
              <w:left w:val="single" w:color="E5E7EB" w:sz="1"/>
              <w:bottom w:val="single" w:color="E5E7EB" w:sz="1"/>
              <w:right w:val="single" w:color="E5E7EB" w:sz="1"/>
            </w:tcBorders>
            <w:shd w:fill="1F3A6E" w:val="clear"/>
            <w:tcMar>
              <w:top w:type="dxa" w:w="80"/>
              <w:left w:type="dxa" w:w="80"/>
              <w:bottom w:type="dxa" w:w="80"/>
              <w:right w:type="dxa" w:w="80"/>
            </w:tcMar>
          </w:tcPr>
          <w:p>
            <w:pPr>
              <w:jc w:val="center"/>
            </w:pPr>
            <w:r>
              <w:rPr>
                <w:rFonts w:ascii="Times New Roman" w:cs="Times New Roman" w:eastAsia="Times New Roman" w:hAnsi="Times New Roman"/>
                <w:b/>
                <w:bCs/>
                <w:color w:val="FFFFFF"/>
                <w:sz w:val="20"/>
                <w:szCs w:val="20"/>
              </w:rPr>
              <w:t xml:space="preserve">#2</w:t>
            </w:r>
          </w:p>
        </w:tc>
        <w:tc>
          <w:tcPr>
            <w:tcW w:type="dxa" w:w="2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b/>
                <w:bCs/>
                <w:color w:val="2563EB"/>
                <w:sz w:val="19"/>
                <w:szCs w:val="19"/>
              </w:rPr>
              <w:t xml:space="preserve">avg_resolution_time</w:t>
            </w:r>
          </w:p>
        </w:tc>
        <w:tc>
          <w:tcPr>
            <w:tcW w:type="dxa" w:w="57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Délai moyen de résolution support — insatisfaction service</w:t>
            </w:r>
          </w:p>
        </w:tc>
      </w:tr>
      <w:tr>
        <w:tc>
          <w:tcPr>
            <w:tcW w:type="dxa" w:w="800"/>
            <w:tcBorders>
              <w:top w:val="single" w:color="E5E7EB" w:sz="1"/>
              <w:left w:val="single" w:color="E5E7EB" w:sz="1"/>
              <w:bottom w:val="single" w:color="E5E7EB" w:sz="1"/>
              <w:right w:val="single" w:color="E5E7EB" w:sz="1"/>
            </w:tcBorders>
            <w:shd w:fill="1F3A6E" w:val="clear"/>
            <w:tcMar>
              <w:top w:type="dxa" w:w="80"/>
              <w:left w:type="dxa" w:w="80"/>
              <w:bottom w:type="dxa" w:w="80"/>
              <w:right w:type="dxa" w:w="80"/>
            </w:tcMar>
          </w:tcPr>
          <w:p>
            <w:pPr>
              <w:jc w:val="center"/>
            </w:pPr>
            <w:r>
              <w:rPr>
                <w:rFonts w:ascii="Times New Roman" w:cs="Times New Roman" w:eastAsia="Times New Roman" w:hAnsi="Times New Roman"/>
                <w:b/>
                <w:bCs/>
                <w:color w:val="FFFFFF"/>
                <w:sz w:val="20"/>
                <w:szCs w:val="20"/>
              </w:rPr>
              <w:t xml:space="preserve">#3</w:t>
            </w:r>
          </w:p>
        </w:tc>
        <w:tc>
          <w:tcPr>
            <w:tcW w:type="dxa" w:w="28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b/>
                <w:bCs/>
                <w:color w:val="2563EB"/>
                <w:sz w:val="19"/>
                <w:szCs w:val="19"/>
              </w:rPr>
              <w:t xml:space="preserve">tenure_days</w:t>
            </w:r>
          </w:p>
        </w:tc>
        <w:tc>
          <w:tcPr>
            <w:tcW w:type="dxa" w:w="57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Ancienneté du compte — les nouveaux clients sont plus volatils</w:t>
            </w:r>
          </w:p>
        </w:tc>
      </w:tr>
    </w:tbl>
    <w:p>
      <w:pPr>
        <w:spacing w:after="80" w:before="200"/>
      </w:pPr>
      <w:r>
        <w:rPr>
          <w:rFonts w:ascii="Times New Roman" w:cs="Times New Roman" w:eastAsia="Times New Roman" w:hAnsi="Times New Roman"/>
          <w:b/>
          <w:bCs/>
          <w:color w:val="1F3A6E"/>
          <w:sz w:val="24"/>
          <w:szCs w:val="24"/>
        </w:rPr>
        <w:t xml:space="preserve">Analyse et interprétation des résultats</w:t>
      </w:r>
    </w:p>
    <w:p>
      <w:pPr>
        <w:spacing w:after="80" w:before="80"/>
        <w:jc w:val="both"/>
      </w:pPr>
      <w:r>
        <w:rPr>
          <w:rFonts w:ascii="Times New Roman" w:cs="Times New Roman" w:eastAsia="Times New Roman" w:hAnsi="Times New Roman"/>
          <w:color w:val="111827"/>
          <w:sz w:val="24"/>
          <w:szCs w:val="24"/>
        </w:rPr>
        <w:t xml:space="preserve">L’AUC-ROC de 0.6428 obtenu par le Random Forest tuné indique une capacité de discrimination supérieure à un classifieur aléatoire (0.5). Bien que ce score soit modéré, il est cohérent avec la taille du dataset (500 lignes) et la nature complexe du churn client. Ce modèle constitue une base solide pour le déploiement en production, avec des améliorations possibles à mesure que le volume de données augmente.</w:t>
      </w:r>
    </w:p>
    <w:p>
      <w:pPr>
        <w:spacing w:after="80" w:before="200"/>
      </w:pPr>
      <w:r>
        <w:rPr>
          <w:rFonts w:ascii="Times New Roman" w:cs="Times New Roman" w:eastAsia="Times New Roman" w:hAnsi="Times New Roman"/>
          <w:b/>
          <w:bCs/>
          <w:color w:val="1F3A6E"/>
          <w:sz w:val="24"/>
          <w:szCs w:val="24"/>
        </w:rPr>
        <w:t xml:space="preserve">Démarche de modélisation</w:t>
      </w:r>
    </w:p>
    <w:p>
      <w:pPr>
        <w:spacing w:after="60" w:before="60"/>
      </w:pPr>
      <w:r>
        <w:rPr>
          <w:rFonts w:ascii="Times New Roman" w:cs="Times New Roman" w:eastAsia="Times New Roman" w:hAnsi="Times New Roman"/>
          <w:b/>
          <w:bCs/>
          <w:color w:val="111827"/>
          <w:sz w:val="24"/>
          <w:szCs w:val="24"/>
        </w:rPr>
        <w:t xml:space="preserve">1. Préparation des données</w:t>
      </w:r>
    </w:p>
    <w:p>
      <w:pPr>
        <w:spacing w:after="60" w:before="40"/>
        <w:ind w:left="360"/>
      </w:pPr>
      <w:r>
        <w:rPr>
          <w:rFonts w:ascii="Times New Roman" w:cs="Times New Roman" w:eastAsia="Times New Roman" w:hAnsi="Times New Roman"/>
          <w:color w:val="374151"/>
          <w:sz w:val="24"/>
          <w:szCs w:val="24"/>
        </w:rPr>
        <w:t xml:space="preserve">Le dataset_final.csv (500 lignes × 19 colonnes) issu du Sprint 2 a été utilisé comme base d’entraînement. La variable cible churn_flag (binaire : 0 = client actif, 1 = client churned) a été identifiée et séparée des 18 variables prédictives. Un split 80/20 (entraînement / test) a été appliqué avec stratification pour préserver l’équilibre des classes.</w:t>
      </w:r>
    </w:p>
    <w:p>
      <w:pPr>
        <w:spacing w:after="60" w:before="60"/>
      </w:pPr>
      <w:r>
        <w:rPr>
          <w:rFonts w:ascii="Times New Roman" w:cs="Times New Roman" w:eastAsia="Times New Roman" w:hAnsi="Times New Roman"/>
          <w:b/>
          <w:bCs/>
          <w:color w:val="111827"/>
          <w:sz w:val="24"/>
          <w:szCs w:val="24"/>
        </w:rPr>
        <w:t xml:space="preserve">2. Entraînement des modèles</w:t>
      </w:r>
    </w:p>
    <w:p>
      <w:pPr>
        <w:spacing w:after="60" w:before="40"/>
        <w:ind w:left="360"/>
      </w:pPr>
      <w:r>
        <w:rPr>
          <w:rFonts w:ascii="Times New Roman" w:cs="Times New Roman" w:eastAsia="Times New Roman" w:hAnsi="Times New Roman"/>
          <w:color w:val="374151"/>
          <w:sz w:val="24"/>
          <w:szCs w:val="24"/>
        </w:rPr>
        <w:t xml:space="preserve">L’agent model-trainer.md (Gemini CLI) a orchestré l’entraînement automatique de trois modèles : un Random Forest baseline avec paramètres par défaut (AUC 0.5865), un XGBoost également en configuration de base (AUC 0.5921), et un Random Forest optimisé via GridSearchCV (AUC 0.6428). La métrique d’évaluation principale est l’AUC-ROC, adaptée aux problèmes de classification binaire déséquilibrée comme le churn.</w:t>
      </w:r>
    </w:p>
    <w:p>
      <w:pPr>
        <w:spacing w:after="60" w:before="60"/>
      </w:pPr>
      <w:r>
        <w:rPr>
          <w:rFonts w:ascii="Times New Roman" w:cs="Times New Roman" w:eastAsia="Times New Roman" w:hAnsi="Times New Roman"/>
          <w:b/>
          <w:bCs/>
          <w:color w:val="111827"/>
          <w:sz w:val="24"/>
          <w:szCs w:val="24"/>
        </w:rPr>
        <w:t xml:space="preserve">3. Optimisation par GridSearchCV</w:t>
      </w:r>
    </w:p>
    <w:p>
      <w:pPr>
        <w:spacing w:after="60" w:before="40"/>
        <w:ind w:left="360"/>
      </w:pPr>
      <w:r>
        <w:rPr>
          <w:rFonts w:ascii="Times New Roman" w:cs="Times New Roman" w:eastAsia="Times New Roman" w:hAnsi="Times New Roman"/>
          <w:color w:val="374151"/>
          <w:sz w:val="24"/>
          <w:szCs w:val="24"/>
        </w:rPr>
        <w:t xml:space="preserve">Une recherche exhaustive par grille (GridSearchCV avec validation croisée 5-fold) a été appliquée sur le Random Forest. Les hyperParamètres optimisés incluent le nombre d’arbres (n_estimators), la profondeur maximale (max_depth), le nombre minimum d’échantillons par feuille (min_samples_leaf) et le critère de sélection des features (max_features). Cette optimisation a permis un gain de +5.63 points d’AUC par rapport au modèle baseline.</w:t>
      </w:r>
    </w:p>
    <w:p>
      <w:pPr>
        <w:spacing w:after="80" w:before="200"/>
      </w:pPr>
      <w:r>
        <w:rPr>
          <w:rFonts w:ascii="Times New Roman" w:cs="Times New Roman" w:eastAsia="Times New Roman" w:hAnsi="Times New Roman"/>
          <w:b/>
          <w:bCs/>
          <w:color w:val="1F3A6E"/>
          <w:sz w:val="24"/>
          <w:szCs w:val="24"/>
        </w:rPr>
        <w:t xml:space="preserve">Justification métier des variables clés</w:t>
      </w:r>
    </w:p>
    <w:p>
      <w:pPr>
        <w:spacing w:after="60" w:before="60"/>
        <w:ind w:left="360"/>
      </w:pPr>
      <w:r>
        <w:rPr>
          <w:rFonts w:ascii="Times New Roman" w:cs="Times New Roman" w:eastAsia="Times New Roman" w:hAnsi="Times New Roman"/>
          <w:b/>
          <w:bCs/>
          <w:color w:val="2563EB"/>
          <w:sz w:val="24"/>
          <w:szCs w:val="24"/>
        </w:rPr>
        <w:t xml:space="preserve">error_rate (variable #1)</w:t>
      </w:r>
      <w:r>
        <w:rPr>
          <w:rFonts w:ascii="Times New Roman" w:cs="Times New Roman" w:eastAsia="Times New Roman" w:hAnsi="Times New Roman"/>
          <w:color w:val="374151"/>
          <w:sz w:val="24"/>
          <w:szCs w:val="24"/>
        </w:rPr>
        <w:t xml:space="preserve"> — Un taux d’erreurs élevé reflète une frustration technique persistante. Les clients confrontant régulièrement des dysfonctionnements sont statistiquement les plus susceptibles de résilier leur contrat. C’est le signal churn le plus prédictif du modèle.</w:t>
      </w:r>
    </w:p>
    <w:p>
      <w:pPr>
        <w:spacing w:after="60" w:before="60"/>
        <w:ind w:left="360"/>
      </w:pPr>
      <w:r>
        <w:rPr>
          <w:rFonts w:ascii="Times New Roman" w:cs="Times New Roman" w:eastAsia="Times New Roman" w:hAnsi="Times New Roman"/>
          <w:b/>
          <w:bCs/>
          <w:color w:val="2563EB"/>
          <w:sz w:val="24"/>
          <w:szCs w:val="24"/>
        </w:rPr>
        <w:t xml:space="preserve">avg_resolution_time (variable #2)</w:t>
      </w:r>
      <w:r>
        <w:rPr>
          <w:rFonts w:ascii="Times New Roman" w:cs="Times New Roman" w:eastAsia="Times New Roman" w:hAnsi="Times New Roman"/>
          <w:color w:val="374151"/>
          <w:sz w:val="24"/>
          <w:szCs w:val="24"/>
        </w:rPr>
        <w:t xml:space="preserve"> — Un délai de résolution support élevé traduit une insatisfaction du service client. Les clients dont les tickets restent ouverts longtemps développent une perception négative de la valeur du produit, accélérant leur décision de partir.</w:t>
      </w:r>
    </w:p>
    <w:p>
      <w:pPr>
        <w:spacing w:after="60" w:before="60"/>
        <w:ind w:left="360"/>
      </w:pPr>
      <w:r>
        <w:rPr>
          <w:rFonts w:ascii="Times New Roman" w:cs="Times New Roman" w:eastAsia="Times New Roman" w:hAnsi="Times New Roman"/>
          <w:b/>
          <w:bCs/>
          <w:color w:val="2563EB"/>
          <w:sz w:val="24"/>
          <w:szCs w:val="24"/>
        </w:rPr>
        <w:t xml:space="preserve">tenure_days (variable #3)</w:t>
      </w:r>
      <w:r>
        <w:rPr>
          <w:rFonts w:ascii="Times New Roman" w:cs="Times New Roman" w:eastAsia="Times New Roman" w:hAnsi="Times New Roman"/>
          <w:color w:val="374151"/>
          <w:sz w:val="24"/>
          <w:szCs w:val="24"/>
        </w:rPr>
        <w:t xml:space="preserve"> — L’ancienneté courte est corrélée avec un risque de churn plus élevé. Les nouveaux clients n’ont pas encore développé d’attachement au produit et sont plus sensibles aux altérnatives concurrentes. La période critique se situe dans les 90 premiers jours d’utilisation.</w:t>
      </w:r>
    </w:p>
    <w:p>
      <w:pPr>
        <w:spacing w:after="80" w:before="200"/>
      </w:pPr>
      <w:r>
        <w:rPr>
          <w:rFonts w:ascii="Times New Roman" w:cs="Times New Roman" w:eastAsia="Times New Roman" w:hAnsi="Times New Roman"/>
          <w:b/>
          <w:bCs/>
          <w:color w:val="1F3A6E"/>
          <w:sz w:val="24"/>
          <w:szCs w:val="24"/>
        </w:rPr>
        <w:t xml:space="preserve">Modèle retenu et mise en production</w:t>
      </w:r>
    </w:p>
    <w:p>
      <w:pPr>
        <w:spacing w:after="80" w:before="80"/>
      </w:pPr>
      <w:r>
        <w:rPr>
          <w:rFonts w:ascii="Times New Roman" w:cs="Times New Roman" w:eastAsia="Times New Roman" w:hAnsi="Times New Roman"/>
          <w:color w:val="111827"/>
          <w:sz w:val="24"/>
          <w:szCs w:val="24"/>
        </w:rPr>
        <w:t xml:space="preserve">Le Random Forest tuné (AUC-ROC : 0.6428) a été persisté au format </w:t>
      </w:r>
      <w:r>
        <w:rPr>
          <w:rFonts w:ascii="Courier New" w:cs="Courier New" w:eastAsia="Courier New" w:hAnsi="Courier New"/>
          <w:color w:val="2563EB"/>
          <w:sz w:val="20"/>
          <w:szCs w:val="20"/>
        </w:rPr>
        <w:t xml:space="preserve">churn_model.joblib</w:t>
      </w:r>
      <w:r>
        <w:rPr>
          <w:rFonts w:ascii="Times New Roman" w:cs="Times New Roman" w:eastAsia="Times New Roman" w:hAnsi="Times New Roman"/>
          <w:color w:val="111827"/>
          <w:sz w:val="24"/>
          <w:szCs w:val="24"/>
        </w:rPr>
        <w:t xml:space="preserve"> dans </w:t>
      </w:r>
      <w:r>
        <w:rPr>
          <w:rFonts w:ascii="Courier New" w:cs="Courier New" w:eastAsia="Courier New" w:hAnsi="Courier New"/>
          <w:color w:val="2563EB"/>
          <w:sz w:val="20"/>
          <w:szCs w:val="20"/>
        </w:rPr>
        <w:t xml:space="preserve">outputs/model/</w:t>
      </w:r>
      <w:r>
        <w:rPr>
          <w:rFonts w:ascii="Times New Roman" w:cs="Times New Roman" w:eastAsia="Times New Roman" w:hAnsi="Times New Roman"/>
          <w:color w:val="111827"/>
          <w:sz w:val="24"/>
          <w:szCs w:val="24"/>
        </w:rPr>
        <w:t xml:space="preserve">. Il est intégré au dashboard Streamlit (</w:t>
      </w:r>
      <w:r>
        <w:rPr>
          <w:rFonts w:ascii="Courier New" w:cs="Courier New" w:eastAsia="Courier New" w:hAnsi="Courier New"/>
          <w:color w:val="2563EB"/>
          <w:sz w:val="20"/>
          <w:szCs w:val="20"/>
        </w:rPr>
        <w:t xml:space="preserve">src/dashboard.py</w:t>
      </w:r>
      <w:r>
        <w:rPr>
          <w:rFonts w:ascii="Times New Roman" w:cs="Times New Roman" w:eastAsia="Times New Roman" w:hAnsi="Times New Roman"/>
          <w:color w:val="111827"/>
          <w:sz w:val="24"/>
          <w:szCs w:val="24"/>
        </w:rPr>
        <w:t xml:space="preserve">) pour un scoring client en temps réel. Le seuil de détection est fixé à 0.7 : tout client dont le score de churn dépasse ce seuil déclenche une alerte automatique via le workflow n8n vers les Customer Success Managers.</w:t>
      </w:r>
    </w:p>
    <w:p>
      <w:r>
        <w:br w:type="page"/>
      </w:r>
    </w:p>
    <w:p>
      <w:pPr>
        <w:pStyle w:val="Heading1"/>
        <w:pBdr>
          <w:bottom w:val="single" w:color="2563EB" w:sz="8" w:space="4"/>
        </w:pBdr>
        <w:spacing w:after="120" w:before="200"/>
      </w:pPr>
      <w:r>
        <w:rPr>
          <w:rFonts w:ascii="Times New Roman" w:cs="Times New Roman" w:eastAsia="Times New Roman" w:hAnsi="Times New Roman"/>
          <w:b/>
          <w:bCs/>
          <w:color w:val="1F3A6E"/>
          <w:sz w:val="40"/>
          <w:szCs w:val="40"/>
        </w:rPr>
        <w:t xml:space="preserve">5. Guide Commandes Gemini CLI</w:t>
      </w:r>
    </w:p>
    <w:p>
      <w:pPr>
        <w:spacing w:after="80" w:before="80"/>
        <w:jc w:val="both"/>
      </w:pPr>
      <w:r>
        <w:rPr>
          <w:rFonts w:ascii="Times New Roman" w:cs="Times New Roman" w:eastAsia="Times New Roman" w:hAnsi="Times New Roman"/>
          <w:color w:val="111827"/>
          <w:sz w:val="24"/>
          <w:szCs w:val="24"/>
        </w:rPr>
        <w:t xml:space="preserve">Toutes les commandes s'exécutent dans la barre de saisie Gemini CLI (&gt; |). Les commandes git peuvent nécessiter un ! devant si Gemini les intercepte.</w:t>
      </w:r>
    </w:p>
    <w:p>
      <w:pPr>
        <w:spacing w:after="80" w:before="200"/>
      </w:pPr>
      <w:r>
        <w:rPr>
          <w:rFonts w:ascii="Times New Roman" w:cs="Times New Roman" w:eastAsia="Times New Roman" w:hAnsi="Times New Roman"/>
          <w:b/>
          <w:bCs/>
          <w:color w:val="1F3A6E"/>
          <w:sz w:val="24"/>
          <w:szCs w:val="24"/>
        </w:rPr>
        <w:t xml:space="preserve">Commandes Git essentielles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Commande</w:t>
            </w:r>
          </w:p>
        </w:tc>
        <w:tc>
          <w:tcPr>
            <w:tcW w:type="dxa" w:w="516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Action</w:t>
            </w:r>
          </w:p>
        </w:tc>
      </w:tr>
      <w:tr>
        <w:tc>
          <w:tcPr>
            <w:tcW w:type="dxa" w:w="4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8"/>
                <w:szCs w:val="18"/>
              </w:rPr>
              <w:t xml:space="preserve">git add . &amp;&amp; git commit -m "message"</w:t>
            </w:r>
          </w:p>
        </w:tc>
        <w:tc>
          <w:tcPr>
            <w:tcW w:type="dxa" w:w="5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Enregistrer les modifications</w:t>
            </w:r>
          </w:p>
        </w:tc>
      </w:tr>
      <w:tr>
        <w:tc>
          <w:tcPr>
            <w:tcW w:type="dxa" w:w="4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8"/>
                <w:szCs w:val="18"/>
              </w:rPr>
              <w:t xml:space="preserve">git push origin etya-ale</w:t>
            </w:r>
          </w:p>
        </w:tc>
        <w:tc>
          <w:tcPr>
            <w:tcW w:type="dxa" w:w="5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Envoyer vers GitHub</w:t>
            </w:r>
          </w:p>
        </w:tc>
      </w:tr>
      <w:tr>
        <w:tc>
          <w:tcPr>
            <w:tcW w:type="dxa" w:w="4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8"/>
                <w:szCs w:val="18"/>
              </w:rPr>
              <w:t xml:space="preserve">!git push origin etya-ale</w:t>
            </w:r>
          </w:p>
        </w:tc>
        <w:tc>
          <w:tcPr>
            <w:tcW w:type="dxa" w:w="5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Si Gemini intercepte la commande</w:t>
            </w:r>
          </w:p>
        </w:tc>
      </w:tr>
      <w:tr>
        <w:tc>
          <w:tcPr>
            <w:tcW w:type="dxa" w:w="4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8"/>
                <w:szCs w:val="18"/>
              </w:rPr>
              <w:t xml:space="preserve">git merge main</w:t>
            </w:r>
          </w:p>
        </w:tc>
        <w:tc>
          <w:tcPr>
            <w:tcW w:type="dxa" w:w="5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Synchroniser avec la branche principale</w:t>
            </w:r>
          </w:p>
        </w:tc>
      </w:tr>
      <w:tr>
        <w:tc>
          <w:tcPr>
            <w:tcW w:type="dxa" w:w="4200"/>
            <w:tcBorders>
              <w:top w:val="single" w:color="E5E7EB" w:sz="1"/>
              <w:left w:val="single" w:color="E5E7EB" w:sz="1"/>
              <w:bottom w:val="single" w:color="E5E7EB" w:sz="1"/>
              <w:right w:val="single" w:color="E5E7EB" w:sz="1"/>
            </w:tcBorders>
            <w:shd w:fill="F3F4F6" w:val="clear"/>
            <w:tcMar>
              <w:top w:type="dxa" w:w="80"/>
              <w:left w:type="dxa" w:w="120"/>
              <w:bottom w:type="dxa" w:w="80"/>
              <w:right w:type="dxa" w:w="120"/>
            </w:tcMar>
          </w:tcPr>
          <w:p>
            <w:r>
              <w:rPr>
                <w:rFonts w:ascii="Courier New" w:cs="Courier New" w:eastAsia="Courier New" w:hAnsi="Courier New"/>
                <w:color w:val="2563EB"/>
                <w:sz w:val="18"/>
                <w:szCs w:val="18"/>
              </w:rPr>
              <w:t xml:space="preserve">git reset --hard [hash]</w:t>
            </w:r>
          </w:p>
        </w:tc>
        <w:tc>
          <w:tcPr>
            <w:tcW w:type="dxa" w:w="5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Times New Roman" w:cs="Times New Roman" w:eastAsia="Times New Roman" w:hAnsi="Times New Roman"/>
                <w:color w:val="111827"/>
                <w:sz w:val="20"/>
                <w:szCs w:val="20"/>
              </w:rPr>
              <w:t xml:space="preserve">Revenir à un commit précédent</w:t>
            </w:r>
          </w:p>
        </w:tc>
      </w:tr>
    </w:tbl>
    <w:p>
      <w:pPr>
        <w:spacing w:after="80" w:before="200"/>
      </w:pPr>
      <w:r>
        <w:rPr>
          <w:rFonts w:ascii="Times New Roman" w:cs="Times New Roman" w:eastAsia="Times New Roman" w:hAnsi="Times New Roman"/>
          <w:b/>
          <w:bCs/>
          <w:color w:val="1F3A6E"/>
          <w:sz w:val="24"/>
          <w:szCs w:val="24"/>
        </w:rPr>
        <w:t xml:space="preserve">Commandes agents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Agent</w:t>
            </w:r>
          </w:p>
        </w:tc>
        <w:tc>
          <w:tcPr>
            <w:tcW w:type="dxa" w:w="7160"/>
            <w:tcBorders>
              <w:top w:val="single" w:color="1F3A6E" w:sz="1"/>
              <w:left w:val="single" w:color="1F3A6E" w:sz="1"/>
              <w:bottom w:val="single" w:color="1F3A6E" w:sz="1"/>
              <w:right w:val="single" w:color="1F3A6E" w:sz="1"/>
            </w:tcBorders>
            <w:shd w:fill="1F3A6E" w:val="clear"/>
            <w:tcMar>
              <w:top w:type="dxa" w:w="100"/>
              <w:left w:type="dxa" w:w="120"/>
              <w:bottom w:type="dxa" w:w="100"/>
              <w:right w:type="dxa" w:w="120"/>
            </w:tcMar>
          </w:tcPr>
          <w:p>
            <w:pPr>
              <w:jc w:val="center"/>
            </w:pPr>
            <w:r>
              <w:rPr>
                <w:rFonts w:ascii="Times New Roman" w:cs="Times New Roman" w:eastAsia="Times New Roman" w:hAnsi="Times New Roman"/>
                <w:b/>
                <w:bCs/>
                <w:color w:val="FFFFFF"/>
                <w:sz w:val="20"/>
                <w:szCs w:val="20"/>
              </w:rPr>
              <w:t xml:space="preserve">Commande type</w:t>
            </w:r>
          </w:p>
        </w:tc>
      </w:tr>
      <w:tr>
        <w:tc>
          <w:tcPr>
            <w:tcW w:type="dxa" w:w="22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Courier New" w:cs="Courier New" w:eastAsia="Courier New" w:hAnsi="Courier New"/>
                <w:b/>
                <w:bCs/>
                <w:color w:val="1F3A6E"/>
                <w:sz w:val="19"/>
                <w:szCs w:val="19"/>
              </w:rPr>
              <w:t xml:space="preserve">data-cleaner</w:t>
            </w:r>
          </w:p>
        </w:tc>
        <w:tc>
          <w:tcPr>
            <w:tcW w:type="dxa" w:w="7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Courier New" w:cs="Courier New" w:eastAsia="Courier New" w:hAnsi="Courier New"/>
                <w:color w:val="111827"/>
                <w:sz w:val="18"/>
                <w:szCs w:val="18"/>
              </w:rPr>
              <w:t xml:space="preserve">@data-cleaner Nettoie les 5 fichiers CSV dans data/raw/ et sauvegarde dans outputs/cleaned/</w:t>
            </w:r>
          </w:p>
        </w:tc>
      </w:tr>
      <w:tr>
        <w:tc>
          <w:tcPr>
            <w:tcW w:type="dxa" w:w="22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Courier New" w:cs="Courier New" w:eastAsia="Courier New" w:hAnsi="Courier New"/>
                <w:b/>
                <w:bCs/>
                <w:color w:val="1F3A6E"/>
                <w:sz w:val="19"/>
                <w:szCs w:val="19"/>
              </w:rPr>
              <w:t xml:space="preserve">feature-engineer</w:t>
            </w:r>
          </w:p>
        </w:tc>
        <w:tc>
          <w:tcPr>
            <w:tcW w:type="dxa" w:w="7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Courier New" w:cs="Courier New" w:eastAsia="Courier New" w:hAnsi="Courier New"/>
                <w:color w:val="111827"/>
                <w:sz w:val="18"/>
                <w:szCs w:val="18"/>
              </w:rPr>
              <w:t xml:space="preserve">@feature-engineer Crée les 10 variables prioritaires à partir des CSV dans outputs/cleaned/</w:t>
            </w:r>
          </w:p>
        </w:tc>
      </w:tr>
      <w:tr>
        <w:tc>
          <w:tcPr>
            <w:tcW w:type="dxa" w:w="22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Courier New" w:cs="Courier New" w:eastAsia="Courier New" w:hAnsi="Courier New"/>
                <w:b/>
                <w:bCs/>
                <w:color w:val="1F3A6E"/>
                <w:sz w:val="19"/>
                <w:szCs w:val="19"/>
              </w:rPr>
              <w:t xml:space="preserve">data-merger</w:t>
            </w:r>
          </w:p>
        </w:tc>
        <w:tc>
          <w:tcPr>
            <w:tcW w:type="dxa" w:w="7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Courier New" w:cs="Courier New" w:eastAsia="Courier New" w:hAnsi="Courier New"/>
                <w:color w:val="111827"/>
                <w:sz w:val="18"/>
                <w:szCs w:val="18"/>
              </w:rPr>
              <w:t xml:space="preserve">@data-merger Fusionne toutes les tables de outputs/features/ en un seul fichier outputs/dataset_final.csv</w:t>
            </w:r>
          </w:p>
        </w:tc>
      </w:tr>
      <w:tr>
        <w:tc>
          <w:tcPr>
            <w:tcW w:type="dxa" w:w="22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r>
              <w:rPr>
                <w:rFonts w:ascii="Courier New" w:cs="Courier New" w:eastAsia="Courier New" w:hAnsi="Courier New"/>
                <w:b/>
                <w:bCs/>
                <w:color w:val="1F3A6E"/>
                <w:sz w:val="19"/>
                <w:szCs w:val="19"/>
              </w:rPr>
              <w:t xml:space="preserve">model-trainer</w:t>
            </w:r>
          </w:p>
        </w:tc>
        <w:tc>
          <w:tcPr>
            <w:tcW w:type="dxa" w:w="71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Courier New" w:cs="Courier New" w:eastAsia="Courier New" w:hAnsi="Courier New"/>
                <w:color w:val="111827"/>
                <w:sz w:val="18"/>
                <w:szCs w:val="18"/>
              </w:rPr>
              <w:t xml:space="preserve">@model-trainer Entraîne un modèle Random Forest sur outputs/dataset_final.csv, variable cible churn_flag, évalue avec AUC-ROC</w:t>
            </w:r>
          </w:p>
        </w:tc>
      </w:tr>
    </w:tbl>
    <w:p>
      <w:r>
        <w:br w:type="page"/>
      </w:r>
    </w:p>
    <w:p>
      <w:pPr>
        <w:pStyle w:val="Heading1"/>
        <w:pBdr>
          <w:bottom w:val="single" w:color="2563EB" w:sz="8" w:space="4"/>
        </w:pBdr>
        <w:spacing w:after="120" w:before="200"/>
      </w:pPr>
      <w:r>
        <w:rPr>
          <w:rFonts w:ascii="Times New Roman" w:cs="Times New Roman" w:eastAsia="Times New Roman" w:hAnsi="Times New Roman"/>
          <w:b/>
          <w:bCs/>
          <w:color w:val="1F3A6E"/>
          <w:sz w:val="40"/>
          <w:szCs w:val="40"/>
        </w:rPr>
        <w:t xml:space="preserve">6. Prochaines Étapes</w:t>
      </w:r>
    </w:p>
    <w:p>
      <w:pPr>
        <w:spacing w:after="80" w:before="160"/>
      </w:pPr>
      <w:r>
        <w:rPr>
          <w:rFonts w:ascii="Times New Roman" w:cs="Times New Roman" w:eastAsia="Times New Roman" w:hAnsi="Times New Roman"/>
          <w:b/>
          <w:bCs/>
          <w:color w:val="2563EB"/>
          <w:sz w:val="24"/>
          <w:szCs w:val="24"/>
        </w:rPr>
        <w:t xml:space="preserve">Actions immédiates (Sprint 4 — 26 mai 2026)</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Rédiger la section 3 du dossier de conception (modélisation + résultats AUC)</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Créer le standup docs/standups/2026-04-27.md</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Valider que sorties/modèles/churn_model.joblib est bien sur GitHub</w:t>
      </w:r>
    </w:p>
    <w:p>
      <w:pPr>
        <w:spacing w:after="80" w:before="160"/>
      </w:pPr>
      <w:r>
        <w:rPr>
          <w:rFonts w:ascii="Times New Roman" w:cs="Times New Roman" w:eastAsia="Times New Roman" w:hAnsi="Times New Roman"/>
          <w:b/>
          <w:bCs/>
          <w:color w:val="EA580C"/>
          <w:sz w:val="24"/>
          <w:szCs w:val="24"/>
        </w:rPr>
        <w:t xml:space="preserve">Sprint 4 — Soutenance (26-29 mai 2026)</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Créer la Pull Request : etya-ale → main sur GitHub</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Finaliser le dossier de conception complet (sections 1 à 4)</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Lancer le dashboard : streamlit run src/dashboard.py</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Préparer le script de présentation orale (environ 15 minutes)</w:t>
      </w:r>
    </w:p>
    <w:p>
      <w:pPr>
        <w:pStyle w:val="ListParagraph"/>
        <w:numPr>
          <w:ilvl w:val="0"/>
          <w:numId w:val="2"/>
        </w:numPr>
        <w:spacing w:after="60" w:before="60"/>
      </w:pPr>
      <w:r>
        <w:rPr>
          <w:rFonts w:ascii="Times New Roman" w:cs="Times New Roman" w:eastAsia="Times New Roman" w:hAnsi="Times New Roman"/>
          <w:color w:val="111827"/>
          <w:sz w:val="21"/>
          <w:szCs w:val="21"/>
        </w:rPr>
        <w:t xml:space="preserve">Vérifier que tous les livrables sont accessibles sur la branche main</w:t>
      </w:r>
    </w:p>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8"/>
              <w:left w:val="single" w:color="2563EB" w:sz="16"/>
              <w:bottom w:val="single" w:color="D1D5DB" w:sz="1"/>
              <w:right w:val="single" w:color="D1D5DB" w:sz="1"/>
            </w:tcBorders>
            <w:shd w:fill="DBEAFE" w:val="clear"/>
            <w:tcMar>
              <w:top w:type="dxa" w:w="100"/>
              <w:left w:type="dxa" w:w="160"/>
              <w:bottom w:type="dxa" w:w="100"/>
              <w:right w:type="dxa" w:w="160"/>
            </w:tcMar>
          </w:tcPr>
          <w:p>
            <w:r>
              <w:rPr>
                <w:rFonts w:ascii="Times New Roman" w:cs="Times New Roman" w:eastAsia="Times New Roman" w:hAnsi="Times New Roman"/>
                <w:b/>
                <w:bCs/>
                <w:color w:val="2563EB"/>
                <w:sz w:val="24"/>
                <w:szCs w:val="24"/>
              </w:rPr>
              <w:t xml:space="preserve">Rappel — Lancer le dashboard Streamlit</w:t>
            </w:r>
          </w:p>
          <w:p>
            <w:pPr>
              <w:spacing w:before="40"/>
            </w:pPr>
            <w:r>
              <w:rPr>
                <w:rFonts w:ascii="Times New Roman" w:cs="Times New Roman" w:eastAsia="Times New Roman" w:hAnsi="Times New Roman"/>
                <w:color w:val="111827"/>
                <w:sz w:val="20"/>
                <w:szCs w:val="20"/>
              </w:rPr>
              <w:t xml:space="preserve">Dans VS Code ou un terminal, tape : streamlit run src/dashboard.py
Le dashboard s'ouvre automatiquement dans le navigateur sur localhost:8501</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6A34A" w:sz="8"/>
              <w:left w:val="single" w:color="16A34A" w:sz="16"/>
              <w:bottom w:val="single" w:color="D1D5DB" w:sz="1"/>
              <w:right w:val="single" w:color="D1D5DB" w:sz="1"/>
            </w:tcBorders>
            <w:shd w:fill="DCFCE7" w:val="clear"/>
            <w:tcMar>
              <w:top w:type="dxa" w:w="100"/>
              <w:left w:type="dxa" w:w="160"/>
              <w:bottom w:type="dxa" w:w="100"/>
              <w:right w:type="dxa" w:w="160"/>
            </w:tcMar>
          </w:tcPr>
          <w:p>
            <w:r>
              <w:rPr>
                <w:rFonts w:ascii="Times New Roman" w:cs="Times New Roman" w:eastAsia="Times New Roman" w:hAnsi="Times New Roman"/>
                <w:b/>
                <w:bCs/>
                <w:color w:val="16A34A"/>
                <w:sz w:val="24"/>
                <w:szCs w:val="24"/>
              </w:rPr>
              <w:t xml:space="preserve">Rappel — Pull Request GitHub</w:t>
            </w:r>
          </w:p>
          <w:p>
            <w:pPr>
              <w:spacing w:before="40"/>
            </w:pPr>
            <w:r>
              <w:rPr>
                <w:rFonts w:ascii="Times New Roman" w:cs="Times New Roman" w:eastAsia="Times New Roman" w:hAnsi="Times New Roman"/>
                <w:color w:val="111827"/>
                <w:sz w:val="20"/>
                <w:szCs w:val="20"/>
              </w:rPr>
              <w:t xml:space="preserve">Sur GitHub, va sur ta branche etya-ale et clique sur le bouton vert 'Comparer &amp; créer une pull request' pour fusionner dans main.</w:t>
            </w:r>
          </w:p>
        </w:tc>
      </w:tr>
    </w:tbl>
    <w:p>
      <w:r>
        <w:br w:type="page"/>
      </w:r>
    </w:p>
    <w:p>
      <w:pPr>
        <w:pStyle w:val="Heading1"/>
        <w:pBdr>
          <w:bottom w:val="single" w:color="2563EB" w:sz="8" w:space="4"/>
        </w:pBdr>
        <w:spacing w:after="120" w:before="200"/>
      </w:pPr>
      <w:r>
        <w:rPr>
          <w:rFonts w:ascii="Times New Roman" w:cs="Times New Roman" w:eastAsia="Times New Roman" w:hAnsi="Times New Roman"/>
          <w:b/>
          <w:bCs/>
          <w:color w:val="1F3A6E"/>
          <w:sz w:val="40"/>
          <w:szCs w:val="40"/>
        </w:rPr>
        <w:t xml:space="preserve">4. D7. Déploiement — Section 4#xE9;ploiement &amp; Mise en production</w:t>
      </w:r>
    </w:p>
    <w:p>
      <w:pPr>
        <w:spacing w:after="80" w:before="200"/>
      </w:pPr>
      <w:r>
        <w:rPr>
          <w:rFonts w:ascii="Times New Roman" w:cs="Times New Roman" w:eastAsia="Times New Roman" w:hAnsi="Times New Roman"/>
          <w:b/>
          <w:bCs/>
          <w:color w:val="1F3A6E"/>
          <w:sz w:val="28"/>
          <w:szCs w:val="28"/>
        </w:rPr>
        <w:t xml:space="preserve">7.1 Segmentation risque / valeur</w:t>
      </w:r>
    </w:p>
    <w:p>
      <w:pPr>
        <w:spacing w:after="80" w:before="80"/>
      </w:pPr>
      <w:r>
        <w:rPr>
          <w:rFonts w:ascii="Times New Roman" w:cs="Times New Roman" w:eastAsia="Times New Roman" w:hAnsi="Times New Roman"/>
          <w:color w:val="111827"/>
          <w:sz w:val="24"/>
          <w:szCs w:val="24"/>
        </w:rPr>
        <w:t xml:space="preserve">Plutôt qu’un clustering automatique (K-means), nous avons retenu une matrice risque/valeur à quatre quadrants. Ce choix est justifié par sa lisibilité métier : chaque quadrant correspond directement à une décision actionnable par les équipes Customer Success, sans interprétation technique supplémentaire.</w:t>
      </w:r>
    </w:p>
    <w:p>
      <w:pPr>
        <w:spacing w:after="60" w:before="80"/>
      </w:pPr>
      <w:r>
        <w:rPr>
          <w:rFonts w:ascii="Times New Roman" w:cs="Times New Roman" w:eastAsia="Times New Roman" w:hAnsi="Times New Roman"/>
          <w:b/>
          <w:bCs/>
          <w:color w:val="111827"/>
          <w:sz w:val="24"/>
          <w:szCs w:val="24"/>
        </w:rPr>
        <w:t xml:space="preserve">Définition des seuils :</w:t>
      </w:r>
      <w:r>
        <w:rPr>
          <w:rFonts w:ascii="Times New Roman" w:cs="Times New Roman" w:eastAsia="Times New Roman" w:hAnsi="Times New Roman"/>
          <w:color w:val="111827"/>
          <w:sz w:val="24"/>
          <w:szCs w:val="24"/>
        </w:rPr>
        <w:t xml:space="preserve"> Le seuil de valeur est fixé sur la médiane du MRR (1 923 €). Le seuil de risque est fixé à 0.7 de score de churn (niveau “high”). Ces deux seuils produisent quatre quadrants : Priorité maximale (86 comptes), Action automatisée (101 comptes), Fidéliser (164 comptes), Aucune action (149 comptes).</w:t>
      </w:r>
    </w:p>
    <w:p>
      <w:pPr>
        <w:spacing w:after="80" w:before="200"/>
      </w:pPr>
      <w:r>
        <w:rPr>
          <w:rFonts w:ascii="Times New Roman" w:cs="Times New Roman" w:eastAsia="Times New Roman" w:hAnsi="Times New Roman"/>
          <w:b/>
          <w:bCs/>
          <w:color w:val="1F3A6E"/>
          <w:sz w:val="28"/>
          <w:szCs w:val="28"/>
        </w:rPr>
        <w:t xml:space="preserve">7.2 Dashboard Streamlit</w:t>
      </w:r>
    </w:p>
    <w:p>
      <w:pPr>
        <w:spacing w:after="80" w:before="80"/>
      </w:pPr>
      <w:r>
        <w:rPr>
          <w:rFonts w:ascii="Times New Roman" w:cs="Times New Roman" w:eastAsia="Times New Roman" w:hAnsi="Times New Roman"/>
          <w:color w:val="111827"/>
          <w:sz w:val="24"/>
          <w:szCs w:val="24"/>
        </w:rPr>
        <w:t xml:space="preserve">Le dashboard Streamlit (</w:t>
      </w:r>
      <w:r>
        <w:rPr>
          <w:rFonts w:ascii="Courier New" w:cs="Courier New" w:eastAsia="Courier New" w:hAnsi="Courier New"/>
          <w:color w:val="2563EB"/>
          <w:sz w:val="20"/>
          <w:szCs w:val="20"/>
        </w:rPr>
        <w:t xml:space="preserve">src/dashboard.py</w:t>
      </w:r>
      <w:r>
        <w:rPr>
          <w:rFonts w:ascii="Times New Roman" w:cs="Times New Roman" w:eastAsia="Times New Roman" w:hAnsi="Times New Roman"/>
          <w:color w:val="111827"/>
          <w:sz w:val="24"/>
          <w:szCs w:val="24"/>
        </w:rPr>
        <w:t xml:space="preserve">) a été structuré en trois vues complémentaires conçues pour un public non technique.</w:t>
      </w:r>
    </w:p>
    <w:p>
      <w:pPr>
        <w:spacing w:after="60" w:before="60"/>
        <w:ind w:left="360"/>
      </w:pPr>
      <w:r>
        <w:rPr>
          <w:rFonts w:ascii="Times New Roman" w:cs="Times New Roman" w:eastAsia="Times New Roman" w:hAnsi="Times New Roman"/>
          <w:b/>
          <w:bCs/>
          <w:color w:val="1F3A6E"/>
          <w:sz w:val="24"/>
          <w:szCs w:val="24"/>
        </w:rPr>
        <w:t xml:space="preserve">Vue Portefeuille</w:t>
      </w:r>
      <w:r>
        <w:rPr>
          <w:rFonts w:ascii="Times New Roman" w:cs="Times New Roman" w:eastAsia="Times New Roman" w:hAnsi="Times New Roman"/>
          <w:color w:val="374151"/>
          <w:sz w:val="24"/>
          <w:szCs w:val="24"/>
        </w:rPr>
        <w:t xml:space="preserve"> — KPIs globaux (500 comptes, 37.4% à risque élevé, 370 913 € de MRR à risque), distribution des scores et répartition par quadrant.</w:t>
      </w:r>
    </w:p>
    <w:p>
      <w:pPr>
        <w:spacing w:after="60" w:before="60"/>
        <w:ind w:left="360"/>
      </w:pPr>
      <w:r>
        <w:rPr>
          <w:rFonts w:ascii="Times New Roman" w:cs="Times New Roman" w:eastAsia="Times New Roman" w:hAnsi="Times New Roman"/>
          <w:b/>
          <w:bCs/>
          <w:color w:val="1F3A6E"/>
          <w:sz w:val="24"/>
          <w:szCs w:val="24"/>
        </w:rPr>
        <w:t xml:space="preserve">Vue Priorisation</w:t>
      </w:r>
      <w:r>
        <w:rPr>
          <w:rFonts w:ascii="Times New Roman" w:cs="Times New Roman" w:eastAsia="Times New Roman" w:hAnsi="Times New Roman"/>
          <w:color w:val="374151"/>
          <w:sz w:val="24"/>
          <w:szCs w:val="24"/>
        </w:rPr>
        <w:t xml:space="preserve"> — Matrice risque/valeur interactive et tableau filtrable par quadrant, niveau de risque et score de churn décroissant.</w:t>
      </w:r>
    </w:p>
    <w:p>
      <w:pPr>
        <w:spacing w:after="60" w:before="60"/>
        <w:ind w:left="360"/>
      </w:pPr>
      <w:r>
        <w:rPr>
          <w:rFonts w:ascii="Times New Roman" w:cs="Times New Roman" w:eastAsia="Times New Roman" w:hAnsi="Times New Roman"/>
          <w:b/>
          <w:bCs/>
          <w:color w:val="1F3A6E"/>
          <w:sz w:val="24"/>
          <w:szCs w:val="24"/>
        </w:rPr>
        <w:t xml:space="preserve">Vue Fiche compte</w:t>
      </w:r>
      <w:r>
        <w:rPr>
          <w:rFonts w:ascii="Times New Roman" w:cs="Times New Roman" w:eastAsia="Times New Roman" w:hAnsi="Times New Roman"/>
          <w:color w:val="374151"/>
          <w:sz w:val="24"/>
          <w:szCs w:val="24"/>
        </w:rPr>
        <w:t xml:space="preserve"> — Profil individuel par compte : score, quadrant, MRR, action recommandée et signaux précurseurs (error_rate, avg_resolution_time, tenure_days).</w:t>
      </w:r>
    </w:p>
    <w:p>
      <w:pPr>
        <w:spacing w:after="60" w:before="80"/>
      </w:pPr>
      <w:r>
        <w:rPr>
          <w:rFonts w:ascii="Times New Roman" w:cs="Times New Roman" w:eastAsia="Times New Roman" w:hAnsi="Times New Roman"/>
          <w:b/>
          <w:bCs/>
          <w:color w:val="111827"/>
          <w:sz w:val="24"/>
          <w:szCs w:val="24"/>
        </w:rPr>
        <w:t xml:space="preserve">Accessibilité (WCAG) :</w:t>
      </w:r>
      <w:r>
        <w:rPr>
          <w:rFonts w:ascii="Times New Roman" w:cs="Times New Roman" w:eastAsia="Times New Roman" w:hAnsi="Times New Roman"/>
          <w:color w:val="111827"/>
          <w:sz w:val="24"/>
          <w:szCs w:val="24"/>
        </w:rPr>
        <w:t xml:space="preserve"> Les couleurs utilisées (vert/orange/rouge) sont complétées par des libellés textuels (low/medium/high) pour garantir la lisibilité aux utilisateurs daltoniens. Le dashboard est conçu pour être compréhensible sans formation technique préalable.</w:t>
      </w:r>
    </w:p>
    <w:p>
      <w:pPr>
        <w:spacing w:after="80" w:before="200"/>
      </w:pPr>
      <w:r>
        <w:rPr>
          <w:rFonts w:ascii="Times New Roman" w:cs="Times New Roman" w:eastAsia="Times New Roman" w:hAnsi="Times New Roman"/>
          <w:b/>
          <w:bCs/>
          <w:color w:val="1F3A6E"/>
          <w:sz w:val="28"/>
          <w:szCs w:val="28"/>
        </w:rPr>
        <w:t xml:space="preserve">7.3 Recommandations et mesure d’impact</w:t>
      </w:r>
    </w:p>
    <w:p>
      <w:pPr>
        <w:spacing w:after="60" w:before="80"/>
      </w:pPr>
      <w:r>
        <w:rPr>
          <w:rFonts w:ascii="Times New Roman" w:cs="Times New Roman" w:eastAsia="Times New Roman" w:hAnsi="Times New Roman"/>
          <w:b/>
          <w:bCs/>
          <w:color w:val="111827"/>
          <w:sz w:val="24"/>
          <w:szCs w:val="24"/>
        </w:rPr>
        <w:t xml:space="preserve">ROI estimé :</w:t>
      </w:r>
      <w:r>
        <w:rPr>
          <w:rFonts w:ascii="Times New Roman" w:cs="Times New Roman" w:eastAsia="Times New Roman" w:hAnsi="Times New Roman"/>
          <w:color w:val="111827"/>
          <w:sz w:val="24"/>
          <w:szCs w:val="24"/>
        </w:rPr>
        <w:t xml:space="preserve"> Le MRR total à risque est de 370 913 €. En retenant 30% des comptes à priorité maximale via des appels CSM (coût estimé : 50 €/appel × 86 = 4 300 €), on peut sauvegarder environ 33 000 € de MRR mensuel, soit un ROI de 7.7x dès le premier mois.</w:t>
      </w:r>
    </w:p>
    <w:p>
      <w:pPr>
        <w:spacing w:after="60" w:before="60"/>
      </w:pPr>
      <w:r>
        <w:rPr>
          <w:rFonts w:ascii="Times New Roman" w:cs="Times New Roman" w:eastAsia="Times New Roman" w:hAnsi="Times New Roman"/>
          <w:b/>
          <w:bCs/>
          <w:color w:val="111827"/>
          <w:sz w:val="24"/>
          <w:szCs w:val="24"/>
        </w:rPr>
        <w:t xml:space="preserve">Protocole de mesure d’impact :</w:t>
      </w:r>
      <w:r>
        <w:rPr>
          <w:rFonts w:ascii="Times New Roman" w:cs="Times New Roman" w:eastAsia="Times New Roman" w:hAnsi="Times New Roman"/>
          <w:color w:val="111827"/>
          <w:sz w:val="24"/>
          <w:szCs w:val="24"/>
        </w:rPr>
        <w:t xml:space="preserve"> Les comptes à risque élevé sont divisés en deux groupes égaux. Le groupe traité reçoit l’action de rétention (appel CSM ou email), le groupe témoin ne reçoit rien. Après 30 jours, on compare les taux de rétention. L’uplift (différence entre les deux groupes) mesure l’effet réel de l’action. Les KPI suivis sont : taux de rétention, MRR sauvé, coût par compte retenu.</w:t>
      </w:r>
    </w:p>
    <w:p>
      <w:pPr>
        <w:spacing w:after="80" w:before="200"/>
      </w:pPr>
      <w:r>
        <w:rPr>
          <w:rFonts w:ascii="Times New Roman" w:cs="Times New Roman" w:eastAsia="Times New Roman" w:hAnsi="Times New Roman"/>
          <w:b/>
          <w:bCs/>
          <w:color w:val="1F3A6E"/>
          <w:sz w:val="28"/>
          <w:szCs w:val="28"/>
        </w:rPr>
        <w:t xml:space="preserve">7.4 Bilan des agents IA — 4 sprints</w:t>
      </w:r>
    </w:p>
    <w:p>
      <w:pPr>
        <w:spacing w:after="60" w:before="60"/>
        <w:ind w:left="360"/>
      </w:pPr>
      <w:r>
        <w:rPr>
          <w:rFonts w:ascii="Times New Roman" w:cs="Times New Roman" w:eastAsia="Times New Roman" w:hAnsi="Times New Roman"/>
          <w:b/>
          <w:bCs/>
          <w:color w:val="2563EB"/>
          <w:sz w:val="24"/>
          <w:szCs w:val="24"/>
        </w:rPr>
        <w:t xml:space="preserve">data-cleaner.md (Sprint 2)</w:t>
      </w:r>
      <w:r>
        <w:rPr>
          <w:rFonts w:ascii="Times New Roman" w:cs="Times New Roman" w:eastAsia="Times New Roman" w:hAnsi="Times New Roman"/>
          <w:color w:val="374151"/>
          <w:sz w:val="24"/>
          <w:szCs w:val="24"/>
        </w:rPr>
        <w:t xml:space="preserve"> — Nettoyage des 5 CSV. Très efficace, aucune intervention manuelle requise.</w:t>
      </w:r>
    </w:p>
    <w:p>
      <w:pPr>
        <w:spacing w:after="60" w:before="60"/>
        <w:ind w:left="360"/>
      </w:pPr>
      <w:r>
        <w:rPr>
          <w:rFonts w:ascii="Times New Roman" w:cs="Times New Roman" w:eastAsia="Times New Roman" w:hAnsi="Times New Roman"/>
          <w:b/>
          <w:bCs/>
          <w:color w:val="2563EB"/>
          <w:sz w:val="24"/>
          <w:szCs w:val="24"/>
        </w:rPr>
        <w:t xml:space="preserve">feature-engineer.md (Sprint 2)</w:t>
      </w:r>
      <w:r>
        <w:rPr>
          <w:rFonts w:ascii="Times New Roman" w:cs="Times New Roman" w:eastAsia="Times New Roman" w:hAnsi="Times New Roman"/>
          <w:color w:val="374151"/>
          <w:sz w:val="24"/>
          <w:szCs w:val="24"/>
        </w:rPr>
        <w:t xml:space="preserve"> — Création de 10 variables métier. Bon résultat, quelques ajustements manuels sur les encodages catégoriels.</w:t>
      </w:r>
    </w:p>
    <w:p>
      <w:pPr>
        <w:spacing w:after="60" w:before="60"/>
        <w:ind w:left="360"/>
      </w:pPr>
      <w:r>
        <w:rPr>
          <w:rFonts w:ascii="Times New Roman" w:cs="Times New Roman" w:eastAsia="Times New Roman" w:hAnsi="Times New Roman"/>
          <w:b/>
          <w:bCs/>
          <w:color w:val="2563EB"/>
          <w:sz w:val="24"/>
          <w:szCs w:val="24"/>
        </w:rPr>
        <w:t xml:space="preserve">model-trainer.md (Sprint 3)</w:t>
      </w:r>
      <w:r>
        <w:rPr>
          <w:rFonts w:ascii="Times New Roman" w:cs="Times New Roman" w:eastAsia="Times New Roman" w:hAnsi="Times New Roman"/>
          <w:color w:val="374151"/>
          <w:sz w:val="24"/>
          <w:szCs w:val="24"/>
        </w:rPr>
        <w:t xml:space="preserve"> — Entraînement et optimisation du Random Forest. AUC-ROC passé de 0.5865 à 0.6428 grâce au GridSearchCV automatisé.</w:t>
      </w:r>
    </w:p>
    <w:p>
      <w:pPr>
        <w:spacing w:after="60" w:before="60"/>
        <w:ind w:left="360"/>
      </w:pPr>
      <w:r>
        <w:rPr>
          <w:rFonts w:ascii="Times New Roman" w:cs="Times New Roman" w:eastAsia="Times New Roman" w:hAnsi="Times New Roman"/>
          <w:b/>
          <w:bCs/>
          <w:color w:val="2563EB"/>
          <w:sz w:val="24"/>
          <w:szCs w:val="24"/>
        </w:rPr>
        <w:t xml:space="preserve">deploiement.md (Sprint 4)</w:t>
      </w:r>
      <w:r>
        <w:rPr>
          <w:rFonts w:ascii="Times New Roman" w:cs="Times New Roman" w:eastAsia="Times New Roman" w:hAnsi="Times New Roman"/>
          <w:color w:val="374151"/>
          <w:sz w:val="24"/>
          <w:szCs w:val="24"/>
        </w:rPr>
        <w:t xml:space="preserve"> — Génération du dashboard Streamlit et de la priorisation. Le format YAML frontmatter a dû être ajouté manuellement pour compatibilité avec la nouvelle version de Gemini CLI.</w:t>
      </w:r>
    </w:p>
    <w:p>
      <w:pPr>
        <w:spacing w:after="80" w:before="200"/>
      </w:pPr>
      <w:r>
        <w:rPr>
          <w:rFonts w:ascii="Times New Roman" w:cs="Times New Roman" w:eastAsia="Times New Roman" w:hAnsi="Times New Roman"/>
          <w:b/>
          <w:bCs/>
          <w:color w:val="1F3A6E"/>
          <w:sz w:val="28"/>
          <w:szCs w:val="28"/>
        </w:rPr>
        <w:t xml:space="preserve">7.5 Limites et perspectives</w:t>
      </w:r>
    </w:p>
    <w:p>
      <w:pPr>
        <w:spacing w:after="60" w:before="60"/>
        <w:ind w:left="360"/>
      </w:pPr>
      <w:r>
        <w:rPr>
          <w:rFonts w:ascii="Times New Roman" w:cs="Times New Roman" w:eastAsia="Times New Roman" w:hAnsi="Times New Roman"/>
          <w:b/>
          <w:bCs/>
          <w:color w:val="111827"/>
          <w:sz w:val="24"/>
          <w:szCs w:val="24"/>
        </w:rPr>
        <w:t xml:space="preserve">Limites du modèle actuel :</w:t>
      </w:r>
      <w:r>
        <w:rPr>
          <w:rFonts w:ascii="Times New Roman" w:cs="Times New Roman" w:eastAsia="Times New Roman" w:hAnsi="Times New Roman"/>
          <w:color w:val="374151"/>
          <w:sz w:val="24"/>
          <w:szCs w:val="24"/>
        </w:rPr>
        <w:t xml:space="preserve"> Dataset limité à 500 lignes — un volume plus important améliorerait significativement l’AUC. Le modèle ne capture pas les signaux qualitatifs (satisfaction NPS, interactions commerciales). L’AUC de 0.6428 reste modérée et doit être interprétée avec prudence.</w:t>
      </w:r>
    </w:p>
    <w:p>
      <w:pPr>
        <w:spacing w:after="60" w:before="60"/>
        <w:ind w:left="360"/>
      </w:pPr>
      <w:r>
        <w:rPr>
          <w:rFonts w:ascii="Times New Roman" w:cs="Times New Roman" w:eastAsia="Times New Roman" w:hAnsi="Times New Roman"/>
          <w:b/>
          <w:bCs/>
          <w:color w:val="111827"/>
          <w:sz w:val="24"/>
          <w:szCs w:val="24"/>
        </w:rPr>
        <w:t xml:space="preserve">Perspectives d’amélioration :</w:t>
      </w:r>
      <w:r>
        <w:rPr>
          <w:rFonts w:ascii="Times New Roman" w:cs="Times New Roman" w:eastAsia="Times New Roman" w:hAnsi="Times New Roman"/>
          <w:color w:val="374151"/>
          <w:sz w:val="24"/>
          <w:szCs w:val="24"/>
        </w:rPr>
        <w:t xml:space="preserve"> Intégrer des données NPS et de satisfaction client, enrichir le dataset sur 12 mois glissants, tester des modèles ensemblistes (XGBoost + Random Forest), mettre en place un réentraînement automatique mensuel et déployer le dashboard en ligne (Streamlit Cloud) pour un accès à distance des équipes CSM.</w:t>
      </w:r>
    </w:p>
    <w:sectPr>
      <w:headerReference w:type="default" r:id="rId7"/>
      <w:footerReference w:type="default" r:id="rId8"/>
      <w:pgSz w:w="11906" w:h="16838" w:orient="portrait"/>
      <w:pgMar w:top="1200" w:right="120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2" w:space="2"/>
      </w:pBdr>
      <w:tabs>
        <w:tab w:val="right" w:pos="9026"/>
      </w:tabs>
    </w:pPr>
    <w:r>
      <w:rPr>
        <w:rFonts w:ascii="Arial" w:cs="Arial" w:eastAsia="Arial" w:hAnsi="Arial"/>
        <w:color w:val="6B7280"/>
        <w:sz w:val="16"/>
        <w:szCs w:val="16"/>
      </w:rPr>
      <w:t xml:space="preserve">Confidentiel — Usage interne</w:t>
    </w:r>
    <w:r>
      <w:rPr>
        <w:rFonts w:ascii="Arial" w:cs="Arial" w:eastAsia="Arial" w:hAnsi="Arial"/>
        <w:color w:val="6B7280"/>
        <w:sz w:val="16"/>
        <w:szCs w:val="16"/>
      </w:rPr>
      <w:t xml:space="preserve">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2"/>
      </w:pBdr>
      <w:tabs>
        <w:tab w:val="right" w:pos="9026"/>
      </w:tabs>
    </w:pPr>
    <w:r>
      <w:rPr>
        <w:rFonts w:ascii="Arial" w:cs="Arial" w:eastAsia="Arial" w:hAnsi="Arial"/>
        <w:b/>
        <w:bCs/>
        <w:color w:val="1F3A6E"/>
        <w:sz w:val="18"/>
        <w:szCs w:val="18"/>
      </w:rPr>
      <w:t xml:space="preserve">SMARTENGINE — Groupe G8</w:t>
    </w:r>
    <w:r>
      <w:rPr>
        <w:sz w:val="18"/>
        <w:szCs w:val="18"/>
      </w:rPr>
      <w:t xml:space="preserve">	</w:t>
    </w:r>
    <w:r>
      <w:rPr>
        <w:rFonts w:ascii="Arial" w:cs="Arial" w:eastAsia="Arial" w:hAnsi="Arial"/>
        <w:color w:val="6B7280"/>
        <w:sz w:val="18"/>
        <w:szCs w:val="18"/>
      </w:rPr>
      <w:t xml:space="preserve">Dossier de Projet · Prédiction du Churn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00"/>
      <w:outlineLvl w:val="0"/>
    </w:pPr>
    <w:rPr>
      <w:rFonts w:ascii="Arial" w:cs="Arial" w:eastAsia="Arial" w:hAnsi="Arial"/>
      <w:b/>
      <w:bCs/>
      <w:color w:val="1F3A6E"/>
      <w:sz w:val="40"/>
      <w:szCs w:val="40"/>
    </w:rPr>
  </w:style>
  <w:style w:type="paragraph" w:styleId="Heading2">
    <w:name w:val="Heading 2"/>
    <w:basedOn w:val="Normal"/>
    <w:next w:val="Normal"/>
    <w:qFormat/>
    <w:pPr>
      <w:spacing w:after="120" w:before="280"/>
      <w:outlineLvl w:val="1"/>
    </w:pPr>
    <w:rPr>
      <w:rFonts w:ascii="Arial" w:cs="Arial" w:eastAsia="Arial" w:hAnsi="Arial"/>
      <w:b/>
      <w:bCs/>
      <w:color w:val="1F3A6E"/>
      <w:sz w:val="30"/>
      <w:szCs w:val="30"/>
    </w:rPr>
  </w:style>
  <w:style w:type="paragraph" w:styleId="Heading3">
    <w:name w:val="Heading 3"/>
    <w:basedOn w:val="Normal"/>
    <w:next w:val="Normal"/>
    <w:qFormat/>
    <w:pPr>
      <w:spacing w:after="80" w:before="200"/>
      <w:outlineLvl w:val="2"/>
    </w:pPr>
    <w:rPr>
      <w:rFonts w:ascii="Arial" w:cs="Arial" w:eastAsia="Arial" w:hAnsi="Arial"/>
      <w:b/>
      <w:bCs/>
      <w:color w:val="2563E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2026-04-27T06:50:10.756Z</dcterms:created>
  <dcterms:modified xsi:type="dcterms:W3CDTF">2026-04-27T06:50:10.757Z</dcterms:modified>
</cp:coreProperties>
</file>

<file path=docProps/custom.xml><?xml version="1.0" encoding="utf-8"?>
<Properties xmlns="http://schemas.openxmlformats.org/officeDocument/2006/custom-properties" xmlns:vt="http://schemas.openxmlformats.org/officeDocument/2006/docPropsVTypes"/>
</file>