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Dossier de Conception - Projet SmartEngine</w:t>
      </w:r>
    </w:p>
    <w:p>
      <w:pPr>
        <w:pStyle w:val="Heading1"/>
      </w:pPr>
      <w:r>
        <w:t>Sprint 1 : Cadrage du Projet</w:t>
      </w:r>
    </w:p>
    <w:p>
      <w:pPr>
        <w:pStyle w:val="Heading2"/>
      </w:pPr>
      <w:r>
        <w:t>1. Contexte métier de RavenStack</w:t>
      </w:r>
    </w:p>
    <w:p>
      <w:r>
        <w:t>RavenStack est un fournisseur de services SaaS (Software as a Service) en pleine croissance. Dans un marché B2B hautement concurrentiel, la rétention des clients est devenue la priorité stratégique numéro un. RavenStack fait face à un phénomène de 'churn' (résiliation) qui impacte son revenu récurrent mensuel (MRR). Pour pérenniser son activité, l'entreprise doit passer d'une posture réactive à une posture proactive.</w:t>
      </w:r>
    </w:p>
    <w:p>
      <w:pPr>
        <w:pStyle w:val="Heading2"/>
      </w:pPr>
      <w:r>
        <w:t>2. Objectifs du projet smartEngine</w:t>
      </w:r>
    </w:p>
    <w:p>
      <w:r>
        <w:t>Le projet smartEngine a pour but de concevoir et déployer une plateforme d'IA capable de :</w:t>
      </w:r>
    </w:p>
    <w:p>
      <w:pPr>
        <w:pStyle w:val="ListBullet"/>
      </w:pPr>
      <w:r>
        <w:t>• Identifier les signaux faibles de désengagement client.</w:t>
      </w:r>
    </w:p>
    <w:p>
      <w:pPr>
        <w:pStyle w:val="ListBullet"/>
      </w:pPr>
      <w:r>
        <w:t>• Prédire avec précision la probabilité de churn pour chaque compte.</w:t>
      </w:r>
    </w:p>
    <w:p>
      <w:pPr>
        <w:pStyle w:val="ListBullet"/>
      </w:pPr>
      <w:r>
        <w:t>• Fournir une interface visuelle (Dashboard) aux équipes de Customer Success.</w:t>
      </w:r>
    </w:p>
    <w:p>
      <w:pPr>
        <w:pStyle w:val="ListBullet"/>
      </w:pPr>
      <w:r>
        <w:t>• Automatiser des alertes via des workflows intelligents (n8n).</w:t>
      </w:r>
    </w:p>
    <w:p>
      <w:pPr>
        <w:pStyle w:val="Heading1"/>
      </w:pPr>
      <w:r>
        <w:t>Sprint 2 : Modélisation et Résultats</w:t>
      </w:r>
    </w:p>
    <w:p>
      <w:pPr>
        <w:pStyle w:val="Heading2"/>
      </w:pPr>
      <w:r>
        <w:t>3. Modélisation prédictive</w:t>
      </w:r>
    </w:p>
    <w:p>
      <w:pPr>
        <w:pStyle w:val="Heading3"/>
      </w:pPr>
      <w:r>
        <w:t>3.1 Algorithmes et Performance</w:t>
      </w:r>
    </w:p>
    <w:p>
      <w:r>
        <w:rPr>
          <w:b/>
        </w:rPr>
        <w:t>Plusieurs algorithmes ont été évalués :</w:t>
      </w:r>
    </w:p>
    <w:p>
      <w:pPr>
        <w:pStyle w:val="ListBullet"/>
      </w:pPr>
      <w:r>
        <w:t>• Logistic Regression (Retenu) : AUC-ROC de 0.696. Interprétabilité forte.</w:t>
      </w:r>
    </w:p>
    <w:p>
      <w:pPr>
        <w:pStyle w:val="ListBullet"/>
      </w:pPr>
      <w:r>
        <w:t>• Random Forest : Testé, performances moindres sur le rappel.</w:t>
      </w:r>
    </w:p>
    <w:p>
      <w:pPr>
        <w:pStyle w:val="ListBullet"/>
      </w:pPr>
      <w:r>
        <w:t>• XGBoost : Écarté (libomp manquant dans l'environnement).</w:t>
      </w:r>
    </w:p>
    <w:p>
      <w:pPr>
        <w:pStyle w:val="Heading3"/>
      </w:pPr>
      <w:r>
        <w:t>3.2 Stratégie d'entraînement</w:t>
      </w:r>
    </w:p>
    <w:p>
      <w:r>
        <w:t>• Split : 80% entraînement / 20% test avec stratification.</w:t>
      </w:r>
    </w:p>
    <w:p>
      <w:r>
        <w:t>• Déséquilibre : Géré avec class_weight='balanced' (78% non-churn / 22% churn).</w:t>
      </w:r>
    </w:p>
    <w:p>
      <w:r>
        <w:t>• Métriques : AUC-ROC, Precision, Recall, F1-Score.</w:t>
      </w:r>
    </w:p>
    <w:p>
      <w:pPr>
        <w:pStyle w:val="Heading3"/>
      </w:pPr>
      <w:r>
        <w:t>3.3 Caractéristiques (Features) importantes</w:t>
      </w:r>
    </w:p>
    <w:p>
      <w:r>
        <w:t>Les variables les plus influentes identifiées sont : days_since_last_login, usage_trend_3m, ratio_critical_tickets, avg_resolution_delay et seniority_months.</w:t>
      </w:r>
    </w:p>
    <w:p>
      <w:pPr>
        <w:pStyle w:val="Heading3"/>
      </w:pPr>
      <w:r>
        <w:t>3.4 Seuils de risque et Actions</w:t>
      </w:r>
    </w:p>
    <w:p>
      <w:r>
        <w:t>• Élevé (&gt; 0.7) : Risque critique, intervention immédiate.</w:t>
      </w:r>
    </w:p>
    <w:p>
      <w:r>
        <w:t>• Modéré (0.4 - 0.7) : Surveillance accrue.</w:t>
      </w:r>
    </w:p>
    <w:p>
      <w:r>
        <w:t>• Faible (&lt; 0.4) : Risque normal.</w:t>
      </w:r>
    </w:p>
    <w:p>
      <w:pPr>
        <w:pStyle w:val="Heading3"/>
      </w:pPr>
      <w:r>
        <w:t>3.5 Limites et Biais potentiels</w:t>
      </w:r>
    </w:p>
    <w:p>
      <w:r>
        <w:t>Des biais peuvent exister par industrie et par pays. Le modèle nécessite un réapprentissage régulier pour s'adapter aux évolutions du SaaS.</w:t>
      </w:r>
    </w:p>
    <w:p>
      <w:pPr>
        <w:pStyle w:val="Heading1"/>
      </w:pPr>
      <w:r>
        <w:t>4. Contraintes RGPD</w:t>
      </w:r>
    </w:p>
    <w:p>
      <w:r>
        <w:t>Conformité à l'Article 22 (Décisions automatisées) : Le score est une aide à la décision, pas une sanction automatique. Minimisation des données et transparence algorithmique garanties.</w:t>
      </w:r>
    </w:p>
    <w:p>
      <w:pPr>
        <w:pStyle w:val="Heading1"/>
      </w:pPr>
      <w:r>
        <w:t>5. Choix d'outils justifiés</w:t>
      </w:r>
    </w:p>
    <w:p>
      <w:r>
        <w:t>Python/pandas, scikit-learn, Streamlit, n8n, Gemini CLI.</w:t>
      </w:r>
    </w:p>
    <w:p>
      <w:r>
        <w:br/>
        <w:t>Document de conception - Mise à jour Sprint 2 - 27 Avril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