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4468"/>
        <w:gridCol w:w="3762"/>
        <w:tblGridChange w:id="0">
          <w:tblGrid>
            <w:gridCol w:w="3055"/>
            <w:gridCol w:w="4468"/>
            <w:gridCol w:w="3762"/>
          </w:tblGrid>
        </w:tblGridChange>
      </w:tblGrid>
      <w:tr>
        <w:trPr>
          <w:trHeight w:val="431" w:hRule="atLeast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Update Customer profile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Customer can change his account details.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Customer,Manager</w:t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Login through customer account</w:t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Update database</w:t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Customers can change their TPno, email, vehicles etc. this does not affect already booked reservations. Manager can even update the profiles for customers when said through telephone.</w:t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63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7B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D39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NyuWsLPk6LV+Pt9H+xj3RSaAtA==">AMUW2mX7LfbCsI8MBMnUFkqif5JQCl4mOhjDSyUBHdTH81/dvjf4e/j8rh28E9sCIBCssGJcx6m8QGYgmD59pGhRRpHA2iVjADQH1ZTCpOZDpbJ8uNj8/gg=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2020-05-17T15:07:00Z</dcterms:created>
  <dc:creator>Thenuka Ovin</dc:creator>
</cp:coreProperties>
</file>