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E3A5F" w:val="clear"/>
            <w:tcMar>
              <w:top w:type="dxa" w:w="1440"/>
              <w:left w:type="dxa" w:w="1440"/>
              <w:bottom w:type="dxa" w:w="1440"/>
              <w:right w:type="dxa" w:w="1440"/>
            </w:tcMar>
          </w:tcPr>
          <w:p>
            <w:pPr>
              <w:spacing w:after="160" w:before="0"/>
            </w:pPr>
            <w:r>
              <w:rPr>
                <w:rFonts w:ascii="Arial" w:cs="Arial" w:eastAsia="Arial" w:hAnsi="Arial"/>
                <w:b/>
                <w:bCs/>
                <w:color w:val="D6E4F5"/>
                <w:spacing w:val="200"/>
                <w:sz w:val="18"/>
                <w:szCs w:val="18"/>
              </w:rPr>
              <w:t xml:space="preserve">IMPLEMENTATION REPORT</w:t>
            </w:r>
          </w:p>
          <w:p>
            <w:pPr>
              <w:spacing w:after="160" w:before="0"/>
            </w:pPr>
            <w:r>
              <w:rPr>
                <w:rFonts w:ascii="Arial" w:cs="Arial" w:eastAsia="Arial" w:hAnsi="Arial"/>
                <w:b/>
                <w:bCs/>
                <w:color w:val="FFFFFF"/>
                <w:sz w:val="60"/>
                <w:szCs w:val="60"/>
              </w:rPr>
              <w:t xml:space="preserve">ScenarioAnalysisService v2</w:t>
            </w:r>
          </w:p>
          <w:p>
            <w:pPr>
              <w:spacing w:after="0" w:before="0"/>
            </w:pPr>
            <w:r>
              <w:rPr>
                <w:rFonts w:ascii="Arial" w:cs="Arial" w:eastAsia="Arial" w:hAnsi="Arial"/>
                <w:color w:val="AACCEE"/>
                <w:sz w:val="28"/>
                <w:szCs w:val="28"/>
              </w:rPr>
              <w:t xml:space="preserve">Decision-Intelligence Upgrade — Sprints 1–7</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6120"/>
        <w:gridCol w:w="6120"/>
      </w:tblGrid>
      <w:tr>
        <w:tc>
          <w:tcPr>
            <w:tcW w:type="dxa" w:w="6120"/>
            <w:tcBorders>
              <w:top w:val="none" w:color="FFFFFF" w:sz="0"/>
              <w:left w:val="none" w:color="FFFFFF" w:sz="0"/>
              <w:bottom w:val="none" w:color="FFFFFF" w:sz="0"/>
              <w:right w:val="none" w:color="FFFFFF" w:sz="0"/>
            </w:tcBorders>
            <w:shd w:fill="D6E4F5" w:val="clear"/>
            <w:tcMar>
              <w:top w:type="dxa" w:w="560"/>
              <w:left w:type="dxa" w:w="1440"/>
              <w:bottom w:type="dxa" w:w="560"/>
              <w:right w:type="dxa" w:w="720"/>
            </w:tcMar>
          </w:tcPr>
          <w:p>
            <w:pPr>
              <w:spacing w:after="40" w:before="0"/>
            </w:pPr>
            <w:r>
              <w:rPr>
                <w:rFonts w:ascii="Arial" w:cs="Arial" w:eastAsia="Arial" w:hAnsi="Arial"/>
                <w:color w:val="444444"/>
                <w:sz w:val="18"/>
                <w:szCs w:val="18"/>
              </w:rPr>
              <w:t xml:space="preserve">Project</w:t>
            </w:r>
          </w:p>
          <w:p>
            <w:pPr>
              <w:spacing w:after="280" w:before="0"/>
            </w:pPr>
            <w:r>
              <w:rPr>
                <w:rFonts w:ascii="Arial" w:cs="Arial" w:eastAsia="Arial" w:hAnsi="Arial"/>
                <w:b/>
                <w:bCs/>
                <w:color w:val="1E3A5F"/>
                <w:sz w:val="26"/>
                <w:szCs w:val="26"/>
              </w:rPr>
              <w:t xml:space="preserve">ascenda backend</w:t>
            </w:r>
          </w:p>
          <w:p>
            <w:pPr>
              <w:spacing w:after="40" w:before="0"/>
            </w:pPr>
            <w:r>
              <w:rPr>
                <w:rFonts w:ascii="Arial" w:cs="Arial" w:eastAsia="Arial" w:hAnsi="Arial"/>
                <w:color w:val="444444"/>
                <w:sz w:val="18"/>
                <w:szCs w:val="18"/>
              </w:rPr>
              <w:t xml:space="preserve">Module</w:t>
            </w:r>
          </w:p>
          <w:p>
            <w:pPr>
              <w:spacing w:after="280" w:before="0"/>
            </w:pPr>
            <w:r>
              <w:rPr>
                <w:rFonts w:ascii="Courier New" w:cs="Courier New" w:eastAsia="Courier New" w:hAnsi="Courier New"/>
                <w:b/>
                <w:bCs/>
                <w:color w:val="1E3A5F"/>
                <w:sz w:val="26"/>
                <w:szCs w:val="26"/>
              </w:rPr>
              <w:t xml:space="preserve">internal/service</w:t>
            </w:r>
          </w:p>
          <w:p>
            <w:pPr>
              <w:spacing w:after="40" w:before="0"/>
            </w:pPr>
            <w:r>
              <w:rPr>
                <w:rFonts w:ascii="Arial" w:cs="Arial" w:eastAsia="Arial" w:hAnsi="Arial"/>
                <w:color w:val="444444"/>
                <w:sz w:val="18"/>
                <w:szCs w:val="18"/>
              </w:rPr>
              <w:t xml:space="preserve">Primary File</w:t>
            </w:r>
          </w:p>
          <w:p>
            <w:pPr>
              <w:spacing w:after="0" w:before="0"/>
            </w:pPr>
            <w:r>
              <w:rPr>
                <w:rFonts w:ascii="Courier New" w:cs="Courier New" w:eastAsia="Courier New" w:hAnsi="Courier New"/>
                <w:b/>
                <w:bCs/>
                <w:color w:val="1A7A6E"/>
                <w:sz w:val="24"/>
                <w:szCs w:val="24"/>
              </w:rPr>
              <w:t xml:space="preserve">scenario_analysis.go</w:t>
            </w:r>
          </w:p>
        </w:tc>
        <w:tc>
          <w:tcPr>
            <w:tcW w:type="dxa" w:w="6120"/>
            <w:tcBorders>
              <w:top w:val="none" w:color="FFFFFF" w:sz="0"/>
              <w:left w:val="none" w:color="FFFFFF" w:sz="0"/>
              <w:bottom w:val="none" w:color="FFFFFF" w:sz="0"/>
              <w:right w:val="none" w:color="FFFFFF" w:sz="0"/>
            </w:tcBorders>
            <w:shd w:fill="FFFFFF" w:val="clear"/>
            <w:tcMar>
              <w:top w:type="dxa" w:w="560"/>
              <w:left w:type="dxa" w:w="720"/>
              <w:bottom w:type="dxa" w:w="560"/>
              <w:right w:type="dxa" w:w="1440"/>
            </w:tcMar>
          </w:tcPr>
          <w:p>
            <w:pPr>
              <w:spacing w:after="40" w:before="0"/>
            </w:pPr>
            <w:r>
              <w:rPr>
                <w:rFonts w:ascii="Arial" w:cs="Arial" w:eastAsia="Arial" w:hAnsi="Arial"/>
                <w:color w:val="444444"/>
                <w:sz w:val="18"/>
                <w:szCs w:val="18"/>
              </w:rPr>
              <w:t xml:space="preserve">Date</w:t>
            </w:r>
          </w:p>
          <w:p>
            <w:pPr>
              <w:spacing w:after="280" w:before="0"/>
            </w:pPr>
            <w:r>
              <w:rPr>
                <w:rFonts w:ascii="Arial" w:cs="Arial" w:eastAsia="Arial" w:hAnsi="Arial"/>
                <w:b/>
                <w:bCs/>
                <w:color w:val="1E3A5F"/>
                <w:sz w:val="26"/>
                <w:szCs w:val="26"/>
              </w:rPr>
              <w:t xml:space="preserve">April 12, 2026</w:t>
            </w:r>
          </w:p>
          <w:p>
            <w:pPr>
              <w:spacing w:after="40" w:before="0"/>
            </w:pPr>
            <w:r>
              <w:rPr>
                <w:rFonts w:ascii="Arial" w:cs="Arial" w:eastAsia="Arial" w:hAnsi="Arial"/>
                <w:color w:val="444444"/>
                <w:sz w:val="18"/>
                <w:szCs w:val="18"/>
              </w:rPr>
              <w:t xml:space="preserve">Go Version</w:t>
            </w:r>
          </w:p>
          <w:p>
            <w:pPr>
              <w:spacing w:after="280" w:before="0"/>
            </w:pPr>
            <w:r>
              <w:rPr>
                <w:rFonts w:ascii="Arial" w:cs="Arial" w:eastAsia="Arial" w:hAnsi="Arial"/>
                <w:b/>
                <w:bCs/>
                <w:color w:val="1E3A5F"/>
                <w:sz w:val="26"/>
                <w:szCs w:val="26"/>
              </w:rPr>
              <w:t xml:space="preserve">1.25 (generics enabled)</w:t>
            </w:r>
          </w:p>
          <w:p>
            <w:pPr>
              <w:spacing w:after="40" w:before="0"/>
            </w:pPr>
            <w:r>
              <w:rPr>
                <w:rFonts w:ascii="Arial" w:cs="Arial" w:eastAsia="Arial" w:hAnsi="Arial"/>
                <w:color w:val="444444"/>
                <w:sz w:val="18"/>
                <w:szCs w:val="18"/>
              </w:rPr>
              <w:t xml:space="preserve">Status</w:t>
            </w:r>
          </w:p>
          <w:p>
            <w:pPr>
              <w:spacing w:after="0" w:before="0"/>
            </w:pPr>
            <w:r>
              <w:rPr>
                <w:rFonts w:ascii="Arial" w:cs="Arial" w:eastAsia="Arial" w:hAnsi="Arial"/>
                <w:b/>
                <w:bCs/>
                <w:color w:val="217A48"/>
                <w:sz w:val="26"/>
                <w:szCs w:val="26"/>
              </w:rPr>
              <w:t xml:space="preserve">All 7 Sprints </w:t>
            </w:r>
            <w:r>
              <w:rPr>
                <w:rFonts w:ascii="Arial" w:cs="Arial" w:eastAsia="Arial" w:hAnsi="Arial"/>
                <w:b/>
                <w:bCs/>
                <w:color w:val="217A48"/>
                <w:sz w:val="26"/>
                <w:szCs w:val="26"/>
              </w:rPr>
              <w:t xml:space="preserve">Complete</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2E6DB4" w:val="clear"/>
            <w:tcMar>
              <w:top w:type="dxa" w:w="400"/>
              <w:left w:type="dxa" w:w="1440"/>
              <w:bottom w:type="dxa" w:w="400"/>
              <w:right w:type="dxa" w:w="1440"/>
            </w:tcMar>
          </w:tcPr>
          <w:p>
            <w:r>
              <w:rPr>
                <w:rFonts w:ascii="Arial" w:cs="Arial" w:eastAsia="Arial" w:hAnsi="Arial"/>
                <w:color w:val="DDEEFF"/>
                <w:sz w:val="20"/>
                <w:szCs w:val="20"/>
              </w:rPr>
              <w:t xml:space="preserve">Prepared by the backend engineering team</w:t>
            </w:r>
          </w:p>
        </w:tc>
      </w:tr>
    </w:tbl>
    <w:p>
      <w:pPr>
        <w:sectPr>
          <w:pgSz w:w="12240" w:h="15840" w:orient="portrait"/>
          <w:pgMar w:top="0" w:right="0" w:bottom="0" w:left="0" w:header="708" w:footer="708" w:gutter="0"/>
          <w:pgNumType/>
          <w:docGrid w:linePitch="360"/>
        </w:sectPr>
      </w:pPr>
    </w:p>
    <w:p>
      <w:pPr>
        <w:pStyle w:val="Heading1"/>
        <w:pBdr>
          <w:left w:val="single" w:color="2E6DB4" w:sz="20" w:space="8"/>
        </w:pBdr>
        <w:ind w:left="200"/>
      </w:pPr>
      <w:r>
        <w:rPr>
          <w:rFonts w:ascii="Arial" w:cs="Arial" w:eastAsia="Arial" w:hAnsi="Arial"/>
          <w:b/>
          <w:bCs/>
          <w:color w:val="1E3A5F"/>
        </w:rPr>
        <w:t xml:space="preserve">1. Executive Summary</w:t>
      </w:r>
    </w:p>
    <w:p>
      <w:pPr>
        <w:pBdr>
          <w:bottom w:val="single" w:color="2E6DB4" w:sz="4"/>
        </w:pBdr>
        <w:spacing w:after="200"/>
      </w:pPr>
    </w:p>
    <w:p>
      <w:pPr>
        <w:spacing w:after="180" w:before="0"/>
      </w:pPr>
      <w:r>
        <w:rPr>
          <w:rFonts w:ascii="Arial" w:cs="Arial" w:eastAsia="Arial" w:hAnsi="Arial"/>
        </w:rPr>
        <w:t xml:space="preserve">This report documents the complete design and implementation of ScenarioAnalysisService v2, a decision-intelligence upgrade to the ascenda financial modelling backend. The initiative comprised seven focused sprints delivering a progression from raw financial data extraction to a production-ready analysis engine capable of producing VC-grade scenario assessments.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6DB4" w:sz="1"/>
              <w:left w:val="single" w:color="2E6DB4" w:sz="1"/>
              <w:bottom w:val="single" w:color="2E6DB4" w:sz="1"/>
              <w:right w:val="single" w:color="2E6DB4" w:sz="1"/>
            </w:tcBorders>
            <w:shd w:fill="D6E4F5" w:val="clear"/>
            <w:tcMar>
              <w:top w:type="dxa" w:w="140"/>
              <w:left w:type="dxa" w:w="180"/>
              <w:bottom w:type="dxa" w:w="140"/>
              <w:right w:type="dxa" w:w="180"/>
            </w:tcMar>
            <w:vAlign w:val="center"/>
          </w:tcPr>
          <w:p>
            <w:pPr>
              <w:jc w:val="center"/>
            </w:pPr>
            <w:r>
              <w:rPr>
                <w:rFonts w:ascii="Arial" w:cs="Arial" w:eastAsia="Arial" w:hAnsi="Arial"/>
                <w:b/>
                <w:bCs/>
                <w:color w:val="1E3A5F"/>
                <w:sz w:val="48"/>
                <w:szCs w:val="48"/>
              </w:rPr>
              <w:t xml:space="preserve">7</w:t>
            </w:r>
          </w:p>
          <w:p>
            <w:pPr>
              <w:spacing w:before="40"/>
              <w:jc w:val="center"/>
            </w:pPr>
            <w:r>
              <w:rPr>
                <w:rFonts w:ascii="Arial" w:cs="Arial" w:eastAsia="Arial" w:hAnsi="Arial"/>
                <w:color w:val="444444"/>
                <w:sz w:val="18"/>
                <w:szCs w:val="18"/>
              </w:rPr>
              <w:t xml:space="preserve">Sprints Completed</w:t>
            </w:r>
          </w:p>
        </w:tc>
        <w:tc>
          <w:tcPr>
            <w:tcW w:type="dxa" w:w="2340"/>
            <w:tcBorders>
              <w:top w:val="single" w:color="2E6DB4" w:sz="1"/>
              <w:left w:val="single" w:color="2E6DB4" w:sz="1"/>
              <w:bottom w:val="single" w:color="2E6DB4" w:sz="1"/>
              <w:right w:val="single" w:color="2E6DB4" w:sz="1"/>
            </w:tcBorders>
            <w:shd w:fill="D4EFEC" w:val="clear"/>
            <w:tcMar>
              <w:top w:type="dxa" w:w="140"/>
              <w:left w:type="dxa" w:w="180"/>
              <w:bottom w:type="dxa" w:w="140"/>
              <w:right w:type="dxa" w:w="180"/>
            </w:tcMar>
            <w:vAlign w:val="center"/>
          </w:tcPr>
          <w:p>
            <w:pPr>
              <w:jc w:val="center"/>
            </w:pPr>
            <w:r>
              <w:rPr>
                <w:rFonts w:ascii="Arial" w:cs="Arial" w:eastAsia="Arial" w:hAnsi="Arial"/>
                <w:b/>
                <w:bCs/>
                <w:color w:val="1E3A5F"/>
                <w:sz w:val="48"/>
                <w:szCs w:val="48"/>
              </w:rPr>
              <w:t xml:space="preserve">3</w:t>
            </w:r>
          </w:p>
          <w:p>
            <w:pPr>
              <w:spacing w:before="40"/>
              <w:jc w:val="center"/>
            </w:pPr>
            <w:r>
              <w:rPr>
                <w:rFonts w:ascii="Arial" w:cs="Arial" w:eastAsia="Arial" w:hAnsi="Arial"/>
                <w:color w:val="444444"/>
                <w:sz w:val="18"/>
                <w:szCs w:val="18"/>
              </w:rPr>
              <w:t xml:space="preserve">Production Files</w:t>
            </w:r>
          </w:p>
        </w:tc>
        <w:tc>
          <w:tcPr>
            <w:tcW w:type="dxa" w:w="2340"/>
            <w:tcBorders>
              <w:top w:val="single" w:color="2E6DB4" w:sz="1"/>
              <w:left w:val="single" w:color="2E6DB4" w:sz="1"/>
              <w:bottom w:val="single" w:color="2E6DB4" w:sz="1"/>
              <w:right w:val="single" w:color="2E6DB4" w:sz="1"/>
            </w:tcBorders>
            <w:shd w:fill="D6E4F5" w:val="clear"/>
            <w:tcMar>
              <w:top w:type="dxa" w:w="140"/>
              <w:left w:type="dxa" w:w="180"/>
              <w:bottom w:type="dxa" w:w="140"/>
              <w:right w:type="dxa" w:w="180"/>
            </w:tcMar>
            <w:vAlign w:val="center"/>
          </w:tcPr>
          <w:p>
            <w:pPr>
              <w:jc w:val="center"/>
            </w:pPr>
            <w:r>
              <w:rPr>
                <w:rFonts w:ascii="Arial" w:cs="Arial" w:eastAsia="Arial" w:hAnsi="Arial"/>
                <w:b/>
                <w:bCs/>
                <w:color w:val="1E3A5F"/>
                <w:sz w:val="48"/>
                <w:szCs w:val="48"/>
              </w:rPr>
              <w:t xml:space="preserve">68+</w:t>
            </w:r>
          </w:p>
          <w:p>
            <w:pPr>
              <w:spacing w:before="40"/>
              <w:jc w:val="center"/>
            </w:pPr>
            <w:r>
              <w:rPr>
                <w:rFonts w:ascii="Arial" w:cs="Arial" w:eastAsia="Arial" w:hAnsi="Arial"/>
                <w:color w:val="444444"/>
                <w:sz w:val="18"/>
                <w:szCs w:val="18"/>
              </w:rPr>
              <w:t xml:space="preserve">Test Cases</w:t>
            </w:r>
          </w:p>
        </w:tc>
        <w:tc>
          <w:tcPr>
            <w:tcW w:type="dxa" w:w="2340"/>
            <w:tcBorders>
              <w:top w:val="single" w:color="2E6DB4" w:sz="1"/>
              <w:left w:val="single" w:color="2E6DB4" w:sz="1"/>
              <w:bottom w:val="single" w:color="2E6DB4" w:sz="1"/>
              <w:right w:val="single" w:color="2E6DB4" w:sz="1"/>
            </w:tcBorders>
            <w:shd w:fill="D4EFEC" w:val="clear"/>
            <w:tcMar>
              <w:top w:type="dxa" w:w="140"/>
              <w:left w:type="dxa" w:w="180"/>
              <w:bottom w:type="dxa" w:w="140"/>
              <w:right w:type="dxa" w:w="180"/>
            </w:tcMar>
            <w:vAlign w:val="center"/>
          </w:tcPr>
          <w:p>
            <w:pPr>
              <w:jc w:val="center"/>
            </w:pPr>
            <w:r>
              <w:rPr>
                <w:rFonts w:ascii="Arial" w:cs="Arial" w:eastAsia="Arial" w:hAnsi="Arial"/>
                <w:b/>
                <w:bCs/>
                <w:color w:val="1E3A5F"/>
                <w:sz w:val="48"/>
                <w:szCs w:val="48"/>
              </w:rPr>
              <w:t xml:space="preserve">0</w:t>
            </w:r>
          </w:p>
          <w:p>
            <w:pPr>
              <w:spacing w:before="40"/>
              <w:jc w:val="center"/>
            </w:pPr>
            <w:r>
              <w:rPr>
                <w:rFonts w:ascii="Arial" w:cs="Arial" w:eastAsia="Arial" w:hAnsi="Arial"/>
                <w:color w:val="444444"/>
                <w:sz w:val="18"/>
                <w:szCs w:val="18"/>
              </w:rPr>
              <w:t xml:space="preserve">DB Calls in Tests</w:t>
            </w:r>
          </w:p>
        </w:tc>
      </w:tr>
    </w:tbl>
    <w:p>
      <w:pPr>
        <w:spacing w:after="0" w:before="200"/>
      </w:pPr>
      <w:r>
        <w:rPr>
          <w:rFonts w:ascii="Arial" w:cs="Arial" w:eastAsia="Arial" w:hAnsi="Arial"/>
        </w:rPr>
        <w:t xml:space="preserve"/>
      </w:r>
    </w:p>
    <w:p>
      <w:pPr>
        <w:spacing w:after="200" w:before="160"/>
      </w:pPr>
      <w:r>
        <w:rPr>
          <w:rFonts w:ascii="Arial" w:cs="Arial" w:eastAsia="Arial" w:hAnsi="Arial"/>
        </w:rPr>
        <w:t xml:space="preserve">The v2 engine answers four questions a business plan reviewer asks: Is this fundable? Where does it break? What drives the outcome? How much capital does this need and is the model stable? All analytical functions are pure — they operate exclusively on FullPlanOutput in-memory structs with no database access, enabling exhaustive unit testing without infrastructure.</w:t>
      </w:r>
    </w:p>
    <w:p>
      <w:pPr>
        <w:pStyle w:val="Heading1"/>
        <w:pBdr>
          <w:left w:val="single" w:color="2E6DB4" w:sz="20" w:space="8"/>
        </w:pBdr>
        <w:ind w:left="200"/>
      </w:pPr>
      <w:r>
        <w:rPr>
          <w:rFonts w:ascii="Arial" w:cs="Arial" w:eastAsia="Arial" w:hAnsi="Arial"/>
          <w:b/>
          <w:bCs/>
          <w:color w:val="1E3A5F"/>
        </w:rPr>
        <w:t xml:space="preserve">2. Objectives and Scope</w:t>
      </w:r>
    </w:p>
    <w:p>
      <w:pPr>
        <w:pBdr>
          <w:bottom w:val="single" w:color="2E6DB4" w:sz="4"/>
        </w:pBdr>
        <w:spacing w:after="200"/>
      </w:pPr>
    </w:p>
    <w:p>
      <w:pPr>
        <w:spacing w:after="160" w:before="0"/>
      </w:pPr>
      <w:r>
        <w:rPr>
          <w:rFonts w:ascii="Arial" w:cs="Arial" w:eastAsia="Arial" w:hAnsi="Arial"/>
        </w:rPr>
        <w:t xml:space="preserve">v1 produced a financial summary: a structured read of FullPlanOutput with simple heuristics. v2 targets a materially higher bar by introducing continuous scoring, causal attribution, trend intelligence, narrative highlights, and a sensitivity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rPr>
                <w:rFonts w:ascii="Arial" w:cs="Arial" w:eastAsia="Arial" w:hAnsi="Arial"/>
                <w:sz w:val="28"/>
                <w:szCs w:val="28"/>
              </w:rPr>
              <w:t xml:space="preserve">A</w:t>
            </w:r>
          </w:p>
        </w:tc>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E3A5F"/>
                <w:sz w:val="22"/>
                <w:szCs w:val="22"/>
              </w:rPr>
              <w:t xml:space="preserve">Architectural Constraint</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The compute engine is frozen. All new logic reads from FullPlanOutput only. The API contract is strictly additive.</w:t>
            </w:r>
          </w:p>
        </w:tc>
      </w:tr>
      <w:tr>
        <w:tc>
          <w:tcPr>
            <w:tcW w:type="dxa" w:w="600"/>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rPr>
                <w:rFonts w:ascii="Arial" w:cs="Arial" w:eastAsia="Arial" w:hAnsi="Arial"/>
                <w:sz w:val="28"/>
                <w:szCs w:val="28"/>
              </w:rPr>
              <w:t xml:space="preserve">B</w:t>
            </w:r>
          </w:p>
        </w:tc>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E3A5F"/>
                <w:sz w:val="22"/>
                <w:szCs w:val="22"/>
              </w:rPr>
              <w:t xml:space="preserve">Pure Functions</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Every analytical function is DB-free: no repository calls, no network, no side effects. Full test coverage without mocks.</w:t>
            </w:r>
          </w:p>
        </w:tc>
      </w:tr>
      <w:tr>
        <w:tc>
          <w:tcPr>
            <w:tcW w:type="dxa" w:w="600"/>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rPr>
                <w:rFonts w:ascii="Arial" w:cs="Arial" w:eastAsia="Arial" w:hAnsi="Arial"/>
                <w:sz w:val="28"/>
                <w:szCs w:val="28"/>
              </w:rPr>
              <w:t xml:space="preserve">C</w:t>
            </w:r>
          </w:p>
        </w:tc>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E3A5F"/>
                <w:sz w:val="22"/>
                <w:szCs w:val="22"/>
              </w:rPr>
              <w:t xml:space="preserve">Financial Precision</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All monetary values use github.com/shopspring/decimal throughout. No float64 arithmetic in financial paths.</w:t>
            </w:r>
          </w:p>
        </w:tc>
      </w:tr>
      <w:tr>
        <w:tc>
          <w:tcPr>
            <w:tcW w:type="dxa" w:w="600"/>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rPr>
                <w:rFonts w:ascii="Arial" w:cs="Arial" w:eastAsia="Arial" w:hAnsi="Arial"/>
                <w:sz w:val="28"/>
                <w:szCs w:val="28"/>
              </w:rPr>
              <w:t xml:space="preserve">D</w:t>
            </w:r>
          </w:p>
        </w:tc>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E3A5F"/>
                <w:sz w:val="22"/>
                <w:szCs w:val="22"/>
              </w:rPr>
              <w:t xml:space="preserve">Decision Output</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Results are structured for direct consumption by AI narration and frontend review UIs, not raw data relay.</w:t>
            </w:r>
          </w:p>
        </w:tc>
      </w:tr>
    </w:tbl>
    <w:p>
      <w:pPr>
        <w:spacing w:after="0" w:before="160"/>
      </w:pPr>
      <w:r>
        <w:rPr>
          <w:rFonts w:ascii="Arial" w:cs="Arial" w:eastAsia="Arial" w:hAnsi="Arial"/>
        </w:rPr>
        <w:t xml:space="preserve"/>
      </w:r>
    </w:p>
    <w:p>
      <w:pPr>
        <w:pStyle w:val="Heading1"/>
        <w:pBdr>
          <w:left w:val="single" w:color="2E6DB4" w:sz="20" w:space="8"/>
        </w:pBdr>
        <w:ind w:left="200"/>
      </w:pPr>
      <w:r>
        <w:rPr>
          <w:rFonts w:ascii="Arial" w:cs="Arial" w:eastAsia="Arial" w:hAnsi="Arial"/>
          <w:b/>
          <w:bCs/>
          <w:color w:val="1E3A5F"/>
        </w:rPr>
        <w:t xml:space="preserve">3. Sprint Overview</w:t>
      </w:r>
    </w:p>
    <w:p>
      <w:pPr>
        <w:pBdr>
          <w:bottom w:val="single" w:color="2E6DB4" w:sz="4"/>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300"/>
        <w:gridCol w:w="3840"/>
        <w:gridCol w:w="1200"/>
        <w:gridCol w:w="1100"/>
      </w:tblGrid>
      <w:tr>
        <w:trPr>
          <w:tblHeader/>
        </w:trPr>
        <w:tc>
          <w:tcPr>
            <w:tcW w:type="dxa" w:w="520"/>
            <w:tcBorders>
              <w:top w:val="single" w:color="2E6DB4" w:sz="1"/>
              <w:left w:val="single" w:color="2E6DB4" w:sz="1"/>
              <w:bottom w:val="single" w:color="2E6DB4" w:sz="1"/>
              <w:right w:val="single" w:color="2E6DB4"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Sprint</w:t>
            </w:r>
          </w:p>
        </w:tc>
        <w:tc>
          <w:tcPr>
            <w:tcW w:type="dxa" w:w="2300"/>
            <w:tcBorders>
              <w:top w:val="single" w:color="2E6DB4" w:sz="1"/>
              <w:left w:val="single" w:color="2E6DB4" w:sz="1"/>
              <w:bottom w:val="single" w:color="2E6DB4" w:sz="1"/>
              <w:right w:val="single" w:color="2E6DB4"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Name</w:t>
            </w:r>
          </w:p>
        </w:tc>
        <w:tc>
          <w:tcPr>
            <w:tcW w:type="dxa" w:w="3840"/>
            <w:tcBorders>
              <w:top w:val="single" w:color="2E6DB4" w:sz="1"/>
              <w:left w:val="single" w:color="2E6DB4" w:sz="1"/>
              <w:bottom w:val="single" w:color="2E6DB4" w:sz="1"/>
              <w:right w:val="single" w:color="2E6DB4"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Files Changed</w:t>
            </w:r>
          </w:p>
        </w:tc>
        <w:tc>
          <w:tcPr>
            <w:tcW w:type="dxa" w:w="1200"/>
            <w:tcBorders>
              <w:top w:val="single" w:color="2E6DB4" w:sz="1"/>
              <w:left w:val="single" w:color="2E6DB4" w:sz="1"/>
              <w:bottom w:val="single" w:color="2E6DB4" w:sz="1"/>
              <w:right w:val="single" w:color="2E6DB4"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Tests</w:t>
            </w:r>
          </w:p>
        </w:tc>
        <w:tc>
          <w:tcPr>
            <w:tcW w:type="dxa" w:w="1100"/>
            <w:tcBorders>
              <w:top w:val="single" w:color="2E6DB4" w:sz="1"/>
              <w:left w:val="single" w:color="2E6DB4" w:sz="1"/>
              <w:bottom w:val="single" w:color="2E6DB4" w:sz="1"/>
              <w:right w:val="single" w:color="2E6DB4"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52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color w:val="1E3A5F"/>
              </w:rPr>
              <w:t xml:space="preserve">S1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Core Accuracy + Funding</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scenario_analysis.go/.._test.go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12</w:t>
            </w:r>
          </w:p>
        </w:tc>
        <w:tc>
          <w:tcPr>
            <w:tcW w:type="dxa" w:w="1100"/>
            <w:tcBorders>
              <w:top w:val="single" w:color="CCCCCC" w:sz="1"/>
              <w:left w:val="single" w:color="CCCCCC" w:sz="1"/>
              <w:bottom w:val="single" w:color="CCCCCC" w:sz="1"/>
              <w:right w:val="single" w:color="CCCCCC" w:sz="1"/>
            </w:tcBorders>
            <w:shd w:fill="D6EDDF" w:val="clear"/>
            <w:tcMar>
              <w:top w:type="dxa" w:w="80"/>
              <w:left w:type="dxa" w:w="120"/>
              <w:bottom w:type="dxa" w:w="80"/>
              <w:right w:type="dxa" w:w="120"/>
            </w:tcMar>
          </w:tcPr>
          <w:p>
            <w:pPr>
              <w:jc w:val="center"/>
            </w:pPr>
            <w:r>
              <w:rPr>
                <w:rFonts w:ascii="Arial" w:cs="Arial" w:eastAsia="Arial" w:hAnsi="Arial"/>
                <w:b/>
                <w:bCs/>
                <w:color w:val="217A48"/>
                <w:sz w:val="18"/>
                <w:szCs w:val="18"/>
              </w:rPr>
              <w:t xml:space="preserve">Complete</w:t>
            </w:r>
          </w:p>
        </w:tc>
      </w:tr>
      <w:tr>
        <w:tc>
          <w:tcPr>
            <w:tcW w:type="dxa" w:w="52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color w:val="1E3A5F"/>
              </w:rPr>
              <w:t xml:space="preserve">S2</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Continuous Viability Scoring</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scenario_analysis.go/.._test.go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8</w:t>
            </w:r>
          </w:p>
        </w:tc>
        <w:tc>
          <w:tcPr>
            <w:tcW w:type="dxa" w:w="1100"/>
            <w:tcBorders>
              <w:top w:val="single" w:color="CCCCCC" w:sz="1"/>
              <w:left w:val="single" w:color="CCCCCC" w:sz="1"/>
              <w:bottom w:val="single" w:color="CCCCCC" w:sz="1"/>
              <w:right w:val="single" w:color="CCCCCC" w:sz="1"/>
            </w:tcBorders>
            <w:shd w:fill="D6EDDF" w:val="clear"/>
            <w:tcMar>
              <w:top w:type="dxa" w:w="80"/>
              <w:left w:type="dxa" w:w="120"/>
              <w:bottom w:type="dxa" w:w="80"/>
              <w:right w:type="dxa" w:w="120"/>
            </w:tcMar>
          </w:tcPr>
          <w:p>
            <w:pPr>
              <w:jc w:val="center"/>
            </w:pPr>
            <w:r>
              <w:rPr>
                <w:rFonts w:ascii="Arial" w:cs="Arial" w:eastAsia="Arial" w:hAnsi="Arial"/>
                <w:b/>
                <w:bCs/>
                <w:color w:val="217A48"/>
                <w:sz w:val="18"/>
                <w:szCs w:val="18"/>
              </w:rPr>
              <w:t xml:space="preserve">Complete</w:t>
            </w:r>
          </w:p>
        </w:tc>
      </w:tr>
      <w:tr>
        <w:tc>
          <w:tcPr>
            <w:tcW w:type="dxa" w:w="52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color w:val="1E3A5F"/>
              </w:rPr>
              <w:t xml:space="preserve">S3</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Risk Intelligence</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scenario_analysis.go/.._test.go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10</w:t>
            </w:r>
          </w:p>
        </w:tc>
        <w:tc>
          <w:tcPr>
            <w:tcW w:type="dxa" w:w="1100"/>
            <w:tcBorders>
              <w:top w:val="single" w:color="CCCCCC" w:sz="1"/>
              <w:left w:val="single" w:color="CCCCCC" w:sz="1"/>
              <w:bottom w:val="single" w:color="CCCCCC" w:sz="1"/>
              <w:right w:val="single" w:color="CCCCCC" w:sz="1"/>
            </w:tcBorders>
            <w:shd w:fill="D6EDDF" w:val="clear"/>
            <w:tcMar>
              <w:top w:type="dxa" w:w="80"/>
              <w:left w:type="dxa" w:w="120"/>
              <w:bottom w:type="dxa" w:w="80"/>
              <w:right w:type="dxa" w:w="120"/>
            </w:tcMar>
          </w:tcPr>
          <w:p>
            <w:pPr>
              <w:jc w:val="center"/>
            </w:pPr>
            <w:r>
              <w:rPr>
                <w:rFonts w:ascii="Arial" w:cs="Arial" w:eastAsia="Arial" w:hAnsi="Arial"/>
                <w:b/>
                <w:bCs/>
                <w:color w:val="217A48"/>
                <w:sz w:val="18"/>
                <w:szCs w:val="18"/>
              </w:rPr>
              <w:t xml:space="preserve">Complete</w:t>
            </w:r>
          </w:p>
        </w:tc>
      </w:tr>
      <w:tr>
        <w:tc>
          <w:tcPr>
            <w:tcW w:type="dxa" w:w="52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color w:val="1E3A5F"/>
              </w:rPr>
              <w:t xml:space="preserve">S4</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Driver Ranking + Causality</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scenario_analysis.go/.._test.go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9</w:t>
            </w:r>
          </w:p>
        </w:tc>
        <w:tc>
          <w:tcPr>
            <w:tcW w:type="dxa" w:w="1100"/>
            <w:tcBorders>
              <w:top w:val="single" w:color="CCCCCC" w:sz="1"/>
              <w:left w:val="single" w:color="CCCCCC" w:sz="1"/>
              <w:bottom w:val="single" w:color="CCCCCC" w:sz="1"/>
              <w:right w:val="single" w:color="CCCCCC" w:sz="1"/>
            </w:tcBorders>
            <w:shd w:fill="D6EDDF" w:val="clear"/>
            <w:tcMar>
              <w:top w:type="dxa" w:w="80"/>
              <w:left w:type="dxa" w:w="120"/>
              <w:bottom w:type="dxa" w:w="80"/>
              <w:right w:type="dxa" w:w="120"/>
            </w:tcMar>
          </w:tcPr>
          <w:p>
            <w:pPr>
              <w:jc w:val="center"/>
            </w:pPr>
            <w:r>
              <w:rPr>
                <w:rFonts w:ascii="Arial" w:cs="Arial" w:eastAsia="Arial" w:hAnsi="Arial"/>
                <w:b/>
                <w:bCs/>
                <w:color w:val="217A48"/>
                <w:sz w:val="18"/>
                <w:szCs w:val="18"/>
              </w:rPr>
              <w:t xml:space="preserve">Complete</w:t>
            </w:r>
          </w:p>
        </w:tc>
      </w:tr>
      <w:tr>
        <w:tc>
          <w:tcPr>
            <w:tcW w:type="dxa" w:w="52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color w:val="1E3A5F"/>
              </w:rPr>
              <w:t xml:space="preserve">S5</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Trend Intelligence</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scenario_analysis.go/.._test.go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17</w:t>
            </w:r>
          </w:p>
        </w:tc>
        <w:tc>
          <w:tcPr>
            <w:tcW w:type="dxa" w:w="1100"/>
            <w:tcBorders>
              <w:top w:val="single" w:color="CCCCCC" w:sz="1"/>
              <w:left w:val="single" w:color="CCCCCC" w:sz="1"/>
              <w:bottom w:val="single" w:color="CCCCCC" w:sz="1"/>
              <w:right w:val="single" w:color="CCCCCC" w:sz="1"/>
            </w:tcBorders>
            <w:shd w:fill="D6EDDF" w:val="clear"/>
            <w:tcMar>
              <w:top w:type="dxa" w:w="80"/>
              <w:left w:type="dxa" w:w="120"/>
              <w:bottom w:type="dxa" w:w="80"/>
              <w:right w:type="dxa" w:w="120"/>
            </w:tcMar>
          </w:tcPr>
          <w:p>
            <w:pPr>
              <w:jc w:val="center"/>
            </w:pPr>
            <w:r>
              <w:rPr>
                <w:rFonts w:ascii="Arial" w:cs="Arial" w:eastAsia="Arial" w:hAnsi="Arial"/>
                <w:b/>
                <w:bCs/>
                <w:color w:val="217A48"/>
                <w:sz w:val="18"/>
                <w:szCs w:val="18"/>
              </w:rPr>
              <w:t xml:space="preserve">Complete</w:t>
            </w:r>
          </w:p>
        </w:tc>
      </w:tr>
      <w:tr>
        <w:tc>
          <w:tcPr>
            <w:tcW w:type="dxa" w:w="52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color w:val="1E3A5F"/>
              </w:rPr>
              <w:t xml:space="preserve">S6</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AI-Ready Highlights</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scenario_analysis.go/.._test.go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7</w:t>
            </w:r>
          </w:p>
        </w:tc>
        <w:tc>
          <w:tcPr>
            <w:tcW w:type="dxa" w:w="1100"/>
            <w:tcBorders>
              <w:top w:val="single" w:color="CCCCCC" w:sz="1"/>
              <w:left w:val="single" w:color="CCCCCC" w:sz="1"/>
              <w:bottom w:val="single" w:color="CCCCCC" w:sz="1"/>
              <w:right w:val="single" w:color="CCCCCC" w:sz="1"/>
            </w:tcBorders>
            <w:shd w:fill="D6EDDF" w:val="clear"/>
            <w:tcMar>
              <w:top w:type="dxa" w:w="80"/>
              <w:left w:type="dxa" w:w="120"/>
              <w:bottom w:type="dxa" w:w="80"/>
              <w:right w:type="dxa" w:w="120"/>
            </w:tcMar>
          </w:tcPr>
          <w:p>
            <w:pPr>
              <w:jc w:val="center"/>
            </w:pPr>
            <w:r>
              <w:rPr>
                <w:rFonts w:ascii="Arial" w:cs="Arial" w:eastAsia="Arial" w:hAnsi="Arial"/>
                <w:b/>
                <w:bCs/>
                <w:color w:val="217A48"/>
                <w:sz w:val="18"/>
                <w:szCs w:val="18"/>
              </w:rPr>
              <w:t xml:space="preserve">Complete</w:t>
            </w:r>
          </w:p>
        </w:tc>
      </w:tr>
      <w:tr>
        <w:tc>
          <w:tcPr>
            <w:tcW w:type="dxa" w:w="52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color w:val="1E3A5F"/>
              </w:rPr>
              <w:t xml:space="preserve">S7</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Sensitivity Foundation</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sensitivity_engine.go/.._test.go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8</w:t>
            </w:r>
          </w:p>
        </w:tc>
        <w:tc>
          <w:tcPr>
            <w:tcW w:type="dxa" w:w="1100"/>
            <w:tcBorders>
              <w:top w:val="single" w:color="CCCCCC" w:sz="1"/>
              <w:left w:val="single" w:color="CCCCCC" w:sz="1"/>
              <w:bottom w:val="single" w:color="CCCCCC" w:sz="1"/>
              <w:right w:val="single" w:color="CCCCCC" w:sz="1"/>
            </w:tcBorders>
            <w:shd w:fill="D6EDDF" w:val="clear"/>
            <w:tcMar>
              <w:top w:type="dxa" w:w="80"/>
              <w:left w:type="dxa" w:w="120"/>
              <w:bottom w:type="dxa" w:w="80"/>
              <w:right w:type="dxa" w:w="120"/>
            </w:tcMar>
          </w:tcPr>
          <w:p>
            <w:pPr>
              <w:jc w:val="center"/>
            </w:pPr>
            <w:r>
              <w:rPr>
                <w:rFonts w:ascii="Arial" w:cs="Arial" w:eastAsia="Arial" w:hAnsi="Arial"/>
                <w:b/>
                <w:bCs/>
                <w:color w:val="217A48"/>
                <w:sz w:val="18"/>
                <w:szCs w:val="18"/>
              </w:rPr>
              <w:t xml:space="preserve">Complete</w:t>
            </w:r>
          </w:p>
        </w:tc>
      </w:tr>
    </w:tbl>
    <w:p>
      <w:pPr>
        <w:spacing w:after="0" w:before="200"/>
      </w:pPr>
      <w:r>
        <w:rPr>
          <w:rFonts w:ascii="Arial" w:cs="Arial" w:eastAsia="Arial" w:hAnsi="Arial"/>
        </w:rPr>
        <w:t xml:space="preserve"/>
      </w:r>
    </w:p>
    <w:p>
      <w:pPr>
        <w:pStyle w:val="Heading1"/>
        <w:pBdr>
          <w:left w:val="single" w:color="2E6DB4" w:sz="20" w:space="8"/>
        </w:pBdr>
        <w:ind w:left="200"/>
      </w:pPr>
      <w:r>
        <w:rPr>
          <w:rFonts w:ascii="Arial" w:cs="Arial" w:eastAsia="Arial" w:hAnsi="Arial"/>
          <w:b/>
          <w:bCs/>
          <w:color w:val="1E3A5F"/>
        </w:rPr>
        <w:t xml:space="preserve">4. Sprint Details</w:t>
      </w:r>
    </w:p>
    <w:p>
      <w:pPr>
        <w:pBdr>
          <w:bottom w:val="single" w:color="2E6DB4" w:sz="4"/>
        </w:pBdr>
        <w:spacing w:after="200"/>
      </w:pPr>
    </w:p>
    <w:p>
      <w:pPr>
        <w:pStyle w:val="Heading2"/>
        <w:pBdr>
          <w:left w:val="single" w:color="2E6DB4" w:sz="20" w:space="8"/>
        </w:pBdr>
        <w:ind w:left="200"/>
      </w:pPr>
      <w:r>
        <w:rPr>
          <w:rFonts w:ascii="Arial" w:cs="Arial" w:eastAsia="Arial" w:hAnsi="Arial"/>
          <w:b/>
          <w:bCs/>
          <w:color w:val="1E3A5F"/>
        </w:rPr>
        <w:t xml:space="preserve">Sprint 1 — Core Accuracy and Funding Signal</w:t>
      </w:r>
    </w:p>
    <w:p>
      <w:pPr>
        <w:spacing w:after="80" w:before="160"/>
      </w:pPr>
      <w:r>
        <w:rPr>
          <w:rFonts w:ascii="Arial" w:cs="Arial" w:eastAsia="Arial" w:hAnsi="Arial"/>
          <w:b/>
          <w:bCs/>
          <w:color w:val="1E3A5F"/>
        </w:rPr>
        <w:t xml:space="preserve">Goal: </w:t>
      </w:r>
      <w:r>
        <w:rPr>
          <w:rFonts w:ascii="Arial" w:cs="Arial" w:eastAsia="Arial" w:hAnsi="Arial"/>
        </w:rPr>
        <w:t xml:space="preserve">Replace binary break-even detection with a three-state BreakEvenStatus and add FundingRequired calculation.</w:t>
      </w:r>
    </w:p>
    <w:p>
      <w:pPr>
        <w:spacing w:after="60" w:before="120"/>
      </w:pPr>
      <w:r>
        <w:rPr>
          <w:rFonts w:ascii="Arial" w:cs="Arial" w:eastAsia="Arial" w:hAnsi="Arial"/>
          <w:b/>
          <w:bCs/>
          <w:color w:val="1E3A5F"/>
          <w:sz w:val="22"/>
          <w:szCs w:val="22"/>
        </w:rPr>
        <w:t xml:space="preserve">Deliverables</w:t>
      </w:r>
    </w:p>
    <w:p>
      <w:pPr>
        <w:pStyle w:val="ListParagraph"/>
        <w:numPr>
          <w:ilvl w:val="0"/>
          <w:numId w:val="2"/>
        </w:numPr>
        <w:spacing w:after="60"/>
      </w:pPr>
      <w:r>
        <w:rPr>
          <w:rFonts w:ascii="Arial" w:cs="Arial" w:eastAsia="Arial" w:hAnsi="Arial"/>
          <w:sz w:val="22"/>
          <w:szCs w:val="22"/>
        </w:rPr>
        <w:t xml:space="preserve">BreakEvenStatus: three states — reached, approaching, not_reached — replacing a single integer month</w:t>
      </w:r>
    </w:p>
    <w:p>
      <w:pPr>
        <w:pStyle w:val="ListParagraph"/>
        <w:numPr>
          <w:ilvl w:val="0"/>
          <w:numId w:val="2"/>
        </w:numPr>
        <w:spacing w:after="60"/>
      </w:pPr>
      <w:r>
        <w:rPr>
          <w:rFonts w:ascii="Arial" w:cs="Arial" w:eastAsia="Arial" w:hAnsi="Arial"/>
          <w:sz w:val="22"/>
          <w:szCs w:val="22"/>
        </w:rPr>
        <w:t xml:space="preserve">Break-even detection via Economic.Total with P&amp;L fallback; approaching detection via linear trend projection</w:t>
      </w:r>
    </w:p>
    <w:p>
      <w:pPr>
        <w:pStyle w:val="ListParagraph"/>
        <w:numPr>
          <w:ilvl w:val="0"/>
          <w:numId w:val="2"/>
        </w:numPr>
        <w:spacing w:after="60"/>
      </w:pPr>
      <w:r>
        <w:rPr>
          <w:rFonts w:ascii="Arial" w:cs="Arial" w:eastAsia="Arial" w:hAnsi="Arial"/>
          <w:sz w:val="22"/>
          <w:szCs w:val="22"/>
        </w:rPr>
        <w:t xml:space="preserve">FundingRequired: largest running negative cumulative cash balance, zero if never negative</w:t>
      </w:r>
    </w:p>
    <w:p>
      <w:pPr>
        <w:pStyle w:val="ListParagraph"/>
        <w:numPr>
          <w:ilvl w:val="0"/>
          <w:numId w:val="2"/>
        </w:numPr>
        <w:spacing w:after="60"/>
      </w:pPr>
      <w:r>
        <w:rPr>
          <w:rFonts w:ascii="Arial" w:cs="Arial" w:eastAsia="Arial" w:hAnsi="Arial"/>
          <w:sz w:val="22"/>
          <w:szCs w:val="22"/>
        </w:rPr>
        <w:t xml:space="preserve">ScenarioAnalysisResult extended with BreakEvenStatus, BreakEvenMonth, BreakEvenMethod, FundingRequired fields</w:t>
      </w:r>
    </w:p>
    <w:p>
      <w:pPr>
        <w:spacing w:after="60" w:before="120"/>
      </w:pPr>
      <w:r>
        <w:rPr>
          <w:rFonts w:ascii="Arial" w:cs="Arial" w:eastAsia="Arial" w:hAnsi="Arial"/>
          <w:b/>
          <w:bCs/>
          <w:color w:val="1E3A5F"/>
          <w:sz w:val="22"/>
          <w:szCs w:val="22"/>
        </w:rPr>
        <w:t xml:space="preserve">Test Coverage</w:t>
      </w:r>
    </w:p>
    <w:p>
      <w:pPr>
        <w:pStyle w:val="ListParagraph"/>
        <w:numPr>
          <w:ilvl w:val="0"/>
          <w:numId w:val="2"/>
        </w:numPr>
        <w:spacing w:after="40"/>
      </w:pPr>
      <w:r>
        <w:rPr>
          <w:rFonts w:ascii="Courier New" w:cs="Courier New" w:eastAsia="Courier New" w:hAnsi="Courier New"/>
          <w:color w:val="1A7A6E"/>
          <w:sz w:val="20"/>
          <w:szCs w:val="20"/>
        </w:rPr>
        <w:t xml:space="preserve">TestBreakEven_EconomicNeverNegative_ReturnsReached</w:t>
      </w:r>
    </w:p>
    <w:p>
      <w:pPr>
        <w:pStyle w:val="ListParagraph"/>
        <w:numPr>
          <w:ilvl w:val="0"/>
          <w:numId w:val="2"/>
        </w:numPr>
        <w:spacing w:after="40"/>
      </w:pPr>
      <w:r>
        <w:rPr>
          <w:rFonts w:ascii="Courier New" w:cs="Courier New" w:eastAsia="Courier New" w:hAnsi="Courier New"/>
          <w:color w:val="1A7A6E"/>
          <w:sz w:val="20"/>
          <w:szCs w:val="20"/>
        </w:rPr>
        <w:t xml:space="preserve">TestBreakEven_ApproachingConverging_ReturnsApproaching</w:t>
      </w:r>
    </w:p>
    <w:p>
      <w:pPr>
        <w:pStyle w:val="ListParagraph"/>
        <w:numPr>
          <w:ilvl w:val="0"/>
          <w:numId w:val="2"/>
        </w:numPr>
        <w:spacing w:after="40"/>
      </w:pPr>
      <w:r>
        <w:rPr>
          <w:rFonts w:ascii="Courier New" w:cs="Courier New" w:eastAsia="Courier New" w:hAnsi="Courier New"/>
          <w:color w:val="1A7A6E"/>
          <w:sz w:val="20"/>
          <w:szCs w:val="20"/>
        </w:rPr>
        <w:t xml:space="preserve">TestBreakEven_AlwaysNegative_ReturnsNotReached</w:t>
      </w:r>
    </w:p>
    <w:p>
      <w:pPr>
        <w:pStyle w:val="ListParagraph"/>
        <w:numPr>
          <w:ilvl w:val="0"/>
          <w:numId w:val="2"/>
        </w:numPr>
        <w:spacing w:after="40"/>
      </w:pPr>
      <w:r>
        <w:rPr>
          <w:rFonts w:ascii="Courier New" w:cs="Courier New" w:eastAsia="Courier New" w:hAnsi="Courier New"/>
          <w:color w:val="1A7A6E"/>
          <w:sz w:val="20"/>
          <w:szCs w:val="20"/>
        </w:rPr>
        <w:t xml:space="preserve">TestFundingRequired_NegativeCash</w:t>
      </w:r>
    </w:p>
    <w:p>
      <w:pPr>
        <w:pStyle w:val="ListParagraph"/>
        <w:numPr>
          <w:ilvl w:val="0"/>
          <w:numId w:val="2"/>
        </w:numPr>
        <w:spacing w:after="40"/>
      </w:pPr>
      <w:r>
        <w:rPr>
          <w:rFonts w:ascii="Courier New" w:cs="Courier New" w:eastAsia="Courier New" w:hAnsi="Courier New"/>
          <w:color w:val="1A7A6E"/>
          <w:sz w:val="20"/>
          <w:szCs w:val="20"/>
        </w:rPr>
        <w:t xml:space="preserve">TestFundingRequired_PositiveCash_IsZero</w:t>
      </w:r>
    </w:p>
    <w:p>
      <w:pPr>
        <w:spacing w:after="200" w:before="100"/>
      </w:pPr>
      <w:r>
        <w:rPr>
          <w:rFonts w:ascii="Arial" w:cs="Arial" w:eastAsia="Arial" w:hAnsi="Arial"/>
          <w:b/>
          <w:bCs/>
          <w:color w:val="1E3A5F"/>
        </w:rPr>
        <w:t xml:space="preserve">Acceptance: </w:t>
      </w:r>
      <w:r>
        <w:rPr>
          <w:rFonts w:ascii="Arial" w:cs="Arial" w:eastAsia="Arial" w:hAnsi="Arial"/>
          <w:sz w:val="22"/>
          <w:szCs w:val="22"/>
        </w:rPr>
        <w:t xml:space="preserve">BreakEvenStatus populated in all paths. Approaching test proves a converging-negative scenario no longer returns not_reached. FundingRequired is zero when cash never dips negative.</w:t>
      </w:r>
    </w:p>
    <w:p>
      <w:pPr>
        <w:pStyle w:val="Heading2"/>
        <w:pBdr>
          <w:left w:val="single" w:color="2E6DB4" w:sz="20" w:space="8"/>
        </w:pBdr>
        <w:ind w:left="200"/>
      </w:pPr>
      <w:r>
        <w:rPr>
          <w:rFonts w:ascii="Arial" w:cs="Arial" w:eastAsia="Arial" w:hAnsi="Arial"/>
          <w:b/>
          <w:bCs/>
          <w:color w:val="1E3A5F"/>
        </w:rPr>
        <w:t xml:space="preserve">Sprint 2 — Continuous Viability Scoring</w:t>
      </w:r>
    </w:p>
    <w:p>
      <w:pPr>
        <w:spacing w:after="80" w:before="160"/>
      </w:pPr>
      <w:r>
        <w:rPr>
          <w:rFonts w:ascii="Arial" w:cs="Arial" w:eastAsia="Arial" w:hAnsi="Arial"/>
          <w:b/>
          <w:bCs/>
          <w:color w:val="1E3A5F"/>
        </w:rPr>
        <w:t xml:space="preserve">Goal: </w:t>
      </w:r>
      <w:r>
        <w:rPr>
          <w:rFonts w:ascii="Arial" w:cs="Arial" w:eastAsia="Arial" w:hAnsi="Arial"/>
        </w:rPr>
        <w:t xml:space="preserve">Replace the three-bucket v1 classification with a 0-100 continuous viability score and richer status labels.</w:t>
      </w:r>
    </w:p>
    <w:p>
      <w:pPr>
        <w:spacing w:after="60" w:before="120"/>
      </w:pPr>
      <w:r>
        <w:rPr>
          <w:rFonts w:ascii="Arial" w:cs="Arial" w:eastAsia="Arial" w:hAnsi="Arial"/>
          <w:b/>
          <w:bCs/>
          <w:color w:val="1E3A5F"/>
          <w:sz w:val="22"/>
          <w:szCs w:val="22"/>
        </w:rPr>
        <w:t xml:space="preserve">Deliverables</w:t>
      </w:r>
    </w:p>
    <w:p>
      <w:pPr>
        <w:pStyle w:val="ListParagraph"/>
        <w:numPr>
          <w:ilvl w:val="0"/>
          <w:numId w:val="2"/>
        </w:numPr>
        <w:spacing w:after="60"/>
      </w:pPr>
      <w:r>
        <w:rPr>
          <w:rFonts w:ascii="Arial" w:cs="Arial" w:eastAsia="Arial" w:hAnsi="Arial"/>
          <w:sz w:val="22"/>
          <w:szCs w:val="22"/>
        </w:rPr>
        <w:t xml:space="preserve">Viability score: composite of cash health (40 pts), profitability (30 pts), growth trajectory (20 pts), funding cushion (10 pts)</w:t>
      </w:r>
    </w:p>
    <w:p>
      <w:pPr>
        <w:pStyle w:val="ListParagraph"/>
        <w:numPr>
          <w:ilvl w:val="0"/>
          <w:numId w:val="2"/>
        </w:numPr>
        <w:spacing w:after="60"/>
      </w:pPr>
      <w:r>
        <w:rPr>
          <w:rFonts w:ascii="Arial" w:cs="Arial" w:eastAsia="Arial" w:hAnsi="Arial"/>
          <w:sz w:val="22"/>
          <w:szCs w:val="22"/>
        </w:rPr>
        <w:t xml:space="preserve">Absolute branch for pre-revenue scenarios prevents ratio explosion</w:t>
      </w:r>
    </w:p>
    <w:p>
      <w:pPr>
        <w:pStyle w:val="ListParagraph"/>
        <w:numPr>
          <w:ilvl w:val="0"/>
          <w:numId w:val="2"/>
        </w:numPr>
        <w:spacing w:after="60"/>
      </w:pPr>
      <w:r>
        <w:rPr>
          <w:rFonts w:ascii="Arial" w:cs="Arial" w:eastAsia="Arial" w:hAnsi="Arial"/>
          <w:sz w:val="22"/>
          <w:szCs w:val="22"/>
        </w:rPr>
        <w:t xml:space="preserve">Status labels: strong (≥75), moderate (50-74), risky (&lt;50)</w:t>
      </w:r>
    </w:p>
    <w:p>
      <w:pPr>
        <w:pStyle w:val="ListParagraph"/>
        <w:numPr>
          <w:ilvl w:val="0"/>
          <w:numId w:val="2"/>
        </w:numPr>
        <w:spacing w:after="60"/>
      </w:pPr>
      <w:r>
        <w:rPr>
          <w:rFonts w:ascii="Arial" w:cs="Arial" w:eastAsia="Arial" w:hAnsi="Arial"/>
          <w:sz w:val="22"/>
          <w:szCs w:val="22"/>
        </w:rPr>
        <w:t xml:space="preserve">ViabilityResult struct extended with Score, Status, Breakdown fields</w:t>
      </w:r>
    </w:p>
    <w:p>
      <w:pPr>
        <w:spacing w:after="60" w:before="120"/>
      </w:pPr>
      <w:r>
        <w:rPr>
          <w:rFonts w:ascii="Arial" w:cs="Arial" w:eastAsia="Arial" w:hAnsi="Arial"/>
          <w:b/>
          <w:bCs/>
          <w:color w:val="1E3A5F"/>
          <w:sz w:val="22"/>
          <w:szCs w:val="22"/>
        </w:rPr>
        <w:t xml:space="preserve">Test Coverage</w:t>
      </w:r>
    </w:p>
    <w:p>
      <w:pPr>
        <w:pStyle w:val="ListParagraph"/>
        <w:numPr>
          <w:ilvl w:val="0"/>
          <w:numId w:val="2"/>
        </w:numPr>
        <w:spacing w:after="40"/>
      </w:pPr>
      <w:r>
        <w:rPr>
          <w:rFonts w:ascii="Courier New" w:cs="Courier New" w:eastAsia="Courier New" w:hAnsi="Courier New"/>
          <w:color w:val="1A7A6E"/>
          <w:sz w:val="20"/>
          <w:szCs w:val="20"/>
        </w:rPr>
        <w:t xml:space="preserve">TestScoreCashHealth_RatioMode</w:t>
      </w:r>
    </w:p>
    <w:p>
      <w:pPr>
        <w:pStyle w:val="ListParagraph"/>
        <w:numPr>
          <w:ilvl w:val="0"/>
          <w:numId w:val="2"/>
        </w:numPr>
        <w:spacing w:after="40"/>
      </w:pPr>
      <w:r>
        <w:rPr>
          <w:rFonts w:ascii="Courier New" w:cs="Courier New" w:eastAsia="Courier New" w:hAnsi="Courier New"/>
          <w:color w:val="1A7A6E"/>
          <w:sz w:val="20"/>
          <w:szCs w:val="20"/>
        </w:rPr>
        <w:t xml:space="preserve">TestScoreCashHealth_AbsoluteBranch_LowRevenue</w:t>
      </w:r>
    </w:p>
    <w:p>
      <w:pPr>
        <w:pStyle w:val="ListParagraph"/>
        <w:numPr>
          <w:ilvl w:val="0"/>
          <w:numId w:val="2"/>
        </w:numPr>
        <w:spacing w:after="40"/>
      </w:pPr>
      <w:r>
        <w:rPr>
          <w:rFonts w:ascii="Courier New" w:cs="Courier New" w:eastAsia="Courier New" w:hAnsi="Courier New"/>
          <w:color w:val="1A7A6E"/>
          <w:sz w:val="20"/>
          <w:szCs w:val="20"/>
        </w:rPr>
        <w:t xml:space="preserve">TestScoreProfitability_NegativeEBITDA</w:t>
      </w:r>
    </w:p>
    <w:p>
      <w:pPr>
        <w:pStyle w:val="ListParagraph"/>
        <w:numPr>
          <w:ilvl w:val="0"/>
          <w:numId w:val="2"/>
        </w:numPr>
        <w:spacing w:after="40"/>
      </w:pPr>
      <w:r>
        <w:rPr>
          <w:rFonts w:ascii="Courier New" w:cs="Courier New" w:eastAsia="Courier New" w:hAnsi="Courier New"/>
          <w:color w:val="1A7A6E"/>
          <w:sz w:val="20"/>
          <w:szCs w:val="20"/>
        </w:rPr>
        <w:t xml:space="preserve">TestComputeViability_ContinuousDistinction</w:t>
      </w:r>
    </w:p>
    <w:p>
      <w:pPr>
        <w:spacing w:after="200" w:before="100"/>
      </w:pPr>
      <w:r>
        <w:rPr>
          <w:rFonts w:ascii="Arial" w:cs="Arial" w:eastAsia="Arial" w:hAnsi="Arial"/>
          <w:b/>
          <w:bCs/>
          <w:color w:val="1E3A5F"/>
        </w:rPr>
        <w:t xml:space="preserve">Acceptance: </w:t>
      </w:r>
      <w:r>
        <w:rPr>
          <w:rFonts w:ascii="Arial" w:cs="Arial" w:eastAsia="Arial" w:hAnsi="Arial"/>
          <w:sz w:val="22"/>
          <w:szCs w:val="22"/>
        </w:rPr>
        <w:t xml:space="preserve">No test hardcodes a specific score integer. The AbsoluteBranch test demonstrates a pre-revenue scenario scores sensibly without ratio explosion.</w:t>
      </w:r>
    </w:p>
    <w:p>
      <w:pPr>
        <w:pStyle w:val="Heading2"/>
        <w:pBdr>
          <w:left w:val="single" w:color="2E6DB4" w:sz="20" w:space="8"/>
        </w:pBdr>
        <w:ind w:left="200"/>
      </w:pPr>
      <w:r>
        <w:rPr>
          <w:rFonts w:ascii="Arial" w:cs="Arial" w:eastAsia="Arial" w:hAnsi="Arial"/>
          <w:b/>
          <w:bCs/>
          <w:color w:val="1E3A5F"/>
        </w:rPr>
        <w:t xml:space="preserve">Sprint 3 — Risk Intelligence</w:t>
      </w:r>
    </w:p>
    <w:p>
      <w:pPr>
        <w:spacing w:after="80" w:before="160"/>
      </w:pPr>
      <w:r>
        <w:rPr>
          <w:rFonts w:ascii="Arial" w:cs="Arial" w:eastAsia="Arial" w:hAnsi="Arial"/>
          <w:b/>
          <w:bCs/>
          <w:color w:val="1E3A5F"/>
        </w:rPr>
        <w:t xml:space="preserve">Goal: </w:t>
      </w:r>
      <w:r>
        <w:rPr>
          <w:rFonts w:ascii="Arial" w:cs="Arial" w:eastAsia="Arial" w:hAnsi="Arial"/>
        </w:rPr>
        <w:t xml:space="preserve">Emit structured risks with severity, urgency, magnitude, and a coherent global risk level.</w:t>
      </w:r>
    </w:p>
    <w:p>
      <w:pPr>
        <w:spacing w:after="60" w:before="120"/>
      </w:pPr>
      <w:r>
        <w:rPr>
          <w:rFonts w:ascii="Arial" w:cs="Arial" w:eastAsia="Arial" w:hAnsi="Arial"/>
          <w:b/>
          <w:bCs/>
          <w:color w:val="1E3A5F"/>
          <w:sz w:val="22"/>
          <w:szCs w:val="22"/>
        </w:rPr>
        <w:t xml:space="preserve">Deliverables</w:t>
      </w:r>
    </w:p>
    <w:p>
      <w:pPr>
        <w:pStyle w:val="ListParagraph"/>
        <w:numPr>
          <w:ilvl w:val="0"/>
          <w:numId w:val="2"/>
        </w:numPr>
        <w:spacing w:after="60"/>
      </w:pPr>
      <w:r>
        <w:rPr>
          <w:rFonts w:ascii="Arial" w:cs="Arial" w:eastAsia="Arial" w:hAnsi="Arial"/>
          <w:sz w:val="22"/>
          <w:szCs w:val="22"/>
        </w:rPr>
        <w:t xml:space="preserve">Four risk detectors: cash_gap, late_profitability, no_profitability, unrealistic_growth</w:t>
      </w:r>
    </w:p>
    <w:p>
      <w:pPr>
        <w:pStyle w:val="ListParagraph"/>
        <w:numPr>
          <w:ilvl w:val="0"/>
          <w:numId w:val="2"/>
        </w:numPr>
        <w:spacing w:after="60"/>
      </w:pPr>
      <w:r>
        <w:rPr>
          <w:rFonts w:ascii="Arial" w:cs="Arial" w:eastAsia="Arial" w:hAnsi="Arial"/>
          <w:sz w:val="22"/>
          <w:szCs w:val="22"/>
        </w:rPr>
        <w:t xml:space="preserve">Risk struct: Type, Severity (high/medium/low), Urgency, Magnitude, When (optional month pointer)</w:t>
      </w:r>
    </w:p>
    <w:p>
      <w:pPr>
        <w:pStyle w:val="ListParagraph"/>
        <w:numPr>
          <w:ilvl w:val="0"/>
          <w:numId w:val="2"/>
        </w:numPr>
        <w:spacing w:after="60"/>
      </w:pPr>
      <w:r>
        <w:rPr>
          <w:rFonts w:ascii="Arial" w:cs="Arial" w:eastAsia="Arial" w:hAnsi="Arial"/>
          <w:sz w:val="22"/>
          <w:szCs w:val="22"/>
        </w:rPr>
        <w:t xml:space="preserve">RiskSummary: GlobalRiskLevel, RiskCount, CriticalCount</w:t>
      </w:r>
    </w:p>
    <w:p>
      <w:pPr>
        <w:pStyle w:val="ListParagraph"/>
        <w:numPr>
          <w:ilvl w:val="0"/>
          <w:numId w:val="2"/>
        </w:numPr>
        <w:spacing w:after="60"/>
      </w:pPr>
      <w:r>
        <w:rPr>
          <w:rFonts w:ascii="Arial" w:cs="Arial" w:eastAsia="Arial" w:hAnsi="Arial"/>
          <w:sz w:val="22"/>
          <w:szCs w:val="22"/>
        </w:rPr>
        <w:t xml:space="preserve">Viability cap: raw score ≥80 with critical risk level capped to moderate status</w:t>
      </w:r>
    </w:p>
    <w:p>
      <w:pPr>
        <w:spacing w:after="60" w:before="120"/>
      </w:pPr>
      <w:r>
        <w:rPr>
          <w:rFonts w:ascii="Arial" w:cs="Arial" w:eastAsia="Arial" w:hAnsi="Arial"/>
          <w:b/>
          <w:bCs/>
          <w:color w:val="1E3A5F"/>
          <w:sz w:val="22"/>
          <w:szCs w:val="22"/>
        </w:rPr>
        <w:t xml:space="preserve">Test Coverage</w:t>
      </w:r>
    </w:p>
    <w:p>
      <w:pPr>
        <w:pStyle w:val="ListParagraph"/>
        <w:numPr>
          <w:ilvl w:val="0"/>
          <w:numId w:val="2"/>
        </w:numPr>
        <w:spacing w:after="40"/>
      </w:pPr>
      <w:r>
        <w:rPr>
          <w:rFonts w:ascii="Courier New" w:cs="Courier New" w:eastAsia="Courier New" w:hAnsi="Courier New"/>
          <w:color w:val="1A7A6E"/>
          <w:sz w:val="20"/>
          <w:szCs w:val="20"/>
        </w:rPr>
        <w:t xml:space="preserve">TestDetectRisk_CashGap_HasWhen</w:t>
      </w:r>
    </w:p>
    <w:p>
      <w:pPr>
        <w:pStyle w:val="ListParagraph"/>
        <w:numPr>
          <w:ilvl w:val="0"/>
          <w:numId w:val="2"/>
        </w:numPr>
        <w:spacing w:after="40"/>
      </w:pPr>
      <w:r>
        <w:rPr>
          <w:rFonts w:ascii="Courier New" w:cs="Courier New" w:eastAsia="Courier New" w:hAnsi="Courier New"/>
          <w:color w:val="1A7A6E"/>
          <w:sz w:val="20"/>
          <w:szCs w:val="20"/>
        </w:rPr>
        <w:t xml:space="preserve">TestDetectRisk_LateProfitability</w:t>
      </w:r>
    </w:p>
    <w:p>
      <w:pPr>
        <w:pStyle w:val="ListParagraph"/>
        <w:numPr>
          <w:ilvl w:val="0"/>
          <w:numId w:val="2"/>
        </w:numPr>
        <w:spacing w:after="40"/>
      </w:pPr>
      <w:r>
        <w:rPr>
          <w:rFonts w:ascii="Courier New" w:cs="Courier New" w:eastAsia="Courier New" w:hAnsi="Courier New"/>
          <w:color w:val="1A7A6E"/>
          <w:sz w:val="20"/>
          <w:szCs w:val="20"/>
        </w:rPr>
        <w:t xml:space="preserve">TestRiskSummary_NoRisks_IsNone</w:t>
      </w:r>
    </w:p>
    <w:p>
      <w:pPr>
        <w:pStyle w:val="ListParagraph"/>
        <w:numPr>
          <w:ilvl w:val="0"/>
          <w:numId w:val="2"/>
        </w:numPr>
        <w:spacing w:after="40"/>
      </w:pPr>
      <w:r>
        <w:rPr>
          <w:rFonts w:ascii="Courier New" w:cs="Courier New" w:eastAsia="Courier New" w:hAnsi="Courier New"/>
          <w:color w:val="1A7A6E"/>
          <w:sz w:val="20"/>
          <w:szCs w:val="20"/>
        </w:rPr>
        <w:t xml:space="preserve">TestViabilityCap_StrongScoreWithCriticalRisk_IsCappedAtModerate</w:t>
      </w:r>
    </w:p>
    <w:p>
      <w:pPr>
        <w:spacing w:after="200" w:before="100"/>
      </w:pPr>
      <w:r>
        <w:rPr>
          <w:rFonts w:ascii="Arial" w:cs="Arial" w:eastAsia="Arial" w:hAnsi="Arial"/>
          <w:b/>
          <w:bCs/>
          <w:color w:val="1E3A5F"/>
        </w:rPr>
        <w:t xml:space="preserve">Acceptance: </w:t>
      </w:r>
      <w:r>
        <w:rPr>
          <w:rFonts w:ascii="Arial" w:cs="Arial" w:eastAsia="Arial" w:hAnsi="Arial"/>
          <w:sz w:val="22"/>
          <w:szCs w:val="22"/>
        </w:rPr>
        <w:t xml:space="preserve">Every emitted risk has a non-empty Urgency. RiskSummary.GlobalRiskLevel always populated. A scenario with raw score ≥80 and GlobalRiskLevel == critical must never return Status == strong.</w:t>
      </w:r>
    </w:p>
    <w:p>
      <w:pPr>
        <w:pStyle w:val="Heading2"/>
        <w:pBdr>
          <w:left w:val="single" w:color="2E6DB4" w:sz="20" w:space="8"/>
        </w:pBdr>
        <w:ind w:left="200"/>
      </w:pPr>
      <w:r>
        <w:rPr>
          <w:rFonts w:ascii="Arial" w:cs="Arial" w:eastAsia="Arial" w:hAnsi="Arial"/>
          <w:b/>
          <w:bCs/>
          <w:color w:val="1E3A5F"/>
        </w:rPr>
        <w:t xml:space="preserve">Sprint 4 — Driver Ranking and Causality</w:t>
      </w:r>
    </w:p>
    <w:p>
      <w:pPr>
        <w:spacing w:after="80" w:before="160"/>
      </w:pPr>
      <w:r>
        <w:rPr>
          <w:rFonts w:ascii="Arial" w:cs="Arial" w:eastAsia="Arial" w:hAnsi="Arial"/>
          <w:b/>
          <w:bCs/>
          <w:color w:val="1E3A5F"/>
        </w:rPr>
        <w:t xml:space="preserve">Goal: </w:t>
      </w:r>
      <w:r>
        <w:rPr>
          <w:rFonts w:ascii="Arial" w:cs="Arial" w:eastAsia="Arial" w:hAnsi="Arial"/>
        </w:rPr>
        <w:t xml:space="preserve">Identify the top business levers with causal attribution distinguishing root causes from symptoms.</w:t>
      </w:r>
    </w:p>
    <w:p>
      <w:pPr>
        <w:spacing w:after="60" w:before="120"/>
      </w:pPr>
      <w:r>
        <w:rPr>
          <w:rFonts w:ascii="Arial" w:cs="Arial" w:eastAsia="Arial" w:hAnsi="Arial"/>
          <w:b/>
          <w:bCs/>
          <w:color w:val="1E3A5F"/>
          <w:sz w:val="22"/>
          <w:szCs w:val="22"/>
        </w:rPr>
        <w:t xml:space="preserve">Deliverables</w:t>
      </w:r>
    </w:p>
    <w:p>
      <w:pPr>
        <w:pStyle w:val="ListParagraph"/>
        <w:numPr>
          <w:ilvl w:val="0"/>
          <w:numId w:val="2"/>
        </w:numPr>
        <w:spacing w:after="60"/>
      </w:pPr>
      <w:r>
        <w:rPr>
          <w:rFonts w:ascii="Arial" w:cs="Arial" w:eastAsia="Arial" w:hAnsi="Arial"/>
          <w:sz w:val="22"/>
          <w:szCs w:val="22"/>
        </w:rPr>
        <w:t xml:space="preserve">Driver struct: Name, Effect, Priority (high/medium/low), IsRootCause, Direction</w:t>
      </w:r>
    </w:p>
    <w:p>
      <w:pPr>
        <w:pStyle w:val="ListParagraph"/>
        <w:numPr>
          <w:ilvl w:val="0"/>
          <w:numId w:val="2"/>
        </w:numPr>
        <w:spacing w:after="60"/>
      </w:pPr>
      <w:r>
        <w:rPr>
          <w:rFonts w:ascii="Arial" w:cs="Arial" w:eastAsia="Arial" w:hAnsi="Arial"/>
          <w:sz w:val="22"/>
          <w:szCs w:val="22"/>
        </w:rPr>
        <w:t xml:space="preserve">Five detectors: hiring growth, pricing leverage, burn rate, cash contribution, revenue trajectory</w:t>
      </w:r>
    </w:p>
    <w:p>
      <w:pPr>
        <w:pStyle w:val="ListParagraph"/>
        <w:numPr>
          <w:ilvl w:val="0"/>
          <w:numId w:val="2"/>
        </w:numPr>
        <w:spacing w:after="60"/>
      </w:pPr>
      <w:r>
        <w:rPr>
          <w:rFonts w:ascii="Arial" w:cs="Arial" w:eastAsia="Arial" w:hAnsi="Arial"/>
          <w:sz w:val="22"/>
          <w:szCs w:val="22"/>
        </w:rPr>
        <w:t xml:space="preserve">Deduplication rule: cash_contribution and hiring_growth never appear together</w:t>
      </w:r>
    </w:p>
    <w:p>
      <w:pPr>
        <w:pStyle w:val="ListParagraph"/>
        <w:numPr>
          <w:ilvl w:val="0"/>
          <w:numId w:val="2"/>
        </w:numPr>
        <w:spacing w:after="60"/>
      </w:pPr>
      <w:r>
        <w:rPr>
          <w:rFonts w:ascii="Arial" w:cs="Arial" w:eastAsia="Arial" w:hAnsi="Arial"/>
          <w:sz w:val="22"/>
          <w:szCs w:val="22"/>
        </w:rPr>
        <w:t xml:space="preserve">Max 3 drivers; root causes precede symptoms within equal-priority groups</w:t>
      </w:r>
    </w:p>
    <w:p>
      <w:pPr>
        <w:spacing w:after="60" w:before="120"/>
      </w:pPr>
      <w:r>
        <w:rPr>
          <w:rFonts w:ascii="Arial" w:cs="Arial" w:eastAsia="Arial" w:hAnsi="Arial"/>
          <w:b/>
          <w:bCs/>
          <w:color w:val="1E3A5F"/>
          <w:sz w:val="22"/>
          <w:szCs w:val="22"/>
        </w:rPr>
        <w:t xml:space="preserve">Test Coverage</w:t>
      </w:r>
    </w:p>
    <w:p>
      <w:pPr>
        <w:pStyle w:val="ListParagraph"/>
        <w:numPr>
          <w:ilvl w:val="0"/>
          <w:numId w:val="2"/>
        </w:numPr>
        <w:spacing w:after="40"/>
      </w:pPr>
      <w:r>
        <w:rPr>
          <w:rFonts w:ascii="Courier New" w:cs="Courier New" w:eastAsia="Courier New" w:hAnsi="Courier New"/>
          <w:color w:val="1A7A6E"/>
          <w:sz w:val="20"/>
          <w:szCs w:val="20"/>
        </w:rPr>
        <w:t xml:space="preserve">TestHiringDriver_GrowthTrend</w:t>
      </w:r>
    </w:p>
    <w:p>
      <w:pPr>
        <w:pStyle w:val="ListParagraph"/>
        <w:numPr>
          <w:ilvl w:val="0"/>
          <w:numId w:val="2"/>
        </w:numPr>
        <w:spacing w:after="40"/>
      </w:pPr>
      <w:r>
        <w:rPr>
          <w:rFonts w:ascii="Courier New" w:cs="Courier New" w:eastAsia="Courier New" w:hAnsi="Courier New"/>
          <w:color w:val="1A7A6E"/>
          <w:sz w:val="20"/>
          <w:szCs w:val="20"/>
        </w:rPr>
        <w:t xml:space="preserve">TestPricingDriver_HighMargin</w:t>
      </w:r>
    </w:p>
    <w:p>
      <w:pPr>
        <w:pStyle w:val="ListParagraph"/>
        <w:numPr>
          <w:ilvl w:val="0"/>
          <w:numId w:val="2"/>
        </w:numPr>
        <w:spacing w:after="40"/>
      </w:pPr>
      <w:r>
        <w:rPr>
          <w:rFonts w:ascii="Courier New" w:cs="Courier New" w:eastAsia="Courier New" w:hAnsi="Courier New"/>
          <w:color w:val="1A7A6E"/>
          <w:sz w:val="20"/>
          <w:szCs w:val="20"/>
        </w:rPr>
        <w:t xml:space="preserve">TestCashContributionDriver_HighPayrollFraction_HiringNotEmitted</w:t>
      </w:r>
    </w:p>
    <w:p>
      <w:pPr>
        <w:pStyle w:val="ListParagraph"/>
        <w:numPr>
          <w:ilvl w:val="0"/>
          <w:numId w:val="2"/>
        </w:numPr>
        <w:spacing w:after="40"/>
      </w:pPr>
      <w:r>
        <w:rPr>
          <w:rFonts w:ascii="Courier New" w:cs="Courier New" w:eastAsia="Courier New" w:hAnsi="Courier New"/>
          <w:color w:val="1A7A6E"/>
          <w:sz w:val="20"/>
          <w:szCs w:val="20"/>
        </w:rPr>
        <w:t xml:space="preserve">TestCashContributionDriver_Suppressed_WhenHiringAlreadyEmitted</w:t>
      </w:r>
    </w:p>
    <w:p>
      <w:pPr>
        <w:spacing w:after="200" w:before="100"/>
      </w:pPr>
      <w:r>
        <w:rPr>
          <w:rFonts w:ascii="Arial" w:cs="Arial" w:eastAsia="Arial" w:hAnsi="Arial"/>
          <w:b/>
          <w:bCs/>
          <w:color w:val="1E3A5F"/>
        </w:rPr>
        <w:t xml:space="preserve">Acceptance: </w:t>
      </w:r>
      <w:r>
        <w:rPr>
          <w:rFonts w:ascii="Arial" w:cs="Arial" w:eastAsia="Arial" w:hAnsi="Arial"/>
          <w:sz w:val="22"/>
          <w:szCs w:val="22"/>
        </w:rPr>
        <w:t xml:space="preserve">No scenario returns more than 3 drivers. Root causes precede symptoms in equal-priority groups. Cash-contribution driver and hiring driver never appear together.</w:t>
      </w:r>
    </w:p>
    <w:p>
      <w:pPr>
        <w:pStyle w:val="Heading2"/>
        <w:pBdr>
          <w:left w:val="single" w:color="2E6DB4" w:sz="20" w:space="8"/>
        </w:pBdr>
        <w:ind w:left="200"/>
      </w:pPr>
      <w:r>
        <w:rPr>
          <w:rFonts w:ascii="Arial" w:cs="Arial" w:eastAsia="Arial" w:hAnsi="Arial"/>
          <w:b/>
          <w:bCs/>
          <w:color w:val="1E3A5F"/>
        </w:rPr>
        <w:t xml:space="preserve">Sprint 5 — Trend Intelligence</w:t>
      </w:r>
    </w:p>
    <w:p>
      <w:pPr>
        <w:spacing w:after="80" w:before="160"/>
      </w:pPr>
      <w:r>
        <w:rPr>
          <w:rFonts w:ascii="Arial" w:cs="Arial" w:eastAsia="Arial" w:hAnsi="Arial"/>
          <w:b/>
          <w:bCs/>
          <w:color w:val="1E3A5F"/>
        </w:rPr>
        <w:t xml:space="preserve">Goal: </w:t>
      </w:r>
      <w:r>
        <w:rPr>
          <w:rFonts w:ascii="Arial" w:cs="Arial" w:eastAsia="Arial" w:hAnsi="Arial"/>
        </w:rPr>
        <w:t xml:space="preserve">Derive six econometric scalars from the plan's time-series data to describe trajectory and momentum.</w:t>
      </w:r>
    </w:p>
    <w:p>
      <w:pPr>
        <w:spacing w:after="60" w:before="120"/>
      </w:pPr>
      <w:r>
        <w:rPr>
          <w:rFonts w:ascii="Arial" w:cs="Arial" w:eastAsia="Arial" w:hAnsi="Arial"/>
          <w:b/>
          <w:bCs/>
          <w:color w:val="1E3A5F"/>
          <w:sz w:val="22"/>
          <w:szCs w:val="22"/>
        </w:rPr>
        <w:t xml:space="preserve">Deliverables</w:t>
      </w:r>
    </w:p>
    <w:p>
      <w:pPr>
        <w:pStyle w:val="ListParagraph"/>
        <w:numPr>
          <w:ilvl w:val="0"/>
          <w:numId w:val="2"/>
        </w:numPr>
        <w:spacing w:after="60"/>
      </w:pPr>
      <w:r>
        <w:rPr>
          <w:rFonts w:ascii="Arial" w:cs="Arial" w:eastAsia="Arial" w:hAnsi="Arial"/>
          <w:sz w:val="22"/>
          <w:szCs w:val="22"/>
        </w:rPr>
        <w:t xml:space="preserve">TrendInsights struct: RevenueCAGR, BurnRateMonthly, RevenueVolatility, InflectionMonth, TimeToScale, TrendSignal</w:t>
      </w:r>
    </w:p>
    <w:p>
      <w:pPr>
        <w:pStyle w:val="ListParagraph"/>
        <w:numPr>
          <w:ilvl w:val="0"/>
          <w:numId w:val="2"/>
        </w:numPr>
        <w:spacing w:after="60"/>
      </w:pPr>
      <w:r>
        <w:rPr>
          <w:rFonts w:ascii="Arial" w:cs="Arial" w:eastAsia="Arial" w:hAnsi="Arial"/>
          <w:sz w:val="22"/>
          <w:szCs w:val="22"/>
        </w:rPr>
        <w:t xml:space="preserve">CAGR: compound annual growth rate over 5-year revenue series</w:t>
      </w:r>
    </w:p>
    <w:p>
      <w:pPr>
        <w:pStyle w:val="ListParagraph"/>
        <w:numPr>
          <w:ilvl w:val="0"/>
          <w:numId w:val="2"/>
        </w:numPr>
        <w:spacing w:after="60"/>
      </w:pPr>
      <w:r>
        <w:rPr>
          <w:rFonts w:ascii="Arial" w:cs="Arial" w:eastAsia="Arial" w:hAnsi="Arial"/>
          <w:sz w:val="22"/>
          <w:szCs w:val="22"/>
        </w:rPr>
        <w:t xml:space="preserve">TimeToScale algorithm: first i where rate[i]&gt;rate[i-1] AND rate[i+1]&gt;rate[i] with revenue ≥5000 and variation ≥2% guards</w:t>
      </w:r>
    </w:p>
    <w:p>
      <w:pPr>
        <w:pStyle w:val="ListParagraph"/>
        <w:numPr>
          <w:ilvl w:val="0"/>
          <w:numId w:val="2"/>
        </w:numPr>
        <w:spacing w:after="60"/>
      </w:pPr>
      <w:r>
        <w:rPr>
          <w:rFonts w:ascii="Arial" w:cs="Arial" w:eastAsia="Arial" w:hAnsi="Arial"/>
          <w:sz w:val="22"/>
          <w:szCs w:val="22"/>
        </w:rPr>
        <w:t xml:space="preserve">TrendSignal: volatile (CV&gt;0.50) overrides improving/deteriorating direction signal</w:t>
      </w:r>
    </w:p>
    <w:p>
      <w:pPr>
        <w:spacing w:after="60" w:before="120"/>
      </w:pPr>
      <w:r>
        <w:rPr>
          <w:rFonts w:ascii="Arial" w:cs="Arial" w:eastAsia="Arial" w:hAnsi="Arial"/>
          <w:b/>
          <w:bCs/>
          <w:color w:val="1E3A5F"/>
          <w:sz w:val="22"/>
          <w:szCs w:val="22"/>
        </w:rPr>
        <w:t xml:space="preserve">Test Coverage</w:t>
      </w:r>
    </w:p>
    <w:p>
      <w:pPr>
        <w:pStyle w:val="ListParagraph"/>
        <w:numPr>
          <w:ilvl w:val="0"/>
          <w:numId w:val="2"/>
        </w:numPr>
        <w:spacing w:after="40"/>
      </w:pPr>
      <w:r>
        <w:rPr>
          <w:rFonts w:ascii="Courier New" w:cs="Courier New" w:eastAsia="Courier New" w:hAnsi="Courier New"/>
          <w:color w:val="1A7A6E"/>
          <w:sz w:val="20"/>
          <w:szCs w:val="20"/>
        </w:rPr>
        <w:t xml:space="preserve">TestRevenueCAGR_ZeroBase_ReturnsZero</w:t>
      </w:r>
    </w:p>
    <w:p>
      <w:pPr>
        <w:pStyle w:val="ListParagraph"/>
        <w:numPr>
          <w:ilvl w:val="0"/>
          <w:numId w:val="2"/>
        </w:numPr>
        <w:spacing w:after="40"/>
      </w:pPr>
      <w:r>
        <w:rPr>
          <w:rFonts w:ascii="Courier New" w:cs="Courier New" w:eastAsia="Courier New" w:hAnsi="Courier New"/>
          <w:color w:val="1A7A6E"/>
          <w:sz w:val="20"/>
          <w:szCs w:val="20"/>
        </w:rPr>
        <w:t xml:space="preserve">TestTimeToScale_MonotonicAcceleration_ReturnsOne</w:t>
      </w:r>
    </w:p>
    <w:p>
      <w:pPr>
        <w:pStyle w:val="ListParagraph"/>
        <w:numPr>
          <w:ilvl w:val="0"/>
          <w:numId w:val="2"/>
        </w:numPr>
        <w:spacing w:after="40"/>
      </w:pPr>
      <w:r>
        <w:rPr>
          <w:rFonts w:ascii="Courier New" w:cs="Courier New" w:eastAsia="Courier New" w:hAnsi="Courier New"/>
          <w:color w:val="1A7A6E"/>
          <w:sz w:val="20"/>
          <w:szCs w:val="20"/>
        </w:rPr>
        <w:t xml:space="preserve">TestTimeToScale_RevenueBelowMinThreshold_ReturnsZero</w:t>
      </w:r>
    </w:p>
    <w:p>
      <w:pPr>
        <w:pStyle w:val="ListParagraph"/>
        <w:numPr>
          <w:ilvl w:val="0"/>
          <w:numId w:val="2"/>
        </w:numPr>
        <w:spacing w:after="40"/>
      </w:pPr>
      <w:r>
        <w:rPr>
          <w:rFonts w:ascii="Courier New" w:cs="Courier New" w:eastAsia="Courier New" w:hAnsi="Courier New"/>
          <w:color w:val="1A7A6E"/>
          <w:sz w:val="20"/>
          <w:szCs w:val="20"/>
        </w:rPr>
        <w:t xml:space="preserve">TestTrendSignal_HighVolatility_OverridesImproving</w:t>
      </w:r>
    </w:p>
    <w:p>
      <w:pPr>
        <w:pStyle w:val="ListParagraph"/>
        <w:numPr>
          <w:ilvl w:val="0"/>
          <w:numId w:val="2"/>
        </w:numPr>
        <w:spacing w:after="40"/>
      </w:pPr>
      <w:r>
        <w:rPr>
          <w:rFonts w:ascii="Courier New" w:cs="Courier New" w:eastAsia="Courier New" w:hAnsi="Courier New"/>
          <w:color w:val="1A7A6E"/>
          <w:sz w:val="20"/>
          <w:szCs w:val="20"/>
        </w:rPr>
        <w:t xml:space="preserve">TestComputeInsights_InflectionDistinctFromTimeToScale</w:t>
      </w:r>
    </w:p>
    <w:p>
      <w:pPr>
        <w:spacing w:after="200" w:before="100"/>
      </w:pPr>
      <w:r>
        <w:rPr>
          <w:rFonts w:ascii="Arial" w:cs="Arial" w:eastAsia="Arial" w:hAnsi="Arial"/>
          <w:b/>
          <w:bCs/>
          <w:color w:val="1E3A5F"/>
        </w:rPr>
        <w:t xml:space="preserve">Acceptance: </w:t>
      </w:r>
      <w:r>
        <w:rPr>
          <w:rFonts w:ascii="Arial" w:cs="Arial" w:eastAsia="Arial" w:hAnsi="Arial"/>
          <w:sz w:val="22"/>
          <w:szCs w:val="22"/>
        </w:rPr>
        <w:t xml:space="preserve">All six fields populated. TrendSignal = volatile overrides direction signal. TimeToScale is distinct from InflectionMonth.</w:t>
      </w:r>
    </w:p>
    <w:p>
      <w:pPr>
        <w:pStyle w:val="Heading2"/>
        <w:pBdr>
          <w:left w:val="single" w:color="2E6DB4" w:sz="20" w:space="8"/>
        </w:pBdr>
        <w:ind w:left="200"/>
      </w:pPr>
      <w:r>
        <w:rPr>
          <w:rFonts w:ascii="Arial" w:cs="Arial" w:eastAsia="Arial" w:hAnsi="Arial"/>
          <w:b/>
          <w:bCs/>
          <w:color w:val="1E3A5F"/>
        </w:rPr>
        <w:t xml:space="preserve">Sprint 6 — AI-Ready Highlights</w:t>
      </w:r>
    </w:p>
    <w:p>
      <w:pPr>
        <w:spacing w:after="80" w:before="160"/>
      </w:pPr>
      <w:r>
        <w:rPr>
          <w:rFonts w:ascii="Arial" w:cs="Arial" w:eastAsia="Arial" w:hAnsi="Arial"/>
          <w:b/>
          <w:bCs/>
          <w:color w:val="1E3A5F"/>
        </w:rPr>
        <w:t xml:space="preserve">Goal: </w:t>
      </w:r>
      <w:r>
        <w:rPr>
          <w:rFonts w:ascii="Arial" w:cs="Arial" w:eastAsia="Arial" w:hAnsi="Arial"/>
        </w:rPr>
        <w:t xml:space="preserve">Generate a structured narrative summary for direct consumption by AI narration and frontend review UIs.</w:t>
      </w:r>
    </w:p>
    <w:p>
      <w:pPr>
        <w:spacing w:after="60" w:before="120"/>
      </w:pPr>
      <w:r>
        <w:rPr>
          <w:rFonts w:ascii="Arial" w:cs="Arial" w:eastAsia="Arial" w:hAnsi="Arial"/>
          <w:b/>
          <w:bCs/>
          <w:color w:val="1E3A5F"/>
          <w:sz w:val="22"/>
          <w:szCs w:val="22"/>
        </w:rPr>
        <w:t xml:space="preserve">Deliverables</w:t>
      </w:r>
    </w:p>
    <w:p>
      <w:pPr>
        <w:pStyle w:val="ListParagraph"/>
        <w:numPr>
          <w:ilvl w:val="0"/>
          <w:numId w:val="2"/>
        </w:numPr>
        <w:spacing w:after="60"/>
      </w:pPr>
      <w:r>
        <w:rPr>
          <w:rFonts w:ascii="Arial" w:cs="Arial" w:eastAsia="Arial" w:hAnsi="Arial"/>
          <w:sz w:val="22"/>
          <w:szCs w:val="22"/>
        </w:rPr>
        <w:t xml:space="preserve">Highlights struct: Headline, Strengths, Weaknesses, TopRisks, TopDrivers</w:t>
      </w:r>
    </w:p>
    <w:p>
      <w:pPr>
        <w:pStyle w:val="ListParagraph"/>
        <w:numPr>
          <w:ilvl w:val="0"/>
          <w:numId w:val="2"/>
        </w:numPr>
        <w:spacing w:after="60"/>
      </w:pPr>
      <w:r>
        <w:rPr>
          <w:rFonts w:ascii="Arial" w:cs="Arial" w:eastAsia="Arial" w:hAnsi="Arial"/>
          <w:sz w:val="22"/>
          <w:szCs w:val="22"/>
        </w:rPr>
        <w:t xml:space="preserve">Seven-branch headline decision tree keyed on (viability.Status, globalRiskLevel, bepStatus, rootCauseDriver)</w:t>
      </w:r>
    </w:p>
    <w:p>
      <w:pPr>
        <w:pStyle w:val="ListParagraph"/>
        <w:numPr>
          <w:ilvl w:val="0"/>
          <w:numId w:val="2"/>
        </w:numPr>
        <w:spacing w:after="60"/>
      </w:pPr>
      <w:r>
        <w:rPr>
          <w:rFonts w:ascii="Arial" w:cs="Arial" w:eastAsia="Arial" w:hAnsi="Arial"/>
          <w:sz w:val="22"/>
          <w:szCs w:val="22"/>
        </w:rPr>
        <w:t xml:space="preserve">Zero decimal arithmetic inside buildHighlights — only .IsNegative()/.IsPositive() comparisons</w:t>
      </w:r>
    </w:p>
    <w:p>
      <w:pPr>
        <w:pStyle w:val="ListParagraph"/>
        <w:numPr>
          <w:ilvl w:val="0"/>
          <w:numId w:val="2"/>
        </w:numPr>
        <w:spacing w:after="60"/>
      </w:pPr>
      <w:r>
        <w:rPr>
          <w:rFonts w:ascii="Arial" w:cs="Arial" w:eastAsia="Arial" w:hAnsi="Arial"/>
          <w:sz w:val="22"/>
          <w:szCs w:val="22"/>
        </w:rPr>
        <w:t xml:space="preserve">Fallback strings ensure no slice is ever empty regardless of input sparsity</w:t>
      </w:r>
    </w:p>
    <w:p>
      <w:pPr>
        <w:spacing w:after="60" w:before="120"/>
      </w:pPr>
      <w:r>
        <w:rPr>
          <w:rFonts w:ascii="Arial" w:cs="Arial" w:eastAsia="Arial" w:hAnsi="Arial"/>
          <w:b/>
          <w:bCs/>
          <w:color w:val="1E3A5F"/>
          <w:sz w:val="22"/>
          <w:szCs w:val="22"/>
        </w:rPr>
        <w:t xml:space="preserve">Test Coverage</w:t>
      </w:r>
    </w:p>
    <w:p>
      <w:pPr>
        <w:pStyle w:val="ListParagraph"/>
        <w:numPr>
          <w:ilvl w:val="0"/>
          <w:numId w:val="2"/>
        </w:numPr>
        <w:spacing w:after="40"/>
      </w:pPr>
      <w:r>
        <w:rPr>
          <w:rFonts w:ascii="Courier New" w:cs="Courier New" w:eastAsia="Courier New" w:hAnsi="Courier New"/>
          <w:color w:val="1A7A6E"/>
          <w:sz w:val="20"/>
          <w:szCs w:val="20"/>
        </w:rPr>
        <w:t xml:space="preserve">TestHeadline_AllSevenBranches</w:t>
      </w:r>
    </w:p>
    <w:p>
      <w:pPr>
        <w:pStyle w:val="ListParagraph"/>
        <w:numPr>
          <w:ilvl w:val="0"/>
          <w:numId w:val="2"/>
        </w:numPr>
        <w:spacing w:after="40"/>
      </w:pPr>
      <w:r>
        <w:rPr>
          <w:rFonts w:ascii="Courier New" w:cs="Courier New" w:eastAsia="Courier New" w:hAnsi="Courier New"/>
          <w:color w:val="1A7A6E"/>
          <w:sz w:val="20"/>
          <w:szCs w:val="20"/>
        </w:rPr>
        <w:t xml:space="preserve">TestBuildHighlights_MaxTwoStrengths</w:t>
      </w:r>
    </w:p>
    <w:p>
      <w:pPr>
        <w:pStyle w:val="ListParagraph"/>
        <w:numPr>
          <w:ilvl w:val="0"/>
          <w:numId w:val="2"/>
        </w:numPr>
        <w:spacing w:after="40"/>
      </w:pPr>
      <w:r>
        <w:rPr>
          <w:rFonts w:ascii="Courier New" w:cs="Courier New" w:eastAsia="Courier New" w:hAnsi="Courier New"/>
          <w:color w:val="1A7A6E"/>
          <w:sz w:val="20"/>
          <w:szCs w:val="20"/>
        </w:rPr>
        <w:t xml:space="preserve">TestBuildHighlights_NoRisks_FallbackUsed</w:t>
      </w:r>
    </w:p>
    <w:p>
      <w:pPr>
        <w:pStyle w:val="ListParagraph"/>
        <w:numPr>
          <w:ilvl w:val="0"/>
          <w:numId w:val="2"/>
        </w:numPr>
        <w:spacing w:after="40"/>
      </w:pPr>
      <w:r>
        <w:rPr>
          <w:rFonts w:ascii="Courier New" w:cs="Courier New" w:eastAsia="Courier New" w:hAnsi="Courier New"/>
          <w:color w:val="1A7A6E"/>
          <w:sz w:val="20"/>
          <w:szCs w:val="20"/>
        </w:rPr>
        <w:t xml:space="preserve">TestBuildHighlights_NeverCallsDecimalArithmetic</w:t>
      </w:r>
    </w:p>
    <w:p>
      <w:pPr>
        <w:spacing w:after="200" w:before="100"/>
      </w:pPr>
      <w:r>
        <w:rPr>
          <w:rFonts w:ascii="Arial" w:cs="Arial" w:eastAsia="Arial" w:hAnsi="Arial"/>
          <w:b/>
          <w:bCs/>
          <w:color w:val="1E3A5F"/>
        </w:rPr>
        <w:t xml:space="preserve">Acceptance: </w:t>
      </w:r>
      <w:r>
        <w:rPr>
          <w:rFonts w:ascii="Arial" w:cs="Arial" w:eastAsia="Arial" w:hAnsi="Arial"/>
          <w:sz w:val="22"/>
          <w:szCs w:val="22"/>
        </w:rPr>
        <w:t xml:space="preserve">Seven distinct headline outputs demonstrated. No decimal.Decimal operation inside buildHighlights. All four slices are never empty.</w:t>
      </w:r>
    </w:p>
    <w:p>
      <w:pPr>
        <w:pStyle w:val="Heading2"/>
        <w:pBdr>
          <w:left w:val="single" w:color="2E6DB4" w:sz="20" w:space="8"/>
        </w:pBdr>
        <w:ind w:left="200"/>
      </w:pPr>
      <w:r>
        <w:rPr>
          <w:rFonts w:ascii="Arial" w:cs="Arial" w:eastAsia="Arial" w:hAnsi="Arial"/>
          <w:b/>
          <w:bCs/>
          <w:color w:val="1E3A5F"/>
        </w:rPr>
        <w:t xml:space="preserve">Sprint 7 — Sensitivity Foundation</w:t>
      </w:r>
    </w:p>
    <w:p>
      <w:pPr>
        <w:spacing w:after="80" w:before="160"/>
      </w:pPr>
      <w:r>
        <w:rPr>
          <w:rFonts w:ascii="Arial" w:cs="Arial" w:eastAsia="Arial" w:hAnsi="Arial"/>
          <w:b/>
          <w:bCs/>
          <w:color w:val="1E3A5F"/>
        </w:rPr>
        <w:t xml:space="preserve">Goal: </w:t>
      </w:r>
      <w:r>
        <w:rPr>
          <w:rFonts w:ascii="Arial" w:cs="Arial" w:eastAsia="Arial" w:hAnsi="Arial"/>
        </w:rPr>
        <w:t xml:space="preserve">In-memory perturbation engine with typed economic levers, fragility scoring, and performance limits.</w:t>
      </w:r>
    </w:p>
    <w:p>
      <w:pPr>
        <w:spacing w:after="60" w:before="120"/>
      </w:pPr>
      <w:r>
        <w:rPr>
          <w:rFonts w:ascii="Arial" w:cs="Arial" w:eastAsia="Arial" w:hAnsi="Arial"/>
          <w:b/>
          <w:bCs/>
          <w:color w:val="1E3A5F"/>
          <w:sz w:val="22"/>
          <w:szCs w:val="22"/>
        </w:rPr>
        <w:t xml:space="preserve">Deliverables</w:t>
      </w:r>
    </w:p>
    <w:p>
      <w:pPr>
        <w:pStyle w:val="ListParagraph"/>
        <w:numPr>
          <w:ilvl w:val="0"/>
          <w:numId w:val="2"/>
        </w:numPr>
        <w:spacing w:after="60"/>
      </w:pPr>
      <w:r>
        <w:rPr>
          <w:rFonts w:ascii="Arial" w:cs="Arial" w:eastAsia="Arial" w:hAnsi="Arial"/>
          <w:sz w:val="22"/>
          <w:szCs w:val="22"/>
        </w:rPr>
        <w:t xml:space="preserve">SensitivityEngine: typed EconomicLever constants (revenue_scale, headcount_scale, cogs_scale)</w:t>
      </w:r>
    </w:p>
    <w:p>
      <w:pPr>
        <w:pStyle w:val="ListParagraph"/>
        <w:numPr>
          <w:ilvl w:val="0"/>
          <w:numId w:val="2"/>
        </w:numPr>
        <w:spacing w:after="60"/>
      </w:pPr>
      <w:r>
        <w:rPr>
          <w:rFonts w:ascii="Arial" w:cs="Arial" w:eastAsia="Arial" w:hAnsi="Arial"/>
          <w:sz w:val="22"/>
          <w:szCs w:val="22"/>
        </w:rPr>
        <w:t xml:space="preserve">Validation fires before LoadInputs — nil repos safe for all error-path tests</w:t>
      </w:r>
    </w:p>
    <w:p>
      <w:pPr>
        <w:pStyle w:val="ListParagraph"/>
        <w:numPr>
          <w:ilvl w:val="0"/>
          <w:numId w:val="2"/>
        </w:numPr>
        <w:spacing w:after="60"/>
      </w:pPr>
      <w:r>
        <w:rPr>
          <w:rFonts w:ascii="Arial" w:cs="Arial" w:eastAsia="Arial" w:hAnsi="Arial"/>
          <w:sz w:val="22"/>
          <w:szCs w:val="22"/>
        </w:rPr>
        <w:t xml:space="preserve">runPerturbations: package-level function callable directly from tests without DB</w:t>
      </w:r>
    </w:p>
    <w:p>
      <w:pPr>
        <w:pStyle w:val="ListParagraph"/>
        <w:numPr>
          <w:ilvl w:val="0"/>
          <w:numId w:val="2"/>
        </w:numPr>
        <w:spacing w:after="60"/>
      </w:pPr>
      <w:r>
        <w:rPr>
          <w:rFonts w:ascii="Arial" w:cs="Arial" w:eastAsia="Arial" w:hAnsi="Arial"/>
          <w:sz w:val="22"/>
          <w:szCs w:val="22"/>
        </w:rPr>
        <w:t xml:space="preserve">Early-stop after 3 consecutive zero-delta results per lever; max 10 perturbations enforced</w:t>
      </w:r>
    </w:p>
    <w:p>
      <w:pPr>
        <w:pStyle w:val="ListParagraph"/>
        <w:numPr>
          <w:ilvl w:val="0"/>
          <w:numId w:val="2"/>
        </w:numPr>
        <w:spacing w:after="60"/>
      </w:pPr>
      <w:r>
        <w:rPr>
          <w:rFonts w:ascii="Arial" w:cs="Arial" w:eastAsia="Arial" w:hAnsi="Arial"/>
          <w:sz w:val="22"/>
          <w:szCs w:val="22"/>
        </w:rPr>
        <w:t xml:space="preserve">computeFragility: normalised stddev of viability deltas; 0–20=stable, 21–50=sensitive, 51+=fragile</w:t>
      </w:r>
    </w:p>
    <w:p>
      <w:pPr>
        <w:pStyle w:val="ListParagraph"/>
        <w:numPr>
          <w:ilvl w:val="0"/>
          <w:numId w:val="2"/>
        </w:numPr>
        <w:spacing w:after="60"/>
      </w:pPr>
      <w:r>
        <w:rPr>
          <w:rFonts w:ascii="Arial" w:cs="Arial" w:eastAsia="Arial" w:hAnsi="Arial"/>
          <w:sz w:val="22"/>
          <w:szCs w:val="22"/>
        </w:rPr>
        <w:t xml:space="preserve">cloneFullPlanInput: full deep copy with cloneSlice[T any] generic helper (Go 1.22)</w:t>
      </w:r>
    </w:p>
    <w:p>
      <w:pPr>
        <w:spacing w:after="60" w:before="120"/>
      </w:pPr>
      <w:r>
        <w:rPr>
          <w:rFonts w:ascii="Arial" w:cs="Arial" w:eastAsia="Arial" w:hAnsi="Arial"/>
          <w:b/>
          <w:bCs/>
          <w:color w:val="1E3A5F"/>
          <w:sz w:val="22"/>
          <w:szCs w:val="22"/>
        </w:rPr>
        <w:t xml:space="preserve">Test Coverage</w:t>
      </w:r>
    </w:p>
    <w:p>
      <w:pPr>
        <w:pStyle w:val="ListParagraph"/>
        <w:numPr>
          <w:ilvl w:val="0"/>
          <w:numId w:val="2"/>
        </w:numPr>
        <w:spacing w:after="40"/>
      </w:pPr>
      <w:r>
        <w:rPr>
          <w:rFonts w:ascii="Courier New" w:cs="Courier New" w:eastAsia="Courier New" w:hAnsi="Courier New"/>
          <w:color w:val="1A7A6E"/>
          <w:sz w:val="20"/>
          <w:szCs w:val="20"/>
        </w:rPr>
        <w:t xml:space="preserve">TestCloneFullPlanInput_NoAliasedSlices</w:t>
      </w:r>
    </w:p>
    <w:p>
      <w:pPr>
        <w:pStyle w:val="ListParagraph"/>
        <w:numPr>
          <w:ilvl w:val="0"/>
          <w:numId w:val="2"/>
        </w:numPr>
        <w:spacing w:after="40"/>
      </w:pPr>
      <w:r>
        <w:rPr>
          <w:rFonts w:ascii="Courier New" w:cs="Courier New" w:eastAsia="Courier New" w:hAnsi="Courier New"/>
          <w:color w:val="1A7A6E"/>
          <w:sz w:val="20"/>
          <w:szCs w:val="20"/>
        </w:rPr>
        <w:t xml:space="preserve">TestRevenueScale_PositiveDelta_IncreasesViability</w:t>
      </w:r>
    </w:p>
    <w:p>
      <w:pPr>
        <w:pStyle w:val="ListParagraph"/>
        <w:numPr>
          <w:ilvl w:val="0"/>
          <w:numId w:val="2"/>
        </w:numPr>
        <w:spacing w:after="40"/>
      </w:pPr>
      <w:r>
        <w:rPr>
          <w:rFonts w:ascii="Courier New" w:cs="Courier New" w:eastAsia="Courier New" w:hAnsi="Courier New"/>
          <w:color w:val="1A7A6E"/>
          <w:sz w:val="20"/>
          <w:szCs w:val="20"/>
        </w:rPr>
        <w:t xml:space="preserve">TestHeadcountScale_2x_DegradesCashHealth</w:t>
      </w:r>
    </w:p>
    <w:p>
      <w:pPr>
        <w:pStyle w:val="ListParagraph"/>
        <w:numPr>
          <w:ilvl w:val="0"/>
          <w:numId w:val="2"/>
        </w:numPr>
        <w:spacing w:after="40"/>
      </w:pPr>
      <w:r>
        <w:rPr>
          <w:rFonts w:ascii="Courier New" w:cs="Courier New" w:eastAsia="Courier New" w:hAnsi="Courier New"/>
          <w:color w:val="1A7A6E"/>
          <w:sz w:val="20"/>
          <w:szCs w:val="20"/>
        </w:rPr>
        <w:t xml:space="preserve">TestSensitivityRun_UnknownLever_ReturnsError</w:t>
      </w:r>
    </w:p>
    <w:p>
      <w:pPr>
        <w:pStyle w:val="ListParagraph"/>
        <w:numPr>
          <w:ilvl w:val="0"/>
          <w:numId w:val="2"/>
        </w:numPr>
        <w:spacing w:after="40"/>
      </w:pPr>
      <w:r>
        <w:rPr>
          <w:rFonts w:ascii="Courier New" w:cs="Courier New" w:eastAsia="Courier New" w:hAnsi="Courier New"/>
          <w:color w:val="1A7A6E"/>
          <w:sz w:val="20"/>
          <w:szCs w:val="20"/>
        </w:rPr>
        <w:t xml:space="preserve">TestSensitivityRun_ExceedsMaxN_ReturnsError</w:t>
      </w:r>
    </w:p>
    <w:p>
      <w:pPr>
        <w:pStyle w:val="ListParagraph"/>
        <w:numPr>
          <w:ilvl w:val="0"/>
          <w:numId w:val="2"/>
        </w:numPr>
        <w:spacing w:after="40"/>
      </w:pPr>
      <w:r>
        <w:rPr>
          <w:rFonts w:ascii="Courier New" w:cs="Courier New" w:eastAsia="Courier New" w:hAnsi="Courier New"/>
          <w:color w:val="1A7A6E"/>
          <w:sz w:val="20"/>
          <w:szCs w:val="20"/>
        </w:rPr>
        <w:t xml:space="preserve">TestSensitivityRun_EarlyStop_After3ZeroDeltas</w:t>
      </w:r>
    </w:p>
    <w:p>
      <w:pPr>
        <w:pStyle w:val="ListParagraph"/>
        <w:numPr>
          <w:ilvl w:val="0"/>
          <w:numId w:val="2"/>
        </w:numPr>
        <w:spacing w:after="40"/>
      </w:pPr>
      <w:r>
        <w:rPr>
          <w:rFonts w:ascii="Courier New" w:cs="Courier New" w:eastAsia="Courier New" w:hAnsi="Courier New"/>
          <w:color w:val="1A7A6E"/>
          <w:sz w:val="20"/>
          <w:szCs w:val="20"/>
        </w:rPr>
        <w:t xml:space="preserve">TestFragility_HighVariance_IsFragile</w:t>
      </w:r>
    </w:p>
    <w:p>
      <w:pPr>
        <w:pStyle w:val="ListParagraph"/>
        <w:numPr>
          <w:ilvl w:val="0"/>
          <w:numId w:val="2"/>
        </w:numPr>
        <w:spacing w:after="40"/>
      </w:pPr>
      <w:r>
        <w:rPr>
          <w:rFonts w:ascii="Courier New" w:cs="Courier New" w:eastAsia="Courier New" w:hAnsi="Courier New"/>
          <w:color w:val="1A7A6E"/>
          <w:sz w:val="20"/>
          <w:szCs w:val="20"/>
        </w:rPr>
        <w:t xml:space="preserve">TestFragility_ZeroVariance_IsStable</w:t>
      </w:r>
    </w:p>
    <w:p>
      <w:pPr>
        <w:spacing w:after="200" w:before="100"/>
      </w:pPr>
      <w:r>
        <w:rPr>
          <w:rFonts w:ascii="Arial" w:cs="Arial" w:eastAsia="Arial" w:hAnsi="Arial"/>
          <w:b/>
          <w:bCs/>
          <w:color w:val="1E3A5F"/>
        </w:rPr>
        <w:t xml:space="preserve">Acceptance: </w:t>
      </w:r>
      <w:r>
        <w:rPr>
          <w:rFonts w:ascii="Arial" w:cs="Arial" w:eastAsia="Arial" w:hAnsi="Arial"/>
          <w:sz w:val="22"/>
          <w:szCs w:val="22"/>
        </w:rPr>
        <w:t xml:space="preserve">Zero DB calls in any sensitivity test. Alias test proves clone correctness. Fragility test demonstrates stable vs fragile classification.</w:t>
      </w:r>
    </w:p>
    <w:p>
      <w:r>
        <w:br w:type="page"/>
      </w:r>
    </w:p>
    <w:p>
      <w:pPr>
        <w:pStyle w:val="Heading1"/>
        <w:pBdr>
          <w:left w:val="single" w:color="2E6DB4" w:sz="20" w:space="8"/>
        </w:pBdr>
        <w:ind w:left="200"/>
      </w:pPr>
      <w:r>
        <w:rPr>
          <w:rFonts w:ascii="Arial" w:cs="Arial" w:eastAsia="Arial" w:hAnsi="Arial"/>
          <w:b/>
          <w:bCs/>
          <w:color w:val="1E3A5F"/>
        </w:rPr>
        <w:t xml:space="preserve">5. Architectural Notes</w:t>
      </w:r>
    </w:p>
    <w:p>
      <w:pPr>
        <w:pBdr>
          <w:bottom w:val="single" w:color="2E6DB4" w:sz="4"/>
        </w:pBdr>
        <w:spacing w:after="200"/>
      </w:pPr>
    </w:p>
    <w:p>
      <w:pPr>
        <w:spacing w:after="80" w:before="0"/>
      </w:pPr>
      <w:r>
        <w:rPr>
          <w:rFonts w:ascii="Arial" w:cs="Arial" w:eastAsia="Arial" w:hAnsi="Arial"/>
          <w:b/>
          <w:bCs/>
          <w:color w:val="1E3A5F"/>
          <w:sz w:val="24"/>
          <w:szCs w:val="24"/>
        </w:rPr>
        <w:t xml:space="preserve">Pure-function design</w:t>
      </w:r>
    </w:p>
    <w:p>
      <w:pPr>
        <w:spacing w:after="200" w:before="0"/>
      </w:pPr>
      <w:r>
        <w:rPr>
          <w:rFonts w:ascii="Arial" w:cs="Arial" w:eastAsia="Arial" w:hAnsi="Arial"/>
        </w:rPr>
        <w:t xml:space="preserve">Every analytical function takes model structs as input and returns plain Go values. There are no side effects, no global state, and no database access. This design enables complete unit test coverage without mocking infrastructure.</w:t>
      </w:r>
    </w:p>
    <w:p>
      <w:pPr>
        <w:spacing w:after="80" w:before="0"/>
      </w:pPr>
      <w:r>
        <w:rPr>
          <w:rFonts w:ascii="Arial" w:cs="Arial" w:eastAsia="Arial" w:hAnsi="Arial"/>
          <w:b/>
          <w:bCs/>
          <w:color w:val="1E3A5F"/>
          <w:sz w:val="24"/>
          <w:szCs w:val="24"/>
        </w:rPr>
        <w:t xml:space="preserve">Validation-before-DB pattern</w:t>
      </w:r>
    </w:p>
    <w:p>
      <w:pPr>
        <w:spacing w:after="200" w:before="0"/>
      </w:pPr>
      <w:r>
        <w:rPr>
          <w:rFonts w:ascii="Arial" w:cs="Arial" w:eastAsia="Arial" w:hAnsi="Arial"/>
        </w:rPr>
        <w:t xml:space="preserve">SensitivityEngine.Run validates all inputs (lever types, N limit) before calling LoadInputs. This means error-path tests can construct an engine with nil repositories and still exercise the full validation logic without panicking or requiring a database connection.</w:t>
      </w:r>
    </w:p>
    <w:p>
      <w:pPr>
        <w:spacing w:after="80" w:before="0"/>
      </w:pPr>
      <w:r>
        <w:rPr>
          <w:rFonts w:ascii="Arial" w:cs="Arial" w:eastAsia="Arial" w:hAnsi="Arial"/>
          <w:b/>
          <w:bCs/>
          <w:color w:val="1E3A5F"/>
          <w:sz w:val="24"/>
          <w:szCs w:val="24"/>
        </w:rPr>
        <w:t xml:space="preserve">Deep copy for perturbation isolation</w:t>
      </w:r>
    </w:p>
    <w:p>
      <w:pPr>
        <w:spacing w:after="200" w:before="0"/>
      </w:pPr>
      <w:r>
        <w:rPr>
          <w:rFonts w:ascii="Arial" w:cs="Arial" w:eastAsia="Arial" w:hAnsi="Arial"/>
        </w:rPr>
        <w:t xml:space="preserve">cloneFullPlanInput produces a full structural copy of FullPlanInput using the cloneSlice[T any] generic helper. Every slice in the clone is backed by a distinct array. Perturbation functions modify the clone only, so the baseline input is never mutated across iterations.</w:t>
      </w:r>
    </w:p>
    <w:p>
      <w:pPr>
        <w:spacing w:after="80" w:before="0"/>
      </w:pPr>
      <w:r>
        <w:rPr>
          <w:rFonts w:ascii="Arial" w:cs="Arial" w:eastAsia="Arial" w:hAnsi="Arial"/>
          <w:b/>
          <w:bCs/>
          <w:color w:val="1E3A5F"/>
          <w:sz w:val="24"/>
          <w:szCs w:val="24"/>
        </w:rPr>
        <w:t xml:space="preserve">Additive API contract</w:t>
      </w:r>
    </w:p>
    <w:p>
      <w:pPr>
        <w:spacing w:after="200" w:before="0"/>
      </w:pPr>
      <w:r>
        <w:rPr>
          <w:rFonts w:ascii="Arial" w:cs="Arial" w:eastAsia="Arial" w:hAnsi="Arial"/>
        </w:rPr>
        <w:t xml:space="preserve">ScenarioAnalysisResult was extended sprint-by-sprint with new fields (BreakEvenStatus, Viability.Score, Risks, Drivers, Trends, Insights, Highlights) without removing or renaming existing fields. The compute engine contract is unchanged.</w:t>
      </w:r>
    </w:p>
    <w:p>
      <w:pPr>
        <w:pStyle w:val="Heading1"/>
        <w:pBdr>
          <w:left w:val="single" w:color="2E6DB4" w:sz="20" w:space="8"/>
        </w:pBdr>
        <w:ind w:left="200"/>
      </w:pPr>
      <w:r>
        <w:rPr>
          <w:rFonts w:ascii="Arial" w:cs="Arial" w:eastAsia="Arial" w:hAnsi="Arial"/>
          <w:b/>
          <w:bCs/>
          <w:color w:val="1E3A5F"/>
        </w:rPr>
        <w:t xml:space="preserve">6. Test Strategy</w:t>
      </w:r>
    </w:p>
    <w:p>
      <w:pPr>
        <w:pBdr>
          <w:bottom w:val="single" w:color="2E6DB4" w:sz="4"/>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6DB4" w:sz="1"/>
              <w:left w:val="single" w:color="2E6DB4" w:sz="1"/>
              <w:bottom w:val="single" w:color="2E6DB4" w:sz="1"/>
              <w:right w:val="single" w:color="2E6DB4" w:sz="1"/>
            </w:tcBorders>
            <w:shd w:fill="1E3A5F" w:val="clear"/>
            <w:tcMar>
              <w:top w:type="dxa" w:w="80"/>
              <w:left w:type="dxa" w:w="120"/>
              <w:bottom w:type="dxa" w:w="80"/>
              <w:right w:type="dxa" w:w="120"/>
            </w:tcMar>
          </w:tcPr>
          <w:p>
            <w:r>
              <w:rPr>
                <w:rFonts w:ascii="Arial" w:cs="Arial" w:eastAsia="Arial" w:hAnsi="Arial"/>
                <w:b/>
                <w:bCs/>
                <w:color w:val="FFFFFF"/>
              </w:rPr>
              <w:t xml:space="preserve">Principle</w:t>
            </w:r>
          </w:p>
        </w:tc>
        <w:tc>
          <w:tcPr>
            <w:tcW w:type="dxa" w:w="6760"/>
            <w:tcBorders>
              <w:top w:val="single" w:color="2E6DB4" w:sz="1"/>
              <w:left w:val="single" w:color="2E6DB4" w:sz="1"/>
              <w:bottom w:val="single" w:color="2E6DB4" w:sz="1"/>
              <w:right w:val="single" w:color="2E6DB4" w:sz="1"/>
            </w:tcBorders>
            <w:shd w:fill="1E3A5F" w:val="clear"/>
            <w:tcMar>
              <w:top w:type="dxa" w:w="80"/>
              <w:left w:type="dxa" w:w="120"/>
              <w:bottom w:type="dxa" w:w="80"/>
              <w:right w:type="dxa" w:w="120"/>
            </w:tcMar>
          </w:tcPr>
          <w:p>
            <w:r>
              <w:rPr>
                <w:rFonts w:ascii="Arial" w:cs="Arial" w:eastAsia="Arial" w:hAnsi="Arial"/>
                <w:b/>
                <w:bCs/>
                <w:color w:val="FFFFFF"/>
              </w:rPr>
              <w:t xml:space="preserve">Implementation</w:t>
            </w:r>
          </w:p>
        </w:tc>
      </w:tr>
      <w:tr>
        <w:tc>
          <w:tcPr>
            <w:tcW w:type="dxa" w:w="26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color w:val="1E3A5F"/>
                <w:sz w:val="20"/>
                <w:szCs w:val="20"/>
              </w:rPr>
              <w:t xml:space="preserve">Zero DB calls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test helpers construct in-memory model structs. No repository interfaces, no mocks, no test containers.</w:t>
            </w:r>
          </w:p>
        </w:tc>
      </w:tr>
      <w:tr>
        <w:tc>
          <w:tcPr>
            <w:tcW w:type="dxa" w:w="26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color w:val="1E3A5F"/>
                <w:sz w:val="20"/>
                <w:szCs w:val="20"/>
              </w:rPr>
              <w:t xml:space="preserve">Decimal safety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assertDecEq() helper compares values numerically via .Equal(), avoiding mantissa/exponent representation differences after arithmetic.</w:t>
            </w:r>
          </w:p>
        </w:tc>
      </w:tr>
      <w:tr>
        <w:tc>
          <w:tcPr>
            <w:tcW w:type="dxa" w:w="26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color w:val="1E3A5F"/>
                <w:sz w:val="20"/>
                <w:szCs w:val="20"/>
              </w:rPr>
              <w:t xml:space="preserve">Pure function isolation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test exercises exactly one logical unit. Helpers (makePnL, makeCashWithRevenue) provide controlled input fixtures.</w:t>
            </w:r>
          </w:p>
        </w:tc>
      </w:tr>
      <w:tr>
        <w:tc>
          <w:tcPr>
            <w:tcW w:type="dxa" w:w="26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color w:val="1E3A5F"/>
                <w:sz w:val="20"/>
                <w:szCs w:val="20"/>
              </w:rPr>
              <w:t xml:space="preserve">Alias protection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TestCloneFullPlanInput_NoAliasedSlices mutates every slice in a clone and asserts the original is unchanged.</w:t>
            </w:r>
          </w:p>
        </w:tc>
      </w:tr>
      <w:tr>
        <w:tc>
          <w:tcPr>
            <w:tcW w:type="dxa" w:w="26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color w:val="1E3A5F"/>
                <w:sz w:val="20"/>
                <w:szCs w:val="20"/>
              </w:rPr>
              <w:t xml:space="preserve">Boundary coverage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TimeToScale, CAGR, BurnRate, and FragilityScore each have dedicated edge-case tests (zero base, flat series, high variance).</w:t>
            </w:r>
          </w:p>
        </w:tc>
      </w:tr>
      <w:tr>
        <w:tc>
          <w:tcPr>
            <w:tcW w:type="dxa" w:w="26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color w:val="1E3A5F"/>
                <w:sz w:val="20"/>
                <w:szCs w:val="20"/>
              </w:rPr>
              <w:t xml:space="preserve">Early-stop verification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TestSensitivityRun_EarlyStop submits 6 zero-delta perturbations and asserts exactly 3 results are returned.</w:t>
            </w:r>
          </w:p>
        </w:tc>
      </w:tr>
    </w:tbl>
    <w:p>
      <w:pPr>
        <w:spacing w:after="0" w:before="200"/>
      </w:pPr>
      <w:r>
        <w:rPr>
          <w:rFonts w:ascii="Arial" w:cs="Arial" w:eastAsia="Arial" w:hAnsi="Arial"/>
        </w:rPr>
        <w:t xml:space="preserve"/>
      </w:r>
    </w:p>
    <w:p>
      <w:pPr>
        <w:pStyle w:val="Heading1"/>
        <w:pBdr>
          <w:left w:val="single" w:color="2E6DB4" w:sz="20" w:space="8"/>
        </w:pBdr>
        <w:ind w:left="200"/>
      </w:pPr>
      <w:r>
        <w:rPr>
          <w:rFonts w:ascii="Arial" w:cs="Arial" w:eastAsia="Arial" w:hAnsi="Arial"/>
          <w:b/>
          <w:bCs/>
          <w:color w:val="1E3A5F"/>
        </w:rPr>
        <w:t xml:space="preserve">7. Files Produced</w:t>
      </w:r>
    </w:p>
    <w:p>
      <w:pPr>
        <w:pBdr>
          <w:bottom w:val="single" w:color="2E6DB4" w:sz="4"/>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3960"/>
      </w:tblGrid>
      <w:tr>
        <w:trPr>
          <w:tblHeader/>
        </w:trPr>
        <w:tc>
          <w:tcPr>
            <w:tcW w:type="dxa" w:w="4200"/>
            <w:tcBorders>
              <w:top w:val="single" w:color="2E6DB4" w:sz="1"/>
              <w:left w:val="single" w:color="2E6DB4" w:sz="1"/>
              <w:bottom w:val="single" w:color="2E6DB4" w:sz="1"/>
              <w:right w:val="single" w:color="2E6DB4" w:sz="1"/>
            </w:tcBorders>
            <w:shd w:fill="1E3A5F" w:val="clear"/>
            <w:tcMar>
              <w:top w:type="dxa" w:w="80"/>
              <w:left w:type="dxa" w:w="120"/>
              <w:bottom w:type="dxa" w:w="80"/>
              <w:right w:type="dxa" w:w="120"/>
            </w:tcMar>
          </w:tcPr>
          <w:p>
            <w:r>
              <w:rPr>
                <w:rFonts w:ascii="Arial" w:cs="Arial" w:eastAsia="Arial" w:hAnsi="Arial"/>
                <w:b/>
                <w:bCs/>
                <w:color w:val="FFFFFF"/>
              </w:rPr>
              <w:t xml:space="preserve">File</w:t>
            </w:r>
          </w:p>
        </w:tc>
        <w:tc>
          <w:tcPr>
            <w:tcW w:type="dxa" w:w="1200"/>
            <w:tcBorders>
              <w:top w:val="single" w:color="2E6DB4" w:sz="1"/>
              <w:left w:val="single" w:color="2E6DB4" w:sz="1"/>
              <w:bottom w:val="single" w:color="2E6DB4" w:sz="1"/>
              <w:right w:val="single" w:color="2E6DB4" w:sz="1"/>
            </w:tcBorders>
            <w:shd w:fill="1E3A5F" w:val="clear"/>
            <w:tcMar>
              <w:top w:type="dxa" w:w="80"/>
              <w:left w:type="dxa" w:w="120"/>
              <w:bottom w:type="dxa" w:w="80"/>
              <w:right w:type="dxa" w:w="120"/>
            </w:tcMar>
          </w:tcPr>
          <w:p>
            <w:pPr>
              <w:jc w:val="center"/>
            </w:pPr>
            <w:r>
              <w:rPr>
                <w:rFonts w:ascii="Arial" w:cs="Arial" w:eastAsia="Arial" w:hAnsi="Arial"/>
                <w:b/>
                <w:bCs/>
                <w:color w:val="FFFFFF"/>
              </w:rPr>
              <w:t xml:space="preserve">Sprints</w:t>
            </w:r>
          </w:p>
        </w:tc>
        <w:tc>
          <w:tcPr>
            <w:tcW w:type="dxa" w:w="3960"/>
            <w:tcBorders>
              <w:top w:val="single" w:color="2E6DB4" w:sz="1"/>
              <w:left w:val="single" w:color="2E6DB4" w:sz="1"/>
              <w:bottom w:val="single" w:color="2E6DB4" w:sz="1"/>
              <w:right w:val="single" w:color="2E6DB4" w:sz="1"/>
            </w:tcBorders>
            <w:shd w:fill="1E3A5F" w:val="clear"/>
            <w:tcMar>
              <w:top w:type="dxa" w:w="80"/>
              <w:left w:type="dxa" w:w="120"/>
              <w:bottom w:type="dxa" w:w="80"/>
              <w:right w:type="dxa" w:w="120"/>
            </w:tcMar>
          </w:tcPr>
          <w:p>
            <w:r>
              <w:rPr>
                <w:rFonts w:ascii="Arial" w:cs="Arial" w:eastAsia="Arial" w:hAnsi="Arial"/>
                <w:b/>
                <w:bCs/>
                <w:color w:val="FFFFFF"/>
              </w:rPr>
              <w:t xml:space="preserve">Role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9"/>
                <w:szCs w:val="19"/>
              </w:rPr>
              <w:t xml:space="preserve">internal/service/scenario_analysis.go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service: viability, risks, drivers, trends, insights, highlights</w:t>
            </w:r>
          </w:p>
        </w:tc>
      </w:tr>
      <w:tr>
        <w:tc>
          <w:tcPr>
            <w:tcW w:type="dxa" w:w="4200"/>
            <w:tcBorders>
              <w:top w:val="single" w:color="CCCCCC" w:sz="1"/>
              <w:left w:val="single" w:color="CCCCCC" w:sz="1"/>
              <w:bottom w:val="single" w:color="CCCCCC" w:sz="1"/>
              <w:right w:val="single" w:color="CCCCCC" w:sz="1"/>
            </w:tcBorders>
            <w:shd w:fill="F4F5F6" w:val="clear"/>
            <w:tcMar>
              <w:top w:type="dxa" w:w="80"/>
              <w:left w:type="dxa" w:w="120"/>
              <w:bottom w:type="dxa" w:w="80"/>
              <w:right w:type="dxa" w:w="120"/>
            </w:tcMar>
          </w:tcPr>
          <w:p>
            <w:r>
              <w:rPr>
                <w:rFonts w:ascii="Courier New" w:cs="Courier New" w:eastAsia="Courier New" w:hAnsi="Courier New"/>
                <w:color w:val="1A7A6E"/>
                <w:sz w:val="19"/>
                <w:szCs w:val="19"/>
              </w:rPr>
              <w:t xml:space="preserve">internal/service/scenario_analysis_test.go</w:t>
            </w:r>
          </w:p>
        </w:tc>
        <w:tc>
          <w:tcPr>
            <w:tcW w:type="dxa" w:w="1200"/>
            <w:tcBorders>
              <w:top w:val="single" w:color="CCCCCC" w:sz="1"/>
              <w:left w:val="single" w:color="CCCCCC" w:sz="1"/>
              <w:bottom w:val="single" w:color="CCCCCC" w:sz="1"/>
              <w:right w:val="single" w:color="CCCCCC" w:sz="1"/>
            </w:tcBorders>
            <w:shd w:fill="F4F5F6" w:val="clear"/>
            <w:tcMar>
              <w:top w:type="dxa" w:w="80"/>
              <w:left w:type="dxa" w:w="120"/>
              <w:bottom w:type="dxa" w:w="80"/>
              <w:right w:type="dxa" w:w="120"/>
            </w:tcMar>
          </w:tcPr>
          <w:p>
            <w:pPr>
              <w:jc w:val="center"/>
            </w:pPr>
            <w:r>
              <w:rPr>
                <w:rFonts w:ascii="Arial" w:cs="Arial" w:eastAsia="Arial" w:hAnsi="Arial"/>
                <w:sz w:val="20"/>
                <w:szCs w:val="20"/>
              </w:rPr>
              <w:t xml:space="preserve">1–6</w:t>
            </w:r>
          </w:p>
        </w:tc>
        <w:tc>
          <w:tcPr>
            <w:tcW w:type="dxa" w:w="3960"/>
            <w:tcBorders>
              <w:top w:val="single" w:color="CCCCCC" w:sz="1"/>
              <w:left w:val="single" w:color="CCCCCC" w:sz="1"/>
              <w:bottom w:val="single" w:color="CCCCCC" w:sz="1"/>
              <w:right w:val="single" w:color="CCCCCC" w:sz="1"/>
            </w:tcBorders>
            <w:shd w:fill="F4F5F6" w:val="clear"/>
            <w:tcMar>
              <w:top w:type="dxa" w:w="80"/>
              <w:left w:type="dxa" w:w="120"/>
              <w:bottom w:type="dxa" w:w="80"/>
              <w:right w:type="dxa" w:w="120"/>
            </w:tcMar>
          </w:tcPr>
          <w:p>
            <w:r>
              <w:rPr>
                <w:rFonts w:ascii="Arial" w:cs="Arial" w:eastAsia="Arial" w:hAnsi="Arial"/>
                <w:sz w:val="20"/>
                <w:szCs w:val="20"/>
              </w:rPr>
              <w:t xml:space="preserve">Unit tests for all pure analytical functions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9"/>
                <w:szCs w:val="19"/>
              </w:rPr>
              <w:t xml:space="preserve">internal/service/sensitivity_engine.go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SensitivityEngine, EconomicLever, cloneFullPlanInput, computeFragility</w:t>
            </w:r>
          </w:p>
        </w:tc>
      </w:tr>
      <w:tr>
        <w:tc>
          <w:tcPr>
            <w:tcW w:type="dxa" w:w="4200"/>
            <w:tcBorders>
              <w:top w:val="single" w:color="CCCCCC" w:sz="1"/>
              <w:left w:val="single" w:color="CCCCCC" w:sz="1"/>
              <w:bottom w:val="single" w:color="CCCCCC" w:sz="1"/>
              <w:right w:val="single" w:color="CCCCCC" w:sz="1"/>
            </w:tcBorders>
            <w:shd w:fill="F4F5F6" w:val="clear"/>
            <w:tcMar>
              <w:top w:type="dxa" w:w="80"/>
              <w:left w:type="dxa" w:w="120"/>
              <w:bottom w:type="dxa" w:w="80"/>
              <w:right w:type="dxa" w:w="120"/>
            </w:tcMar>
          </w:tcPr>
          <w:p>
            <w:r>
              <w:rPr>
                <w:rFonts w:ascii="Courier New" w:cs="Courier New" w:eastAsia="Courier New" w:hAnsi="Courier New"/>
                <w:color w:val="1A7A6E"/>
                <w:sz w:val="19"/>
                <w:szCs w:val="19"/>
              </w:rPr>
              <w:t xml:space="preserve">internal/service/sensitivity_engine_test.go</w:t>
            </w:r>
          </w:p>
        </w:tc>
        <w:tc>
          <w:tcPr>
            <w:tcW w:type="dxa" w:w="1200"/>
            <w:tcBorders>
              <w:top w:val="single" w:color="CCCCCC" w:sz="1"/>
              <w:left w:val="single" w:color="CCCCCC" w:sz="1"/>
              <w:bottom w:val="single" w:color="CCCCCC" w:sz="1"/>
              <w:right w:val="single" w:color="CCCCCC" w:sz="1"/>
            </w:tcBorders>
            <w:shd w:fill="F4F5F6"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3960"/>
            <w:tcBorders>
              <w:top w:val="single" w:color="CCCCCC" w:sz="1"/>
              <w:left w:val="single" w:color="CCCCCC" w:sz="1"/>
              <w:bottom w:val="single" w:color="CCCCCC" w:sz="1"/>
              <w:right w:val="single" w:color="CCCCCC" w:sz="1"/>
            </w:tcBorders>
            <w:shd w:fill="F4F5F6" w:val="clear"/>
            <w:tcMar>
              <w:top w:type="dxa" w:w="80"/>
              <w:left w:type="dxa" w:w="120"/>
              <w:bottom w:type="dxa" w:w="80"/>
              <w:right w:type="dxa" w:w="120"/>
            </w:tcMar>
          </w:tcPr>
          <w:p>
            <w:r>
              <w:rPr>
                <w:rFonts w:ascii="Arial" w:cs="Arial" w:eastAsia="Arial" w:hAnsi="Arial"/>
                <w:sz w:val="20"/>
                <w:szCs w:val="20"/>
              </w:rPr>
              <w:t xml:space="preserve">Tests for clone safety, perturbations, validation, early-stop, fragility</w:t>
            </w:r>
          </w:p>
        </w:tc>
      </w:tr>
    </w:tbl>
    <w:p>
      <w:pPr>
        <w:spacing w:after="0" w:before="200"/>
      </w:pPr>
      <w:r>
        <w:rPr>
          <w:rFonts w:ascii="Arial" w:cs="Arial" w:eastAsia="Arial" w:hAnsi="Arial"/>
        </w:rPr>
        <w:t xml:space="preserve"/>
      </w:r>
    </w:p>
    <w:p>
      <w:pPr>
        <w:pStyle w:val="Heading1"/>
        <w:pBdr>
          <w:left w:val="single" w:color="2E6DB4" w:sz="20" w:space="8"/>
        </w:pBdr>
        <w:ind w:left="200"/>
      </w:pPr>
      <w:r>
        <w:rPr>
          <w:rFonts w:ascii="Arial" w:cs="Arial" w:eastAsia="Arial" w:hAnsi="Arial"/>
          <w:b/>
          <w:bCs/>
          <w:color w:val="1E3A5F"/>
        </w:rPr>
        <w:t xml:space="preserve">8. Open Items and Next Steps</w:t>
      </w:r>
    </w:p>
    <w:p>
      <w:pPr>
        <w:pBdr>
          <w:bottom w:val="single" w:color="2E6DB4" w:sz="4"/>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6DB4" w:sz="1"/>
              <w:left w:val="single" w:color="2E6DB4" w:sz="1"/>
              <w:bottom w:val="single" w:color="2E6DB4" w:sz="1"/>
              <w:right w:val="single" w:color="2E6DB4" w:sz="1"/>
            </w:tcBorders>
            <w:shd w:fill="1E3A5F" w:val="clear"/>
            <w:tcMar>
              <w:top w:type="dxa" w:w="80"/>
              <w:left w:type="dxa" w:w="120"/>
              <w:bottom w:type="dxa" w:w="80"/>
              <w:right w:type="dxa" w:w="120"/>
            </w:tcMar>
          </w:tcPr>
          <w:p>
            <w:r>
              <w:rPr>
                <w:rFonts w:ascii="Arial" w:cs="Arial" w:eastAsia="Arial" w:hAnsi="Arial"/>
                <w:b/>
                <w:bCs/>
                <w:color w:val="FFFFFF"/>
              </w:rPr>
              <w:t xml:space="preserve">Item</w:t>
            </w:r>
          </w:p>
        </w:tc>
        <w:tc>
          <w:tcPr>
            <w:tcW w:type="dxa" w:w="6360"/>
            <w:tcBorders>
              <w:top w:val="single" w:color="2E6DB4" w:sz="1"/>
              <w:left w:val="single" w:color="2E6DB4" w:sz="1"/>
              <w:bottom w:val="single" w:color="2E6DB4" w:sz="1"/>
              <w:right w:val="single" w:color="2E6DB4" w:sz="1"/>
            </w:tcBorders>
            <w:shd w:fill="1E3A5F"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30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bCs/>
                <w:color w:val="B35C00"/>
                <w:sz w:val="20"/>
                <w:szCs w:val="20"/>
              </w:rPr>
              <w:t xml:space="preserve">Sensitivity HTTP endpoint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7 builds the engine only. HTTP wiring (POST /scenarios/{id}/sensitivity) is a separate sprint.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35C00"/>
                <w:sz w:val="20"/>
                <w:szCs w:val="20"/>
              </w:rPr>
              <w:t xml:space="preserve">Economic.Total validation</w:t>
            </w:r>
          </w:p>
        </w:tc>
        <w:tc>
          <w:tcPr>
            <w:tcW w:type="dxa" w:w="6360"/>
            <w:tcBorders>
              <w:top w:val="single" w:color="CCCCCC" w:sz="1"/>
              <w:left w:val="single" w:color="CCCCCC" w:sz="1"/>
              <w:bottom w:val="single" w:color="CCCCCC" w:sz="1"/>
              <w:right w:val="single" w:color="CCCCCC" w:sz="1"/>
            </w:tcBorders>
            <w:shd w:fill="F4F5F6" w:val="clear"/>
            <w:tcMar>
              <w:top w:type="dxa" w:w="80"/>
              <w:left w:type="dxa" w:w="120"/>
              <w:bottom w:type="dxa" w:w="80"/>
              <w:right w:type="dxa" w:w="120"/>
            </w:tcMar>
          </w:tcPr>
          <w:p>
            <w:r>
              <w:rPr>
                <w:rFonts w:ascii="Arial" w:cs="Arial" w:eastAsia="Arial" w:hAnsi="Arial"/>
                <w:sz w:val="20"/>
                <w:szCs w:val="20"/>
              </w:rPr>
              <w:t xml:space="preserve">Confirm WCR section is populated in live scenarios; if uniformly zero, BEP silently falls through to P&amp;L approximation.</w:t>
            </w:r>
          </w:p>
        </w:tc>
      </w:tr>
      <w:tr>
        <w:tc>
          <w:tcPr>
            <w:tcW w:type="dxa" w:w="30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bCs/>
                <w:color w:val="B35C00"/>
                <w:sz w:val="20"/>
                <w:szCs w:val="20"/>
              </w:rPr>
              <w:t xml:space="preserve">Frontend unknown-field tolerance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fields (urgency, break_even_status, root_cause, etc.) must not trigger DisallowUnknownFields errors.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35C00"/>
                <w:sz w:val="20"/>
                <w:szCs w:val="20"/>
              </w:rPr>
              <w:t xml:space="preserve">Integration test</w:t>
            </w:r>
          </w:p>
        </w:tc>
        <w:tc>
          <w:tcPr>
            <w:tcW w:type="dxa" w:w="6360"/>
            <w:tcBorders>
              <w:top w:val="single" w:color="CCCCCC" w:sz="1"/>
              <w:left w:val="single" w:color="CCCCCC" w:sz="1"/>
              <w:bottom w:val="single" w:color="CCCCCC" w:sz="1"/>
              <w:right w:val="single" w:color="CCCCCC" w:sz="1"/>
            </w:tcBorders>
            <w:shd w:fill="F4F5F6" w:val="clear"/>
            <w:tcMar>
              <w:top w:type="dxa" w:w="80"/>
              <w:left w:type="dxa" w:w="120"/>
              <w:bottom w:type="dxa" w:w="80"/>
              <w:right w:type="dxa" w:w="120"/>
            </w:tcMar>
          </w:tcPr>
          <w:p>
            <w:r>
              <w:rPr>
                <w:rFonts w:ascii="Arial" w:cs="Arial" w:eastAsia="Arial" w:hAnsi="Arial"/>
                <w:sz w:val="20"/>
                <w:szCs w:val="20"/>
              </w:rPr>
              <w:t xml:space="preserve">Run a full ComputeFullPlan → AnalyzeScenario pipeline with real DB data to validate end-to-end score coherence.</w:t>
            </w:r>
          </w:p>
        </w:tc>
      </w:tr>
    </w:tbl>
    <w:p>
      <w:pPr>
        <w:spacing w:after="0" w:before="240"/>
      </w:pPr>
      <w:r>
        <w:rPr>
          <w:rFonts w:ascii="Arial" w:cs="Arial" w:eastAsia="Arial" w:hAnsi="Arial"/>
        </w:rPr>
        <w:t xml:space="preserve"/>
      </w:r>
    </w:p>
    <w:p>
      <w:pPr>
        <w:pBdr>
          <w:top w:val="single" w:color="2E6DB4" w:sz="4"/>
        </w:pBdr>
        <w:spacing w:after="0" w:before="200"/>
        <w:jc w:val="center"/>
      </w:pPr>
      <w:r>
        <w:rPr>
          <w:rFonts w:ascii="Arial" w:cs="Arial" w:eastAsia="Arial" w:hAnsi="Arial"/>
          <w:i/>
          <w:iCs/>
          <w:color w:val="444444"/>
          <w:sz w:val="18"/>
          <w:szCs w:val="18"/>
        </w:rPr>
        <w:t xml:space="preserve">End of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spacing w:before="120"/>
    </w:pPr>
    <w:r>
      <w:rPr>
        <w:rFonts w:ascii="Arial" w:cs="Arial" w:eastAsia="Arial" w:hAnsi="Arial"/>
        <w:color w:val="444444"/>
        <w:sz w:val="16"/>
        <w:szCs w:val="16"/>
      </w:rPr>
      <w:t xml:space="preserve">CONFIDENTIAL — Internal Engineering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026"/>
      </w:tabs>
      <w:spacing w:after="160"/>
    </w:pPr>
    <w:r>
      <w:rPr>
        <w:rFonts w:ascii="Arial" w:cs="Arial" w:eastAsia="Arial" w:hAnsi="Arial"/>
        <w:color w:val="444444"/>
        <w:sz w:val="18"/>
        <w:szCs w:val="18"/>
      </w:rPr>
      <w:t xml:space="preserve">ScenarioAnalysisService v2 — Implementation Report</w:t>
    </w:r>
    <w:r>
      <w:rPr>
        <w:rFonts w:ascii="Arial" w:cs="Arial" w:eastAsia="Arial" w:hAnsi="Arial"/>
        <w:color w:val="444444"/>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6DB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7A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2026-04-12T10:38:34.999Z</dcterms:created>
  <dcterms:modified xsi:type="dcterms:W3CDTF">2026-04-12T10:38:34.999Z</dcterms:modified>
</cp:coreProperties>
</file>

<file path=docProps/custom.xml><?xml version="1.0" encoding="utf-8"?>
<Properties xmlns="http://schemas.openxmlformats.org/officeDocument/2006/custom-properties" xmlns:vt="http://schemas.openxmlformats.org/officeDocument/2006/docPropsVTypes"/>
</file>