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C2833"/>
          <w:sz w:val="52"/>
          <w:szCs w:val="52"/>
        </w:rPr>
        <w:t xml:space="preserve">SECURITY AUDIT REPORT</w:t>
      </w:r>
    </w:p>
    <w:p>
      <w:pPr>
        <w:spacing w:after="80"/>
        <w:jc w:val="center"/>
      </w:pPr>
      <w:r>
        <w:rPr>
          <w:rFonts w:ascii="Arial" w:cs="Arial" w:eastAsia="Arial" w:hAnsi="Arial"/>
          <w:b/>
          <w:bCs/>
          <w:color w:val="2471A3"/>
          <w:sz w:val="36"/>
          <w:szCs w:val="36"/>
        </w:rPr>
        <w:t xml:space="preserve">OAuth2 Authorization Server</w:t>
      </w:r>
    </w:p>
    <w:p>
      <w:pPr>
        <w:spacing w:after="80"/>
        <w:jc w:val="center"/>
      </w:pPr>
      <w:r>
        <w:rPr>
          <w:rFonts w:ascii="Arial" w:cs="Arial" w:eastAsia="Arial" w:hAnsi="Arial"/>
          <w:color w:val="566573"/>
          <w:sz w:val="32"/>
          <w:szCs w:val="32"/>
        </w:rPr>
        <w:t xml:space="preserve">Admin Single Page Application</w:t>
      </w:r>
    </w:p>
    <w:p>
      <w:pPr>
        <w:pBdr>
          <w:bottom w:val="single" w:color="2471A3" w:sz="8"/>
        </w:pBdr>
        <w:spacing w:after="600"/>
        <w:jc w:val="center"/>
      </w:pPr>
      <w:r>
        <w:rPr>
          <w:rFonts w:ascii="Arial" w:cs="Arial" w:eastAsia="Arial" w:hAnsi="Arial"/>
          <w:color w:val="566573"/>
          <w:sz w:val="24"/>
          <w:szCs w:val="24"/>
        </w:rPr>
        <w:t xml:space="preserve">Frontend-Only Production-Readiness Audit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ECF0F1" w:val="clear"/>
            <w:tcMar>
              <w:top w:type="dxa" w:w="100"/>
              <w:left w:type="dxa" w:w="160"/>
              <w:bottom w:type="dxa" w:w="100"/>
              <w:right w:type="dxa" w:w="160"/>
            </w:tcMar>
          </w:tcPr>
          <w:p>
            <w:r>
              <w:rPr>
                <w:rFonts w:ascii="Arial" w:cs="Arial" w:eastAsia="Arial" w:hAnsi="Arial"/>
                <w:b/>
                <w:bCs/>
                <w:color w:val="566573"/>
                <w:sz w:val="20"/>
                <w:szCs w:val="20"/>
              </w:rPr>
              <w:t xml:space="preserve">Date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r>
              <w:rPr>
                <w:rFonts w:ascii="Arial" w:cs="Arial" w:eastAsia="Arial" w:hAnsi="Arial"/>
                <w:sz w:val="20"/>
                <w:szCs w:val="20"/>
              </w:rPr>
              <w:t xml:space="preserve">27 February 2026</w:t>
            </w:r>
          </w:p>
        </w:tc>
      </w:tr>
      <w:tr>
        <w:tc>
          <w:tcPr>
            <w:tcW w:type="dxa" w:w="3000"/>
            <w:tcBorders>
              <w:top w:val="single" w:color="BDC3C7" w:sz="1"/>
              <w:left w:val="single" w:color="BDC3C7" w:sz="1"/>
              <w:bottom w:val="single" w:color="BDC3C7" w:sz="1"/>
              <w:right w:val="single" w:color="BDC3C7" w:sz="1"/>
            </w:tcBorders>
            <w:shd w:fill="ECF0F1" w:val="clear"/>
            <w:tcMar>
              <w:top w:type="dxa" w:w="100"/>
              <w:left w:type="dxa" w:w="160"/>
              <w:bottom w:type="dxa" w:w="100"/>
              <w:right w:type="dxa" w:w="160"/>
            </w:tcMar>
          </w:tcPr>
          <w:p>
            <w:r>
              <w:rPr>
                <w:rFonts w:ascii="Arial" w:cs="Arial" w:eastAsia="Arial" w:hAnsi="Arial"/>
                <w:b/>
                <w:bCs/>
                <w:color w:val="566573"/>
                <w:sz w:val="20"/>
                <w:szCs w:val="20"/>
              </w:rPr>
              <w:t xml:space="preserve">Target</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r>
              <w:rPr>
                <w:rFonts w:ascii="Arial" w:cs="Arial" w:eastAsia="Arial" w:hAnsi="Arial"/>
                <w:sz w:val="20"/>
                <w:szCs w:val="20"/>
              </w:rPr>
              <w:t xml:space="preserve">oauth2-admin SPA (Vue 3 / Vite / PrimeVue / Tailwind CSS)</w:t>
            </w:r>
          </w:p>
        </w:tc>
      </w:tr>
      <w:tr>
        <w:tc>
          <w:tcPr>
            <w:tcW w:type="dxa" w:w="3000"/>
            <w:tcBorders>
              <w:top w:val="single" w:color="BDC3C7" w:sz="1"/>
              <w:left w:val="single" w:color="BDC3C7" w:sz="1"/>
              <w:bottom w:val="single" w:color="BDC3C7" w:sz="1"/>
              <w:right w:val="single" w:color="BDC3C7" w:sz="1"/>
            </w:tcBorders>
            <w:shd w:fill="ECF0F1" w:val="clear"/>
            <w:tcMar>
              <w:top w:type="dxa" w:w="100"/>
              <w:left w:type="dxa" w:w="160"/>
              <w:bottom w:type="dxa" w:w="100"/>
              <w:right w:type="dxa" w:w="160"/>
            </w:tcMar>
          </w:tcPr>
          <w:p>
            <w:r>
              <w:rPr>
                <w:rFonts w:ascii="Arial" w:cs="Arial" w:eastAsia="Arial" w:hAnsi="Arial"/>
                <w:b/>
                <w:bCs/>
                <w:color w:val="566573"/>
                <w:sz w:val="20"/>
                <w:szCs w:val="20"/>
              </w:rPr>
              <w:t xml:space="preserve">Scope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r>
              <w:rPr>
                <w:rFonts w:ascii="Arial" w:cs="Arial" w:eastAsia="Arial" w:hAnsi="Arial"/>
                <w:sz w:val="20"/>
                <w:szCs w:val="20"/>
              </w:rPr>
              <w:t xml:space="preserve">Frontend source only — backend not audited</w:t>
            </w:r>
          </w:p>
        </w:tc>
      </w:tr>
      <w:tr>
        <w:tc>
          <w:tcPr>
            <w:tcW w:type="dxa" w:w="3000"/>
            <w:tcBorders>
              <w:top w:val="single" w:color="BDC3C7" w:sz="1"/>
              <w:left w:val="single" w:color="BDC3C7" w:sz="1"/>
              <w:bottom w:val="single" w:color="BDC3C7" w:sz="1"/>
              <w:right w:val="single" w:color="BDC3C7" w:sz="1"/>
            </w:tcBorders>
            <w:shd w:fill="ECF0F1" w:val="clear"/>
            <w:tcMar>
              <w:top w:type="dxa" w:w="100"/>
              <w:left w:type="dxa" w:w="160"/>
              <w:bottom w:type="dxa" w:w="100"/>
              <w:right w:type="dxa" w:w="160"/>
            </w:tcMar>
          </w:tcPr>
          <w:p>
            <w:r>
              <w:rPr>
                <w:rFonts w:ascii="Arial" w:cs="Arial" w:eastAsia="Arial" w:hAnsi="Arial"/>
                <w:b/>
                <w:bCs/>
                <w:color w:val="566573"/>
                <w:sz w:val="20"/>
                <w:szCs w:val="20"/>
              </w:rPr>
              <w:t xml:space="preserve">Auditor</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60"/>
              <w:bottom w:type="dxa" w:w="100"/>
              <w:right w:type="dxa" w:w="160"/>
            </w:tcMar>
          </w:tcPr>
          <w:p>
            <w:r>
              <w:rPr>
                <w:rFonts w:ascii="Arial" w:cs="Arial" w:eastAsia="Arial" w:hAnsi="Arial"/>
                <w:sz w:val="20"/>
                <w:szCs w:val="20"/>
              </w:rPr>
              <w:t xml:space="preserve">Senior Security Auditor / Frontend Architect</w:t>
            </w:r>
          </w:p>
        </w:tc>
      </w:tr>
      <w:tr>
        <w:tc>
          <w:tcPr>
            <w:tcW w:type="dxa" w:w="3000"/>
            <w:tcBorders>
              <w:top w:val="single" w:color="BDC3C7" w:sz="1"/>
              <w:left w:val="single" w:color="BDC3C7" w:sz="1"/>
              <w:bottom w:val="single" w:color="BDC3C7" w:sz="1"/>
              <w:right w:val="single" w:color="BDC3C7" w:sz="1"/>
            </w:tcBorders>
            <w:shd w:fill="ECF0F1" w:val="clear"/>
            <w:tcMar>
              <w:top w:type="dxa" w:w="100"/>
              <w:left w:type="dxa" w:w="160"/>
              <w:bottom w:type="dxa" w:w="100"/>
              <w:right w:type="dxa" w:w="160"/>
            </w:tcMar>
          </w:tcPr>
          <w:p>
            <w:r>
              <w:rPr>
                <w:rFonts w:ascii="Arial" w:cs="Arial" w:eastAsia="Arial" w:hAnsi="Arial"/>
                <w:b/>
                <w:bCs/>
                <w:color w:val="566573"/>
                <w:sz w:val="20"/>
                <w:szCs w:val="20"/>
              </w:rPr>
              <w:t xml:space="preserve">Classification</w:t>
            </w:r>
          </w:p>
        </w:tc>
        <w:tc>
          <w:tcPr>
            <w:tcW w:type="dxa" w:w="6360"/>
            <w:tcBorders>
              <w:top w:val="single" w:color="BDC3C7" w:sz="1"/>
              <w:left w:val="single" w:color="BDC3C7" w:sz="1"/>
              <w:bottom w:val="single" w:color="BDC3C7" w:sz="1"/>
              <w:right w:val="single" w:color="BDC3C7" w:sz="1"/>
            </w:tcBorders>
            <w:shd w:fill="FADBD8" w:val="clear"/>
            <w:tcMar>
              <w:top w:type="dxa" w:w="100"/>
              <w:left w:type="dxa" w:w="160"/>
              <w:bottom w:type="dxa" w:w="100"/>
              <w:right w:type="dxa" w:w="160"/>
            </w:tcMar>
          </w:tcPr>
          <w:p>
            <w:r>
              <w:rPr>
                <w:rFonts w:ascii="Arial" w:cs="Arial" w:eastAsia="Arial" w:hAnsi="Arial"/>
                <w:b/>
                <w:bCs/>
                <w:color w:val="C0392B"/>
                <w:sz w:val="20"/>
                <w:szCs w:val="20"/>
              </w:rPr>
              <w:t xml:space="preserve">CONFIDENTIAL — INTERNAL USE ONLY</w:t>
            </w:r>
          </w:p>
        </w:tc>
      </w:tr>
    </w:tbl>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1. Executive Summary</w:t>
      </w:r>
    </w:p>
    <w:p>
      <w:pPr>
        <w:spacing w:after="120"/>
      </w:pPr>
      <w:r>
        <w:rPr>
          <w:rFonts w:ascii="Arial" w:cs="Arial" w:eastAsia="Arial" w:hAnsi="Arial"/>
          <w:color w:val="1C2833"/>
          <w:sz w:val="22"/>
          <w:szCs w:val="22"/>
        </w:rPr>
        <w:t xml:space="preserve">This report presents the findings of a security-focused production-readiness audit conducted on the oauth2-admin Single Page Application — the administrative interface for an OAuth2 Authorization Server. The audit was performed exclusively against the frontend source code. The backend is assumed to be correctly implemented but was not audited.</w:t>
      </w:r>
    </w:p>
    <w:p>
      <w:pPr>
        <w:spacing w:after="120"/>
      </w:pPr>
      <w:r>
        <w:rPr>
          <w:rFonts w:ascii="Arial" w:cs="Arial" w:eastAsia="Arial" w:hAnsi="Arial"/>
          <w:color w:val="1C2833"/>
          <w:sz w:val="22"/>
          <w:szCs w:val="22"/>
        </w:rPr>
        <w:t xml:space="preserve">The application administers identity infrastructure: it controls OAuth2 clients, user accounts, token lifecycle, role assignments, and security event monitoring. A successful compromise of the admin UI could provide an attacker with full, persistent control over authentication and authorization for all downstream applications.</w:t>
      </w:r>
    </w:p>
    <w:p>
      <w:pPr>
        <w:spacing w:after="120"/>
      </w:pPr>
      <w:r>
        <w:rPr>
          <w:rFonts w:ascii="Arial" w:cs="Arial" w:eastAsia="Arial" w:hAnsi="Arial"/>
          <w:color w:val="1C2833"/>
          <w:sz w:val="22"/>
          <w:szCs w:val="22"/>
        </w:rPr>
        <w:t xml:space="preserve">The audit applied a conservative, security-first approach consistent with a zero-trust threat model and OWASP best practices for high-value SPAs.</w:t>
      </w:r>
    </w:p>
    <w:p>
      <w:pPr>
        <w:spacing w:after="80"/>
      </w:pPr>
    </w:p>
    <w:p>
      <w:pPr>
        <w:pStyle w:val="Heading2"/>
        <w:spacing w:before="280" w:after="100"/>
      </w:pPr>
      <w:r>
        <w:rPr>
          <w:rFonts w:ascii="Arial" w:cs="Arial" w:eastAsia="Arial" w:hAnsi="Arial"/>
          <w:b/>
          <w:bCs/>
          <w:color w:val="2471A3"/>
          <w:sz w:val="26"/>
          <w:szCs w:val="26"/>
        </w:rPr>
        <w:t xml:space="preserve">Overall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
              <w:bottom w:val="single" w:color="C0392B" w:sz="1"/>
              <w:right w:val="single" w:color="C0392B" w:sz="1"/>
            </w:tcBorders>
            <w:shd w:fill="FADBD8" w:val="clear"/>
            <w:tcMar>
              <w:top w:type="dxa" w:w="160"/>
              <w:left w:type="dxa" w:w="200"/>
              <w:bottom w:type="dxa" w:w="160"/>
              <w:right w:type="dxa" w:w="200"/>
            </w:tcMar>
          </w:tcPr>
          <w:p>
            <w:pPr>
              <w:jc w:val="center"/>
            </w:pPr>
            <w:r>
              <w:rPr>
                <w:rFonts w:ascii="Arial" w:cs="Arial" w:eastAsia="Arial" w:hAnsi="Arial"/>
                <w:b/>
                <w:bCs/>
                <w:color w:val="C0392B"/>
                <w:sz w:val="32"/>
                <w:szCs w:val="32"/>
              </w:rPr>
              <w:t xml:space="preserve">HIGH RISK — NOT READY FOR PRODUCTION</w:t>
            </w:r>
          </w:p>
        </w:tc>
      </w:tr>
    </w:tbl>
    <w:p>
      <w:pPr>
        <w:spacing w:after="80"/>
      </w:pPr>
    </w:p>
    <w:p>
      <w:pPr>
        <w:pStyle w:val="Heading2"/>
        <w:spacing w:before="280" w:after="100"/>
      </w:pPr>
      <w:r>
        <w:rPr>
          <w:rFonts w:ascii="Arial" w:cs="Arial" w:eastAsia="Arial" w:hAnsi="Arial"/>
          <w:b/>
          <w:bCs/>
          <w:color w:val="2471A3"/>
          <w:sz w:val="26"/>
          <w:szCs w:val="26"/>
        </w:rPr>
        <w:t xml:space="preserve">Finding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1"/>
              <w:left w:val="single" w:color="C0392B" w:sz="1"/>
              <w:bottom w:val="single" w:color="C0392B" w:sz="1"/>
              <w:right w:val="single" w:color="C0392B" w:sz="1"/>
            </w:tcBorders>
            <w:shd w:fill="FADBD8" w:val="clear"/>
            <w:tcMar>
              <w:top w:type="dxa" w:w="160"/>
              <w:left w:type="dxa" w:w="200"/>
              <w:bottom w:type="dxa" w:w="160"/>
              <w:right w:type="dxa" w:w="200"/>
            </w:tcMar>
          </w:tcPr>
          <w:p>
            <w:pPr>
              <w:jc w:val="center"/>
            </w:pPr>
            <w:r>
              <w:rPr>
                <w:rFonts w:ascii="Arial" w:cs="Arial" w:eastAsia="Arial" w:hAnsi="Arial"/>
                <w:b/>
                <w:bCs/>
                <w:color w:val="C0392B"/>
                <w:sz w:val="48"/>
                <w:szCs w:val="48"/>
              </w:rPr>
              <w:t xml:space="preserve">3</w:t>
            </w:r>
          </w:p>
          <w:p>
            <w:pPr>
              <w:jc w:val="center"/>
            </w:pPr>
            <w:r>
              <w:rPr>
                <w:rFonts w:ascii="Arial" w:cs="Arial" w:eastAsia="Arial" w:hAnsi="Arial"/>
                <w:b/>
                <w:bCs/>
                <w:color w:val="C0392B"/>
                <w:sz w:val="20"/>
                <w:szCs w:val="20"/>
              </w:rPr>
              <w:t xml:space="preserve">CRITICAL</w:t>
            </w:r>
          </w:p>
        </w:tc>
        <w:tc>
          <w:tcPr>
            <w:tcW w:type="dxa" w:w="2340"/>
            <w:tcBorders>
              <w:top w:val="single" w:color="E67E22" w:sz="1"/>
              <w:left w:val="single" w:color="E67E22" w:sz="1"/>
              <w:bottom w:val="single" w:color="E67E22" w:sz="1"/>
              <w:right w:val="single" w:color="E67E22" w:sz="1"/>
            </w:tcBorders>
            <w:shd w:fill="FDEBD0" w:val="clear"/>
            <w:tcMar>
              <w:top w:type="dxa" w:w="160"/>
              <w:left w:type="dxa" w:w="200"/>
              <w:bottom w:type="dxa" w:w="160"/>
              <w:right w:type="dxa" w:w="200"/>
            </w:tcMar>
          </w:tcPr>
          <w:p>
            <w:pPr>
              <w:jc w:val="center"/>
            </w:pPr>
            <w:r>
              <w:rPr>
                <w:rFonts w:ascii="Arial" w:cs="Arial" w:eastAsia="Arial" w:hAnsi="Arial"/>
                <w:b/>
                <w:bCs/>
                <w:color w:val="E67E22"/>
                <w:sz w:val="48"/>
                <w:szCs w:val="48"/>
              </w:rPr>
              <w:t xml:space="preserve">6</w:t>
            </w:r>
          </w:p>
          <w:p>
            <w:pPr>
              <w:jc w:val="center"/>
            </w:pPr>
            <w:r>
              <w:rPr>
                <w:rFonts w:ascii="Arial" w:cs="Arial" w:eastAsia="Arial" w:hAnsi="Arial"/>
                <w:b/>
                <w:bCs/>
                <w:color w:val="E67E22"/>
                <w:sz w:val="20"/>
                <w:szCs w:val="20"/>
              </w:rPr>
              <w:t xml:space="preserve">HIGH</w:t>
            </w:r>
          </w:p>
        </w:tc>
        <w:tc>
          <w:tcPr>
            <w:tcW w:type="dxa" w:w="2340"/>
            <w:tcBorders>
              <w:top w:val="single" w:color="F1C40F" w:sz="1"/>
              <w:left w:val="single" w:color="F1C40F" w:sz="1"/>
              <w:bottom w:val="single" w:color="F1C40F" w:sz="1"/>
              <w:right w:val="single" w:color="F1C40F" w:sz="1"/>
            </w:tcBorders>
            <w:shd w:fill="FEF9E7" w:val="clear"/>
            <w:tcMar>
              <w:top w:type="dxa" w:w="160"/>
              <w:left w:type="dxa" w:w="200"/>
              <w:bottom w:type="dxa" w:w="160"/>
              <w:right w:type="dxa" w:w="200"/>
            </w:tcMar>
          </w:tcPr>
          <w:p>
            <w:pPr>
              <w:jc w:val="center"/>
            </w:pPr>
            <w:r>
              <w:rPr>
                <w:rFonts w:ascii="Arial" w:cs="Arial" w:eastAsia="Arial" w:hAnsi="Arial"/>
                <w:b/>
                <w:bCs/>
                <w:color w:val="F1C40F"/>
                <w:sz w:val="48"/>
                <w:szCs w:val="48"/>
              </w:rPr>
              <w:t xml:space="preserve">8</w:t>
            </w:r>
          </w:p>
          <w:p>
            <w:pPr>
              <w:jc w:val="center"/>
            </w:pPr>
            <w:r>
              <w:rPr>
                <w:rFonts w:ascii="Arial" w:cs="Arial" w:eastAsia="Arial" w:hAnsi="Arial"/>
                <w:b/>
                <w:bCs/>
                <w:color w:val="F1C40F"/>
                <w:sz w:val="20"/>
                <w:szCs w:val="20"/>
              </w:rPr>
              <w:t xml:space="preserve">MEDIUM</w:t>
            </w:r>
          </w:p>
        </w:tc>
        <w:tc>
          <w:tcPr>
            <w:tcW w:type="dxa" w:w="2340"/>
            <w:tcBorders>
              <w:top w:val="single" w:color="27AE60" w:sz="1"/>
              <w:left w:val="single" w:color="27AE60" w:sz="1"/>
              <w:bottom w:val="single" w:color="27AE60" w:sz="1"/>
              <w:right w:val="single" w:color="27AE60" w:sz="1"/>
            </w:tcBorders>
            <w:shd w:fill="EAFAF1" w:val="clear"/>
            <w:tcMar>
              <w:top w:type="dxa" w:w="160"/>
              <w:left w:type="dxa" w:w="200"/>
              <w:bottom w:type="dxa" w:w="160"/>
              <w:right w:type="dxa" w:w="200"/>
            </w:tcMar>
          </w:tcPr>
          <w:p>
            <w:pPr>
              <w:jc w:val="center"/>
            </w:pPr>
            <w:r>
              <w:rPr>
                <w:rFonts w:ascii="Arial" w:cs="Arial" w:eastAsia="Arial" w:hAnsi="Arial"/>
                <w:b/>
                <w:bCs/>
                <w:color w:val="27AE60"/>
                <w:sz w:val="48"/>
                <w:szCs w:val="48"/>
              </w:rPr>
              <w:t xml:space="preserve">5</w:t>
            </w:r>
          </w:p>
          <w:p>
            <w:pPr>
              <w:jc w:val="center"/>
            </w:pPr>
            <w:r>
              <w:rPr>
                <w:rFonts w:ascii="Arial" w:cs="Arial" w:eastAsia="Arial" w:hAnsi="Arial"/>
                <w:b/>
                <w:bCs/>
                <w:color w:val="27AE60"/>
                <w:sz w:val="20"/>
                <w:szCs w:val="20"/>
              </w:rPr>
              <w:t xml:space="preserve">LOW</w:t>
            </w:r>
          </w:p>
        </w:tc>
      </w:tr>
    </w:tbl>
    <w:p>
      <w:pPr>
        <w:spacing w:after="80"/>
      </w:pPr>
    </w:p>
    <w:p>
      <w:pPr>
        <w:pStyle w:val="Heading2"/>
        <w:spacing w:before="280" w:after="100"/>
      </w:pPr>
      <w:r>
        <w:rPr>
          <w:rFonts w:ascii="Arial" w:cs="Arial" w:eastAsia="Arial" w:hAnsi="Arial"/>
          <w:b/>
          <w:bCs/>
          <w:color w:val="2471A3"/>
          <w:sz w:val="26"/>
          <w:szCs w:val="26"/>
        </w:rPr>
        <w:t xml:space="preserve">Production Readiness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52"/>
        <w:gridCol w:w="5148"/>
      </w:tblGrid>
      <w:tr>
        <w:tc>
          <w:tcPr>
            <w:tcW w:type="dxa" w:w="1560"/>
            <w:tcBorders>
              <w:top w:val="none"/>
              <w:left w:val="none"/>
              <w:bottom w:val="none"/>
              <w:right w:val="none"/>
            </w:tcBorders>
            <w:tcMar>
              <w:top w:type="dxa" w:w="80"/>
              <w:left w:type="dxa" w:w="0"/>
              <w:bottom w:type="dxa" w:w="80"/>
              <w:right w:type="dxa" w:w="160"/>
            </w:tcMar>
          </w:tcPr>
          <w:p>
            <w:pPr>
              <w:jc w:val="right"/>
            </w:pPr>
            <w:r>
              <w:rPr>
                <w:rFonts w:ascii="Arial" w:cs="Arial" w:eastAsia="Arial" w:hAnsi="Arial"/>
                <w:b/>
                <w:bCs/>
                <w:color w:val="C0392B"/>
                <w:sz w:val="28"/>
                <w:szCs w:val="28"/>
              </w:rPr>
              <w:t xml:space="preserve">34/100</w:t>
            </w:r>
          </w:p>
        </w:tc>
        <w:tc>
          <w:tcPr>
            <w:tcW w:type="dxa" w:w="2652"/>
            <w:tcBorders>
              <w:top w:val="single" w:color="C0392B" w:sz="1"/>
              <w:left w:val="single" w:color="C0392B" w:sz="1"/>
              <w:bottom w:val="single" w:color="C0392B" w:sz="1"/>
              <w:right w:val="single" w:color="C0392B" w:sz="1"/>
            </w:tcBorders>
            <w:shd w:fill="C0392B" w:val="clear"/>
          </w:tcPr>
          <w:p/>
        </w:tc>
        <w:tc>
          <w:tcPr>
            <w:tcW w:type="dxa" w:w="5148"/>
            <w:tcBorders>
              <w:top w:val="single" w:color="BDC3C7" w:sz="1"/>
              <w:left w:val="single" w:color="BDC3C7" w:sz="1"/>
              <w:bottom w:val="single" w:color="BDC3C7" w:sz="1"/>
              <w:right w:val="single" w:color="BDC3C7" w:sz="1"/>
            </w:tcBorders>
            <w:shd w:fill="EAECEE" w:val="clear"/>
          </w:tcPr>
          <w:p/>
        </w:tc>
      </w:tr>
    </w:tbl>
    <w:p>
      <w:pPr>
        <w:spacing w:after="80"/>
      </w:pPr>
    </w:p>
    <w:p>
      <w:pPr>
        <w:spacing w:after="120"/>
      </w:pPr>
      <w:r>
        <w:rPr>
          <w:rFonts w:ascii="Arial" w:cs="Arial" w:eastAsia="Arial" w:hAnsi="Arial"/>
          <w:color w:val="1C2833"/>
          <w:sz w:val="22"/>
          <w:szCs w:val="22"/>
        </w:rPr>
        <w:t xml:space="preserve">The application demonstrates competent frontend engineering with a clean codebase, well-structured component architecture, and no usage of dangerous patterns such as v-html. However, it contains several severe security deficiencies that are unacceptable for a production identity administration tool operating in a high-threat environment. The most critical issues are listed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rPr>
          <w:tblHeader/>
        </w:trPr>
        <w:tc>
          <w:tcPr>
            <w:tcW w:type="dxa" w:w="6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636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Finding</w:t>
            </w:r>
          </w:p>
        </w:tc>
        <w:tc>
          <w:tcPr>
            <w:tcW w:type="dxa" w:w="12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2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Domain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F-01</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Access &amp; Refresh Tokens stored in localStorage</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Auth / Storage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F-02</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Content Security Policy defined</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CSP / XSS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F-03</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"Revoke All Sessions" action is commented out — silently no-ops</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Operational</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F-04</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Unvalidated open redirect after login</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Auth / Redirect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F-05</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MFA/2FA support in admin portal</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Authentication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F-06</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session inactivity timeout</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Session Mgmt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F-07</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fallback URL for API base — tokens sent over cleartext</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Transport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F-08</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Password reset token exposed in URL query parameter</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Credential Mgmt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F-09</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X-Frame-Options / clickjacking protection</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CSP / Framing</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F-10</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Production console.error() leaks server responses</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Info Leakage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F-11</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Mock/fallback data silently replaces real API data on failure</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Reliability</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F-12</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Subresource Integrity (SRI) on external font CDN</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Supply Chain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F-13</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Redirect URI field lacks client-side URL validation</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Input Validation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F-14</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Role string inconsistency in authStore computed properties</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Authorization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F-15</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Vite build does not disable source maps for production</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Build Security</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F-16</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CSRF protection mechanism visible</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CSRF</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F-17</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Architecture details committed in .env.example</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Info Disclosure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F-18</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Security checklist items are hardcoded — always appear "OK"</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Operational</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F-19</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"Remember me" checkbox present but has no effect</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UX / Auth</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F-20</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Clipboard fallback uses deprecated document.execCommand</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Compatibility</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F-21</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Admin password minimum policy (8 chars) too weak for superadmin</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Credential Policy</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color w:val="566573"/>
                <w:sz w:val="18"/>
                <w:szCs w:val="18"/>
              </w:rPr>
              <w:t xml:space="preserve">F-22</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dependency vulnerability scanning (npm audit)</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80"/>
              <w:left w:type="dxa" w:w="100"/>
              <w:bottom w:type="dxa" w:w="80"/>
              <w:right w:type="dxa" w:w="100"/>
            </w:tcMar>
          </w:tcPr>
          <w:p>
            <w:r>
              <w:rPr>
                <w:rFonts w:ascii="Arial" w:cs="Arial" w:eastAsia="Arial" w:hAnsi="Arial"/>
                <w:color w:val="566573"/>
                <w:sz w:val="18"/>
                <w:szCs w:val="18"/>
              </w:rPr>
              <w:t xml:space="preserve">Supply Chain</w:t>
            </w:r>
          </w:p>
        </w:tc>
      </w:tr>
    </w:tbl>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2. Positive Findings</w:t>
      </w:r>
    </w:p>
    <w:p>
      <w:pPr>
        <w:spacing w:after="120"/>
      </w:pPr>
      <w:r>
        <w:rPr>
          <w:rFonts w:ascii="Arial" w:cs="Arial" w:eastAsia="Arial" w:hAnsi="Arial"/>
          <w:color w:val="1C2833"/>
          <w:sz w:val="22"/>
          <w:szCs w:val="22"/>
        </w:rPr>
        <w:t xml:space="preserve">The following security practices were observed to be correctly implemented and deserve explicit acknowledgment.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876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r>
              <w:rPr>
                <w:rFonts w:ascii="Arial" w:cs="Arial" w:eastAsia="Arial" w:hAnsi="Arial"/>
                <w:b/>
                <w:bCs/>
                <w:color w:val="FFFFFF"/>
                <w:sz w:val="20"/>
                <w:szCs w:val="20"/>
              </w:rPr>
              <w:t xml:space="preserve">Positive Practice</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P-01</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No v-html usage anywhere in the codebase — eliminates an entire class of XSS risk.</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P-02</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No innerHTML, document.write, or dangerouslySetInnerHTML calls found.</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P-03</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All user-facing data rendered through Vue template interpolation (auto-escaping).</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P-04</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devlog utility correctly gates all development logging behind import.meta.env.DEV.</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P-05</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Token refresh logic includes a request queue to handle concurrent 401s without race conditions.</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P-06</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Destructive actions (delete, role change, secret rotation) consistently require modal confirmation.</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P-07</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Logout always clears localStorage tokens, even when the server-side call fails (try/finally).</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P-08</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Route guards check authentication and role on every navigation.</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P-09</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No hardcoded credentials, API keys, or secrets found in source code.</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P-10</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Token state held only in Pinia memory (not persisted to localStorage directly from store).</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P-11</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Newly generated client secrets are displayed once and never re-shown — correct UX pattern.</w:t>
            </w:r>
          </w:p>
        </w:tc>
      </w:tr>
      <w:tr>
        <w:tc>
          <w:tcPr>
            <w:tcW w:type="dxa" w:w="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r>
              <w:rPr>
                <w:rFonts w:ascii="Courier New" w:cs="Courier New" w:eastAsia="Courier New" w:hAnsi="Courier New"/>
                <w:b/>
                <w:bCs/>
                <w:color w:val="1E8449"/>
                <w:sz w:val="18"/>
                <w:szCs w:val="18"/>
              </w:rPr>
              <w:t xml:space="preserve">P-12</w:t>
            </w:r>
          </w:p>
        </w:tc>
        <w:tc>
          <w:tcPr>
            <w:tcW w:type="dxa" w:w="8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TypeScript used throughout — reduces a class of runtime type-confusion bugs.</w:t>
            </w:r>
          </w:p>
        </w:tc>
      </w:tr>
    </w:tbl>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3. Detailed Findings</w:t>
      </w:r>
    </w:p>
    <w:p>
      <w:pPr>
        <w:pStyle w:val="Heading2"/>
        <w:spacing w:before="280" w:after="100"/>
      </w:pPr>
      <w:r>
        <w:rPr>
          <w:rFonts w:ascii="Arial" w:cs="Arial" w:eastAsia="Arial" w:hAnsi="Arial"/>
          <w:b/>
          <w:bCs/>
          <w:color w:val="2471A3"/>
          <w:sz w:val="26"/>
          <w:szCs w:val="26"/>
        </w:rPr>
        <w:t xml:space="preserve">Domain 1 — Client-Side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0392B" w:sz="1"/>
              <w:left w:val="single" w:color="C0392B" w:sz="8"/>
              <w:bottom w:val="single" w:color="BDC3C7" w:sz="1"/>
              <w:right w:val="single" w:color="BDC3C7" w:sz="1"/>
            </w:tcBorders>
            <w:shd w:fill="FADBD8" w:val="clear"/>
            <w:tcMar>
              <w:top w:type="dxa" w:w="100"/>
              <w:left w:type="dxa" w:w="160"/>
              <w:bottom w:type="dxa" w:w="100"/>
              <w:right w:type="dxa" w:w="160"/>
            </w:tcMar>
          </w:tcPr>
          <w:p>
            <w:r>
              <w:rPr>
                <w:rFonts w:ascii="Arial" w:cs="Arial" w:eastAsia="Arial" w:hAnsi="Arial"/>
                <w:b/>
                <w:bCs/>
                <w:color w:val="C0392B"/>
                <w:sz w:val="22"/>
                <w:szCs w:val="22"/>
              </w:rPr>
              <w:t xml:space="preserve">[F-01] </w:t>
            </w:r>
            <w:r>
              <w:rPr>
                <w:rFonts w:ascii="Arial" w:cs="Arial" w:eastAsia="Arial" w:hAnsi="Arial"/>
                <w:b/>
                <w:bCs/>
                <w:color w:val="1C2833"/>
                <w:sz w:val="22"/>
                <w:szCs w:val="22"/>
              </w:rPr>
              <w:t xml:space="preserve">Access and Refresh Tokens Stored in localStorage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Authentication / Browser Storage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Both the access_token and the refresh_token are stored in localStorage (authStore.ts lines 36-37, api.ts lines 79-81). localStorage is synchronously accessible from any JavaScript executing in the same origin, making both tokens immediately available to any successful XSS payload.</w:t>
            </w:r>
          </w:p>
          <w:p>
            <w:pPr>
              <w:spacing w:after="80"/>
            </w:pPr>
            <w:r>
              <w:rPr>
                <w:rFonts w:ascii="Arial" w:cs="Arial" w:eastAsia="Arial" w:hAnsi="Arial"/>
                <w:color w:val="1C2833"/>
                <w:sz w:val="20"/>
                <w:szCs w:val="20"/>
              </w:rPr>
              <w:t xml:space="preserve">For a superadmin portal controlling identity infrastructure, the combined impact of token theft is total compromise: an attacker exfiltrating the refresh token gains persistent admin access that survives token expiry and can re-issue access tokens indefinitely.</w:t>
            </w:r>
          </w:p>
          <w:p>
            <w:pPr>
              <w:spacing w:after="80"/>
            </w:pPr>
            <w:r>
              <w:rPr>
                <w:rFonts w:ascii="Arial" w:cs="Arial" w:eastAsia="Arial" w:hAnsi="Arial"/>
                <w:color w:val="1C2833"/>
                <w:sz w:val="20"/>
                <w:szCs w:val="20"/>
              </w:rPr>
              <w:t xml:space="preserve">This is the most impactful single finding in this audit. All other mitigations become irrelevant if a token can be exfiltrated via any injection vector, browser extension, or supply chain attack.</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Short-term: Move the access token to an in-memory variable (module-level ref). The token never touches persistent storage and is destroyed on page unload.</w:t>
            </w:r>
          </w:p>
          <w:p>
            <w:pPr>
              <w:spacing w:after="80"/>
            </w:pPr>
            <w:r>
              <w:rPr>
                <w:rFonts w:ascii="Arial" w:cs="Arial" w:eastAsia="Arial" w:hAnsi="Arial"/>
                <w:color w:val="1C2833"/>
                <w:sz w:val="20"/>
                <w:szCs w:val="20"/>
              </w:rPr>
              <w:t xml:space="preserve">For the refresh token: use an HttpOnly, Secure, SameSite=Strict cookie managed by the backend. The frontend never directly reads or writes this value.</w:t>
            </w:r>
          </w:p>
          <w:p>
            <w:pPr>
              <w:spacing w:after="80"/>
            </w:pPr>
            <w:r>
              <w:rPr>
                <w:rFonts w:ascii="Arial" w:cs="Arial" w:eastAsia="Arial" w:hAnsi="Arial"/>
                <w:color w:val="1C2833"/>
                <w:sz w:val="20"/>
                <w:szCs w:val="20"/>
              </w:rPr>
              <w:t xml:space="preserve">If a cookie-based approach is not immediately feasible, consider a BFF (Backend for Frontend) pattern where the SPA exchanges a session cookie for tokens server-side.</w:t>
            </w:r>
          </w:p>
          <w:p>
            <w:pPr>
              <w:spacing w:after="80"/>
            </w:pPr>
            <w:r>
              <w:rPr>
                <w:rFonts w:ascii="Arial" w:cs="Arial" w:eastAsia="Arial" w:hAnsi="Arial"/>
                <w:color w:val="1C2833"/>
                <w:sz w:val="20"/>
                <w:szCs w:val="20"/>
              </w:rPr>
              <w:t xml:space="preserve">Remove all localStorage.setItem/getItem/removeItem calls for tokens from authStore.ts, api.ts, and authService.ts.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authStore.ts:36  localStorage.setItem('access_token', response.access_token)
authStore.ts:37  localStorage.setItem('refresh_token', response.refresh_token)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0392B" w:sz="1"/>
              <w:left w:val="single" w:color="C0392B" w:sz="8"/>
              <w:bottom w:val="single" w:color="BDC3C7" w:sz="1"/>
              <w:right w:val="single" w:color="BDC3C7" w:sz="1"/>
            </w:tcBorders>
            <w:shd w:fill="FADBD8" w:val="clear"/>
            <w:tcMar>
              <w:top w:type="dxa" w:w="100"/>
              <w:left w:type="dxa" w:w="160"/>
              <w:bottom w:type="dxa" w:w="100"/>
              <w:right w:type="dxa" w:w="160"/>
            </w:tcMar>
          </w:tcPr>
          <w:p>
            <w:r>
              <w:rPr>
                <w:rFonts w:ascii="Arial" w:cs="Arial" w:eastAsia="Arial" w:hAnsi="Arial"/>
                <w:b/>
                <w:bCs/>
                <w:color w:val="C0392B"/>
                <w:sz w:val="22"/>
                <w:szCs w:val="22"/>
              </w:rPr>
              <w:t xml:space="preserve">[F-02] </w:t>
            </w:r>
            <w:r>
              <w:rPr>
                <w:rFonts w:ascii="Arial" w:cs="Arial" w:eastAsia="Arial" w:hAnsi="Arial"/>
                <w:b/>
                <w:bCs/>
                <w:color w:val="1C2833"/>
                <w:sz w:val="22"/>
                <w:szCs w:val="22"/>
              </w:rPr>
              <w:t xml:space="preserve">No Content Security Policy Defined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Client-Side Security / XSS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No Content-Security-Policy header or meta tag is present anywhere in the application (index.html, vite.config.ts, or otherwise). CSP is a critical browser-enforced mitigation for XSS attacks.</w:t>
            </w:r>
          </w:p>
          <w:p>
            <w:pPr>
              <w:spacing w:after="80"/>
            </w:pPr>
            <w:r>
              <w:rPr>
                <w:rFonts w:ascii="Arial" w:cs="Arial" w:eastAsia="Arial" w:hAnsi="Arial"/>
                <w:color w:val="1C2833"/>
                <w:sz w:val="20"/>
                <w:szCs w:val="20"/>
              </w:rPr>
              <w:t xml:space="preserve">Without CSP: inline scripts execute freely, external scripts from any origin can be loaded, data: URIs can be used as script sources, and no trusted source list restricts what JavaScript may execute.</w:t>
            </w:r>
          </w:p>
          <w:p>
            <w:pPr>
              <w:spacing w:after="80"/>
            </w:pPr>
            <w:r>
              <w:rPr>
                <w:rFonts w:ascii="Arial" w:cs="Arial" w:eastAsia="Arial" w:hAnsi="Arial"/>
                <w:color w:val="1C2833"/>
                <w:sz w:val="20"/>
                <w:szCs w:val="20"/>
              </w:rPr>
              <w:t xml:space="preserve">Given that external fonts are loaded from fonts.googleapis.com and fonts.gstatic.com, a CSP is required to explicitly whitelist those sources while denying all others.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Define and deploy a strict CSP at the HTTP response header level (preferred) via the web server or reverse proxy.</w:t>
            </w:r>
          </w:p>
          <w:p>
            <w:pPr>
              <w:spacing w:after="80"/>
            </w:pPr>
            <w:r>
              <w:rPr>
                <w:rFonts w:ascii="Arial" w:cs="Arial" w:eastAsia="Arial" w:hAnsi="Arial"/>
                <w:color w:val="1C2833"/>
                <w:sz w:val="20"/>
                <w:szCs w:val="20"/>
              </w:rPr>
              <w:t xml:space="preserve">Recommended starting policy (adjust connect-src to your API host): default-src 'none'; script-src 'self'; style-src 'self' https://fonts.googleapis.com; font-src 'self' https://fonts.gstatic.com; connect-src 'self' https://your-api-host; img-src 'self' data:; base-uri 'self'; form-action 'self'; frame-ancestors 'none'.</w:t>
            </w:r>
          </w:p>
          <w:p>
            <w:pPr>
              <w:spacing w:after="80"/>
            </w:pPr>
            <w:r>
              <w:rPr>
                <w:rFonts w:ascii="Arial" w:cs="Arial" w:eastAsia="Arial" w:hAnsi="Arial"/>
                <w:color w:val="1C2833"/>
                <w:sz w:val="20"/>
                <w:szCs w:val="20"/>
              </w:rPr>
              <w:t xml:space="preserve">Test the policy in report-only mode first using Content-Security-Policy-Report-Only, then enforce it.</w:t>
            </w:r>
          </w:p>
          <w:p>
            <w:pPr>
              <w:spacing w:after="80"/>
            </w:pPr>
            <w:r>
              <w:rPr>
                <w:rFonts w:ascii="Arial" w:cs="Arial" w:eastAsia="Arial" w:hAnsi="Arial"/>
                <w:color w:val="1C2833"/>
                <w:sz w:val="20"/>
                <w:szCs w:val="20"/>
              </w:rPr>
              <w:t xml:space="preserve">Consider also adding a nonce-based policy or using hash-based allowlisting for any required inline scripts.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index.html — no CSP meta tag present
vite.config.ts — no header injection configured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[F-09] </w:t>
            </w:r>
            <w:r>
              <w:rPr>
                <w:rFonts w:ascii="Arial" w:cs="Arial" w:eastAsia="Arial" w:hAnsi="Arial"/>
                <w:b/>
                <w:bCs/>
                <w:color w:val="1C2833"/>
                <w:sz w:val="22"/>
                <w:szCs w:val="22"/>
              </w:rPr>
              <w:t xml:space="preserve">No Clickjacking Protection (X-Frame-Options / frame-ancestors)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Client-Side Security / UI Redressing</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application does not set X-Frame-Options or the CSP frame-ancestors directive. An attacker could embed the admin interface inside a transparent iframe on a malicious site, overlaying decoy UI to trick a logged-in admin into performing privileged actions (UI redressing / clickjacking).</w:t>
            </w:r>
          </w:p>
          <w:p>
            <w:pPr>
              <w:spacing w:after="80"/>
            </w:pPr>
            <w:r>
              <w:rPr>
                <w:rFonts w:ascii="Arial" w:cs="Arial" w:eastAsia="Arial" w:hAnsi="Arial"/>
                <w:color w:val="1C2833"/>
                <w:sz w:val="20"/>
                <w:szCs w:val="20"/>
              </w:rPr>
              <w:t xml:space="preserve">Because this is an admin portal with destructive capabilities (application deletion, secret rotation, user token revocation), clickjacking poses a meaningful risk.</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Add the HTTP response header X-Frame-Options: DENY to all responses from the SPA host.</w:t>
            </w:r>
          </w:p>
          <w:p>
            <w:pPr>
              <w:spacing w:after="80"/>
            </w:pPr>
            <w:r>
              <w:rPr>
                <w:rFonts w:ascii="Arial" w:cs="Arial" w:eastAsia="Arial" w:hAnsi="Arial"/>
                <w:color w:val="1C2833"/>
                <w:sz w:val="20"/>
                <w:szCs w:val="20"/>
              </w:rPr>
              <w:t xml:space="preserve">Once CSP is implemented (see F-02), also add frame-ancestors 'none' to the policy, which supersedes X-Frame-Options in modern browsers.</w:t>
            </w:r>
          </w:p>
          <w:p>
            <w:pPr>
              <w:spacing w:after="80"/>
            </w:pPr>
            <w:r>
              <w:rPr>
                <w:rFonts w:ascii="Arial" w:cs="Arial" w:eastAsia="Arial" w:hAnsi="Arial"/>
                <w:color w:val="1C2833"/>
                <w:sz w:val="20"/>
                <w:szCs w:val="20"/>
              </w:rPr>
              <w:t xml:space="preserve">Configure these headers at the reverse proxy / web server level, not inside the Vue application itself.</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index.html — no &lt;meta http-equiv="X-Frame-Options"&gt; tag
vite.config.ts — no response header configuration</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2 — Authentication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[F-04] </w:t>
            </w:r>
            <w:r>
              <w:rPr>
                <w:rFonts w:ascii="Arial" w:cs="Arial" w:eastAsia="Arial" w:hAnsi="Arial"/>
                <w:b/>
                <w:bCs/>
                <w:color w:val="1C2833"/>
                <w:sz w:val="22"/>
                <w:szCs w:val="22"/>
              </w:rPr>
              <w:t xml:space="preserve">Unvalidated Open Redirect After Login</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Authentication / Open Redirect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In LoginView.vue the redirect query parameter is read after successful authentication and passed directly to router.push() without any validation: router.push(redirect || { name: 'Dashboard' }).</w:t>
            </w:r>
          </w:p>
          <w:p>
            <w:pPr>
              <w:spacing w:after="80"/>
            </w:pPr>
            <w:r>
              <w:rPr>
                <w:rFonts w:ascii="Arial" w:cs="Arial" w:eastAsia="Arial" w:hAnsi="Arial"/>
                <w:color w:val="1C2833"/>
                <w:sz w:val="20"/>
                <w:szCs w:val="20"/>
              </w:rPr>
              <w:t xml:space="preserve">An attacker can craft a phishing URL such as /auth/login?redirect=https://evil.example.com to silently redirect an authenticated admin to an attacker-controlled site after login, enabling credential harvesting or session token theft via the referrer header.</w:t>
            </w:r>
          </w:p>
          <w:p>
            <w:pPr>
              <w:spacing w:after="80"/>
            </w:pPr>
            <w:r>
              <w:rPr>
                <w:rFonts w:ascii="Arial" w:cs="Arial" w:eastAsia="Arial" w:hAnsi="Arial"/>
                <w:color w:val="1C2833"/>
                <w:sz w:val="20"/>
                <w:szCs w:val="20"/>
              </w:rPr>
              <w:t xml:space="preserve">While Vue Router's push() should ignore absolute external URLs by default, this behaviour is not guaranteed across all router versions and should not be relied upon as a security control.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Validate the redirect parameter before use. Only allow relative paths that begin with / and belong to known routes.</w:t>
            </w:r>
          </w:p>
          <w:p>
            <w:pPr>
              <w:spacing w:after="80"/>
            </w:pPr>
            <w:r>
              <w:rPr>
                <w:rFonts w:ascii="Arial" w:cs="Arial" w:eastAsia="Arial" w:hAnsi="Arial"/>
                <w:color w:val="1C2833"/>
                <w:sz w:val="20"/>
                <w:szCs w:val="20"/>
              </w:rPr>
              <w:t xml:space="preserve">Implement a whitelist or route-name-based redirect: check if the value is a recognized named route before redirecting.</w:t>
            </w:r>
          </w:p>
          <w:p>
            <w:pPr>
              <w:spacing w:after="80"/>
            </w:pPr>
            <w:r>
              <w:rPr>
                <w:rFonts w:ascii="Arial" w:cs="Arial" w:eastAsia="Arial" w:hAnsi="Arial"/>
                <w:color w:val="1C2833"/>
                <w:sz w:val="20"/>
                <w:szCs w:val="20"/>
              </w:rPr>
              <w:t xml:space="preserve">Example guard: const safeRedirect = /^/[a-zA-Z0-9\/\-_]+$/.test(redirect) ? redirect : '/'; router.push(safeRedirect);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LoginView.vue:171-172  const redirect = route.query.redirect as string
                       router.push(redirect || { name: 'Dashboard'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[F-05] </w:t>
            </w:r>
            <w:r>
              <w:rPr>
                <w:rFonts w:ascii="Arial" w:cs="Arial" w:eastAsia="Arial" w:hAnsi="Arial"/>
                <w:b/>
                <w:bCs/>
                <w:color w:val="1C2833"/>
                <w:sz w:val="22"/>
                <w:szCs w:val="22"/>
              </w:rPr>
              <w:t xml:space="preserve">No Multi-Factor Authentication (MFA) in Admin Portal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Authentication</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superadmin login flow accepts email and password only. There is no second factor (TOTP, WebAuthn, SMS) and no mechanism to require one.</w:t>
            </w:r>
          </w:p>
          <w:p>
            <w:pPr>
              <w:spacing w:after="80"/>
            </w:pPr>
            <w:r>
              <w:rPr>
                <w:rFonts w:ascii="Arial" w:cs="Arial" w:eastAsia="Arial" w:hAnsi="Arial"/>
                <w:color w:val="1C2833"/>
                <w:sz w:val="20"/>
                <w:szCs w:val="20"/>
              </w:rPr>
              <w:t xml:space="preserve">For a portal that administers an OAuth2 identity server, MFA is not optional — it is a baseline security control required by SOC 2, ISO 27001, and most enterprise security policies. A single compromised password is sufficient to gain full administrative control.</w:t>
            </w:r>
          </w:p>
          <w:p>
            <w:pPr>
              <w:spacing w:after="80"/>
            </w:pPr>
            <w:r>
              <w:rPr>
                <w:rFonts w:ascii="Arial" w:cs="Arial" w:eastAsia="Arial" w:hAnsi="Arial"/>
                <w:color w:val="1C2833"/>
                <w:sz w:val="20"/>
                <w:szCs w:val="20"/>
              </w:rPr>
              <w:t xml:space="preserve">The settings view shows an "MFA Enabled" feature flag but this appears to apply to end-user applications, not the superadmin interface itself.</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Require MFA for all superadmin logins. Integrate TOTP (RFC 6238) or WebAuthn into the login flow.</w:t>
            </w:r>
          </w:p>
          <w:p>
            <w:pPr>
              <w:spacing w:after="80"/>
            </w:pPr>
            <w:r>
              <w:rPr>
                <w:rFonts w:ascii="Arial" w:cs="Arial" w:eastAsia="Arial" w:hAnsi="Arial"/>
                <w:color w:val="1C2833"/>
                <w:sz w:val="20"/>
                <w:szCs w:val="20"/>
              </w:rPr>
              <w:t xml:space="preserve">If MFA cannot be implemented immediately, enforce it at the network level (VPN, IP allowlisting) as a compensating control and document it as a risk acceptance.</w:t>
            </w:r>
          </w:p>
          <w:p>
            <w:pPr>
              <w:spacing w:after="80"/>
            </w:pPr>
            <w:r>
              <w:rPr>
                <w:rFonts w:ascii="Arial" w:cs="Arial" w:eastAsia="Arial" w:hAnsi="Arial"/>
                <w:color w:val="1C2833"/>
                <w:sz w:val="20"/>
                <w:szCs w:val="20"/>
              </w:rPr>
              <w:t xml:space="preserve">Add a prominent UI indicator if the current admin account does not have MFA enrolled.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LoginView.vue — no MFA step, no TOTP/WebAuthn component referenced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[F-06] </w:t>
            </w:r>
            <w:r>
              <w:rPr>
                <w:rFonts w:ascii="Arial" w:cs="Arial" w:eastAsia="Arial" w:hAnsi="Arial"/>
                <w:b/>
                <w:bCs/>
                <w:color w:val="1C2833"/>
                <w:sz w:val="22"/>
                <w:szCs w:val="22"/>
              </w:rPr>
              <w:t xml:space="preserve">No Session Inactivity Timeout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Session Management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There is no idle timer or inactivity detection anywhere in the application. A logged-in admin session remains active until the JWT access token expires (TTL determined by backend) or the browser tab is closed.</w:t>
            </w:r>
          </w:p>
          <w:p>
            <w:pPr>
              <w:spacing w:after="80"/>
            </w:pPr>
            <w:r>
              <w:rPr>
                <w:rFonts w:ascii="Arial" w:cs="Arial" w:eastAsia="Arial" w:hAnsi="Arial"/>
                <w:color w:val="1C2833"/>
                <w:sz w:val="20"/>
                <w:szCs w:val="20"/>
              </w:rPr>
              <w:t xml:space="preserve">An unattended admin workstation, a shared browser session, or a session left open after the admin steps away represents a significant risk: any person with physical or remote access to the browser can perform privileged operations.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Implement a client-side inactivity timer (e.g., using @vueuse/core useIdle or a custom composable) that automatically logs out or locks the session after a configurable idle period (recommended: 15 minutes for admin interfaces).</w:t>
            </w:r>
          </w:p>
          <w:p>
            <w:pPr>
              <w:spacing w:after="80"/>
            </w:pPr>
            <w:r>
              <w:rPr>
                <w:rFonts w:ascii="Arial" w:cs="Arial" w:eastAsia="Arial" w:hAnsi="Arial"/>
                <w:color w:val="1C2833"/>
                <w:sz w:val="20"/>
                <w:szCs w:val="20"/>
              </w:rPr>
              <w:t xml:space="preserve">On inactivity expiry: revoke tokens via the logout endpoint, clear localStorage, and redirect to the login page with a notification.</w:t>
            </w:r>
          </w:p>
          <w:p>
            <w:pPr>
              <w:spacing w:after="80"/>
            </w:pPr>
            <w:r>
              <w:rPr>
                <w:rFonts w:ascii="Arial" w:cs="Arial" w:eastAsia="Arial" w:hAnsi="Arial"/>
                <w:color w:val="1C2833"/>
                <w:sz w:val="20"/>
                <w:szCs w:val="20"/>
              </w:rPr>
              <w:t xml:space="preserve">Offer a configurable warning dialog (e.g., "You will be logged out in 2 minutes") before forced logout.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No useIdle, visibility change, or inactivity detection found in any composable or layout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[F-07] </w:t>
            </w:r>
            <w:r>
              <w:rPr>
                <w:rFonts w:ascii="Arial" w:cs="Arial" w:eastAsia="Arial" w:hAnsi="Arial"/>
                <w:b/>
                <w:bCs/>
                <w:color w:val="1C2833"/>
                <w:sz w:val="22"/>
                <w:szCs w:val="22"/>
              </w:rPr>
              <w:t xml:space="preserve">HTTP Fallback URL — Tokens Transmitted in Cleartext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Transport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API base URL falls back to an HTTP URL if the environment variable is not set: const ADMIN_API_URL = import.meta.env.VITE_ADMIN_API_URL || 'http://localhost:8081'.</w:t>
            </w:r>
          </w:p>
          <w:p>
            <w:pPr>
              <w:spacing w:after="80"/>
            </w:pPr>
            <w:r>
              <w:rPr>
                <w:rFonts w:ascii="Arial" w:cs="Arial" w:eastAsia="Arial" w:hAnsi="Arial"/>
                <w:color w:val="1C2833"/>
                <w:sz w:val="20"/>
                <w:szCs w:val="20"/>
              </w:rPr>
              <w:t xml:space="preserve">If the VITE_ADMIN_API_URL variable is absent from a production build (misconfiguration, CI/CD pipeline error, missing .env), every API call — including token submission and refresh — will be made over unencrypted HTTP, exposing credentials to network interception.</w:t>
            </w:r>
          </w:p>
          <w:p>
            <w:pPr>
              <w:spacing w:after="80"/>
            </w:pPr>
            <w:r>
              <w:rPr>
                <w:rFonts w:ascii="Arial" w:cs="Arial" w:eastAsia="Arial" w:hAnsi="Arial"/>
                <w:color w:val="1C2833"/>
                <w:sz w:val="20"/>
                <w:szCs w:val="20"/>
              </w:rPr>
              <w:t xml:space="preserve">This is a silent failure: the application appears to work normally while transmitting admin credentials in cleartext.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Remove the HTTP fallback entirely. If the variable is not set, the application should fail loudly at startup (throw an error or display a configuration error screen).</w:t>
            </w:r>
          </w:p>
          <w:p>
            <w:pPr>
              <w:spacing w:after="80"/>
            </w:pPr>
            <w:r>
              <w:rPr>
                <w:rFonts w:ascii="Arial" w:cs="Arial" w:eastAsia="Arial" w:hAnsi="Arial"/>
                <w:color w:val="1C2833"/>
                <w:sz w:val="20"/>
                <w:szCs w:val="20"/>
              </w:rPr>
              <w:t xml:space="preserve">Add a startup assertion: if (!import.meta.env.VITE_ADMIN_API_URL) { throw new Error("VITE_ADMIN_API_URL is required"); }</w:t>
            </w:r>
          </w:p>
          <w:p>
            <w:pPr>
              <w:spacing w:after="80"/>
            </w:pPr>
            <w:r>
              <w:rPr>
                <w:rFonts w:ascii="Arial" w:cs="Arial" w:eastAsia="Arial" w:hAnsi="Arial"/>
                <w:color w:val="1C2833"/>
                <w:sz w:val="20"/>
                <w:szCs w:val="20"/>
              </w:rPr>
              <w:t xml:space="preserve">Enforce HTTPS-only in the CI/CD pipeline by validating environment variables before build.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api.ts:5  const ADMIN_API_URL = import.meta.env.VITE_ADMIN_API_URL || 'http://localhost:8081'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E67E22" w:sz="1"/>
              <w:left w:val="single" w:color="E67E22" w:sz="8"/>
              <w:bottom w:val="single" w:color="BDC3C7" w:sz="1"/>
              <w:right w:val="single" w:color="BDC3C7" w:sz="1"/>
            </w:tcBorders>
            <w:shd w:fill="FDEBD0" w:val="clear"/>
            <w:tcMar>
              <w:top w:type="dxa" w:w="100"/>
              <w:left w:type="dxa" w:w="160"/>
              <w:bottom w:type="dxa" w:w="100"/>
              <w:right w:type="dxa" w:w="160"/>
            </w:tcMar>
          </w:tcPr>
          <w:p>
            <w:r>
              <w:rPr>
                <w:rFonts w:ascii="Arial" w:cs="Arial" w:eastAsia="Arial" w:hAnsi="Arial"/>
                <w:b/>
                <w:bCs/>
                <w:color w:val="E67E22"/>
                <w:sz w:val="22"/>
                <w:szCs w:val="22"/>
              </w:rPr>
              <w:t xml:space="preserve">[F-08] </w:t>
            </w:r>
            <w:r>
              <w:rPr>
                <w:rFonts w:ascii="Arial" w:cs="Arial" w:eastAsia="Arial" w:hAnsi="Arial"/>
                <w:b/>
                <w:bCs/>
                <w:color w:val="1C2833"/>
                <w:sz w:val="22"/>
                <w:szCs w:val="22"/>
              </w:rPr>
              <w:t xml:space="preserve">Password Reset Token Exposed in URL Query Parameter</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Credential Management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password reset flow reads the token from the URL query string: const token = route.query.token as string. The full URL including the token is stored in browser history, may appear in web server access logs, is sent in the Referer header to any third party (such as Google Fonts), and can be captured by browser extensions.</w:t>
            </w:r>
          </w:p>
          <w:p>
            <w:pPr>
              <w:spacing w:after="80"/>
            </w:pPr>
            <w:r>
              <w:rPr>
                <w:rFonts w:ascii="Arial" w:cs="Arial" w:eastAsia="Arial" w:hAnsi="Arial"/>
                <w:color w:val="1C2833"/>
                <w:sz w:val="20"/>
                <w:szCs w:val="20"/>
              </w:rPr>
              <w:t xml:space="preserve">For a superadmin account reset, this token grants one-time capability to change the password of the most privileged account in the system.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Deliver the reset token via a POST body rather than a URL parameter where possible. If the link-based approach must be kept, use a fragment (#) instead of a query parameter — fragments are not sent to servers in Referer headers.</w:t>
            </w:r>
          </w:p>
          <w:p>
            <w:pPr>
              <w:spacing w:after="80"/>
            </w:pPr>
            <w:r>
              <w:rPr>
                <w:rFonts w:ascii="Arial" w:cs="Arial" w:eastAsia="Arial" w:hAnsi="Arial"/>
                <w:color w:val="1C2833"/>
                <w:sz w:val="20"/>
                <w:szCs w:val="20"/>
              </w:rPr>
              <w:t xml:space="preserve">Ensure the backend enforces single-use tokens and short expiry (recommended: 15 minutes).</w:t>
            </w:r>
          </w:p>
          <w:p>
            <w:pPr>
              <w:spacing w:after="80"/>
            </w:pPr>
            <w:r>
              <w:rPr>
                <w:rFonts w:ascii="Arial" w:cs="Arial" w:eastAsia="Arial" w:hAnsi="Arial"/>
                <w:color w:val="1C2833"/>
                <w:sz w:val="20"/>
                <w:szCs w:val="20"/>
              </w:rPr>
              <w:t xml:space="preserve">Add a server-side check that the token has not been used before processing the reset.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ResetPasswordView.vue:130  const token = route.query.token as string</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3 — Authorization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[F-14] </w:t>
            </w:r>
            <w:r>
              <w:rPr>
                <w:rFonts w:ascii="Arial" w:cs="Arial" w:eastAsia="Arial" w:hAnsi="Arial"/>
                <w:b/>
                <w:bCs/>
                <w:color w:val="1C2833"/>
                <w:sz w:val="22"/>
                <w:szCs w:val="22"/>
              </w:rPr>
              <w:t xml:space="preserve">Role String Inconsistency in authStore Computed Properties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Authorization / Access Control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authStore defines multiple computed role checks with inconsistent string comparisons. isSuperAdmin checks for both "superadmin" and "super_admin", but canManageUsers only checks "super_admin", "app_admin", and "app_manager" — omitting "superadmin". The router's requiresSuperAdmin meta uses isSuperAdmin, which may inadvertently grant or deny access depending on the exact string returned by the backend.</w:t>
            </w:r>
          </w:p>
          <w:p>
            <w:pPr>
              <w:spacing w:after="80"/>
            </w:pPr>
            <w:r>
              <w:rPr>
                <w:rFonts w:ascii="Arial" w:cs="Arial" w:eastAsia="Arial" w:hAnsi="Arial"/>
                <w:color w:val="1C2833"/>
                <w:sz w:val="20"/>
                <w:szCs w:val="20"/>
              </w:rPr>
              <w:t xml:space="preserve">If the backend returns the string "superadmin" (without underscore), a superadmin user would pass the isSuperAdmin check but fail the canManageUsers check, producing inconsistent UI behaviour that is difficult to diagnose and audit.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Normalise all role strings to a single canonical format at the point of API response receipt (e.g., always lowercase with underscores: "super_admin").</w:t>
            </w:r>
          </w:p>
          <w:p>
            <w:pPr>
              <w:spacing w:after="80"/>
            </w:pPr>
            <w:r>
              <w:rPr>
                <w:rFonts w:ascii="Arial" w:cs="Arial" w:eastAsia="Arial" w:hAnsi="Arial"/>
                <w:color w:val="1C2833"/>
                <w:sz w:val="20"/>
                <w:szCs w:val="20"/>
              </w:rPr>
              <w:t xml:space="preserve">Define role constants in a shared types file and use them exclusively. Eliminate all magic strings from comparison logic.</w:t>
            </w:r>
          </w:p>
          <w:p>
            <w:pPr>
              <w:spacing w:after="80"/>
            </w:pPr>
            <w:r>
              <w:rPr>
                <w:rFonts w:ascii="Arial" w:cs="Arial" w:eastAsia="Arial" w:hAnsi="Arial"/>
                <w:color w:val="1C2833"/>
                <w:sz w:val="20"/>
                <w:szCs w:val="20"/>
              </w:rPr>
              <w:t xml:space="preserve">Add unit tests for each computed role property covering all known role string variants returned by the backend.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authStore.ts:17-27  — isSuperAdmin vs canManageUsers use different role strings</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4 — API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[F-10] </w:t>
            </w:r>
            <w:r>
              <w:rPr>
                <w:rFonts w:ascii="Arial" w:cs="Arial" w:eastAsia="Arial" w:hAnsi="Arial"/>
                <w:b/>
                <w:bCs/>
                <w:color w:val="1C2833"/>
                <w:sz w:val="22"/>
                <w:szCs w:val="22"/>
              </w:rPr>
              <w:t xml:space="preserve">Production console.error() Calls Leak Server Response Data</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Information Leakage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Fifteen direct console.error() and console.warn() calls exist across views and the API interceptor, none of which are gated by the isDev flag. In production, these log full API error response objects to the browser console.</w:t>
            </w:r>
          </w:p>
          <w:p>
            <w:pPr>
              <w:spacing w:after="80"/>
            </w:pPr>
            <w:r>
              <w:rPr>
                <w:rFonts w:ascii="Arial" w:cs="Arial" w:eastAsia="Arial" w:hAnsi="Arial"/>
                <w:color w:val="1C2833"/>
                <w:sz w:val="20"/>
                <w:szCs w:val="20"/>
              </w:rPr>
              <w:t xml:space="preserve">Specifically: api.ts:109 logs console.warn('403 Forbidden:', error.response.data) and api.ts:120 logs console.error('Server error:', error.response.data). These may expose internal error messages, stack traces, database identifiers, or permission logic details visible to anyone who opens DevTools.</w:t>
            </w:r>
          </w:p>
          <w:p>
            <w:pPr>
              <w:spacing w:after="80"/>
            </w:pPr>
            <w:r>
              <w:rPr>
                <w:rFonts w:ascii="Arial" w:cs="Arial" w:eastAsia="Arial" w:hAnsi="Arial"/>
                <w:color w:val="1C2833"/>
                <w:sz w:val="20"/>
                <w:szCs w:val="20"/>
              </w:rPr>
              <w:t xml:space="preserve">Browser extensions, SIEM agents, and automated tools also harvest console output. In a shared or managed device environment, console data may be captured by endpoint detection software.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Replace all production console.error() and console.warn() calls with the existing devlog/deverror/devwarn utilities, which are already correctly gated by import.meta.env.DEV.</w:t>
            </w:r>
          </w:p>
          <w:p>
            <w:pPr>
              <w:spacing w:after="80"/>
            </w:pPr>
            <w:r>
              <w:rPr>
                <w:rFonts w:ascii="Arial" w:cs="Arial" w:eastAsia="Arial" w:hAnsi="Arial"/>
                <w:color w:val="1C2833"/>
                <w:sz w:val="20"/>
                <w:szCs w:val="20"/>
              </w:rPr>
              <w:t xml:space="preserve">For errors that must be tracked in production, send them to a structured logging service (e.g., Sentry) rather than the browser console.</w:t>
            </w:r>
          </w:p>
          <w:p>
            <w:pPr>
              <w:spacing w:after="80"/>
            </w:pPr>
            <w:r>
              <w:rPr>
                <w:rFonts w:ascii="Arial" w:cs="Arial" w:eastAsia="Arial" w:hAnsi="Arial"/>
                <w:color w:val="1C2833"/>
                <w:sz w:val="20"/>
                <w:szCs w:val="20"/>
              </w:rPr>
              <w:t xml:space="preserve">Audit every console.* call in the codebase and categorise each as dev-only or production-safe.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api.ts:109  console.warn('403 Forbidden:', error.response.data)
api.ts:120  console.error('Server error:', error.response.data)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[F-16] </w:t>
            </w:r>
            <w:r>
              <w:rPr>
                <w:rFonts w:ascii="Arial" w:cs="Arial" w:eastAsia="Arial" w:hAnsi="Arial"/>
                <w:b/>
                <w:bCs/>
                <w:color w:val="1C2833"/>
                <w:sz w:val="22"/>
                <w:szCs w:val="22"/>
              </w:rPr>
              <w:t xml:space="preserve">No CSRF Protection Mechanism Visible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API Communication / CSRF</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No CSRF token header, double-submit cookie, or custom request header beyond the Authorization bearer token is visible in the frontend code. While SameSite cookie attributes and bearer token authentication reduce CSRF risk compared to cookie-based session auth, bearer tokens stored in localStorage do not provide inherent CSRF protection — they rely entirely on the assumption that XSS has not occurred.</w:t>
            </w:r>
          </w:p>
          <w:p>
            <w:pPr>
              <w:spacing w:after="80"/>
            </w:pPr>
            <w:r>
              <w:rPr>
                <w:rFonts w:ascii="Arial" w:cs="Arial" w:eastAsia="Arial" w:hAnsi="Arial"/>
                <w:color w:val="1C2833"/>
                <w:sz w:val="20"/>
                <w:szCs w:val="20"/>
              </w:rPr>
              <w:t xml:space="preserve">If the backend ever issues session cookies (e.g., for SSO), CSRF protection becomes mandatory at the API layer.</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Confirm with the backend team that all state-changing endpoints require the Authorization: Bearer header (not just cookies) and that CORS is restricted to the admin SPA origin.</w:t>
            </w:r>
          </w:p>
          <w:p>
            <w:pPr>
              <w:spacing w:after="80"/>
            </w:pPr>
            <w:r>
              <w:rPr>
                <w:rFonts w:ascii="Arial" w:cs="Arial" w:eastAsia="Arial" w:hAnsi="Arial"/>
                <w:color w:val="1C2833"/>
                <w:sz w:val="20"/>
                <w:szCs w:val="20"/>
              </w:rPr>
              <w:t xml:space="preserve">If cookies are ever used, implement the Double Submit Cookie pattern or Synchronizer Token Pattern.</w:t>
            </w:r>
          </w:p>
          <w:p>
            <w:pPr>
              <w:spacing w:after="80"/>
            </w:pPr>
            <w:r>
              <w:rPr>
                <w:rFonts w:ascii="Arial" w:cs="Arial" w:eastAsia="Arial" w:hAnsi="Arial"/>
                <w:color w:val="1C2833"/>
                <w:sz w:val="20"/>
                <w:szCs w:val="20"/>
              </w:rPr>
              <w:t xml:space="preserve">Add a custom X-Requested-By header to all mutating Axios requests as a lightweight CSRF mitigation layer.</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api.ts — no CSRF token in request headers or interceptor</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5 — Application Architecture &amp;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[F-11] </w:t>
            </w:r>
            <w:r>
              <w:rPr>
                <w:rFonts w:ascii="Arial" w:cs="Arial" w:eastAsia="Arial" w:hAnsi="Arial"/>
                <w:b/>
                <w:bCs/>
                <w:color w:val="1C2833"/>
                <w:sz w:val="22"/>
                <w:szCs w:val="22"/>
              </w:rPr>
              <w:t xml:space="preserve">Mock/Fallback Data Silently Replaces Real API Data on Failure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Reliability / Operational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Three views silently fall back to hardcoded mock data when API calls fail: SecurityDashboardView.vue (shows fake security statistics), ProfileView.vue (shows two fake sessions), and SettingsView.vue (shows a fake production config including issuer URL and feature flags).</w:t>
            </w:r>
          </w:p>
          <w:p>
            <w:pPr>
              <w:spacing w:after="80"/>
            </w:pPr>
            <w:r>
              <w:rPr>
                <w:rFonts w:ascii="Arial" w:cs="Arial" w:eastAsia="Arial" w:hAnsi="Arial"/>
                <w:color w:val="1C2833"/>
                <w:sz w:val="20"/>
                <w:szCs w:val="20"/>
              </w:rPr>
              <w:t xml:space="preserve">This is dangerous in a security dashboard context: if the backend becomes unavailable or returns an error (network issue, auth failure, server-side bug), the admin UI will display fabricated security metrics — locked account counts, suspicious activity alerts, active session counts — without any indication that the data is not real. An admin may make security decisions based on false information.</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Remove all fallback mock data from production view components. On API failure, display a clear, prominent error state (e.g., "Unable to load security data. Please try again or contact support.").</w:t>
            </w:r>
          </w:p>
          <w:p>
            <w:pPr>
              <w:spacing w:after="80"/>
            </w:pPr>
            <w:r>
              <w:rPr>
                <w:rFonts w:ascii="Arial" w:cs="Arial" w:eastAsia="Arial" w:hAnsi="Arial"/>
                <w:color w:val="1C2833"/>
                <w:sz w:val="20"/>
                <w:szCs w:val="20"/>
              </w:rPr>
              <w:t xml:space="preserve">Use the existing EmptyState / LoadingState components consistently to communicate failure.</w:t>
            </w:r>
          </w:p>
          <w:p>
            <w:pPr>
              <w:spacing w:after="80"/>
            </w:pPr>
            <w:r>
              <w:rPr>
                <w:rFonts w:ascii="Arial" w:cs="Arial" w:eastAsia="Arial" w:hAnsi="Arial"/>
                <w:color w:val="1C2833"/>
                <w:sz w:val="20"/>
                <w:szCs w:val="20"/>
              </w:rPr>
              <w:t xml:space="preserve">Mock data may remain in Storybook stories or test fixtures but must never be shipped in production build paths.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SecurityDashboardView.vue:225-238  — hardcoded stats and security events on catch
ProfileView.vue:409-412  — hardcoded sessions on catch
SettingsView.vue:313-328  — hardcoded config on catch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[F-17] </w:t>
            </w:r>
            <w:r>
              <w:rPr>
                <w:rFonts w:ascii="Arial" w:cs="Arial" w:eastAsia="Arial" w:hAnsi="Arial"/>
                <w:b/>
                <w:bCs/>
                <w:color w:val="1C2833"/>
                <w:sz w:val="22"/>
                <w:szCs w:val="22"/>
              </w:rPr>
              <w:t xml:space="preserve">Architecture Details Committed in .env.example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Information Disclosure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.env.example file contains a detailed inline commentary documenting the full backend API surface: all endpoint paths for both port 8080 and 8081, the role hierarchy, and the distinction between admin and regular user flows.</w:t>
            </w:r>
          </w:p>
          <w:p>
            <w:pPr>
              <w:spacing w:after="80"/>
            </w:pPr>
            <w:r>
              <w:rPr>
                <w:rFonts w:ascii="Arial" w:cs="Arial" w:eastAsia="Arial" w:hAnsi="Arial"/>
                <w:color w:val="1C2833"/>
                <w:sz w:val="20"/>
                <w:szCs w:val="20"/>
              </w:rPr>
              <w:t xml:space="preserve">This file is typically committed to source control and is visible to anyone with repository access. If the repository is ever exposed (misconfigured visibility, supply chain compromise, insider threat), this file provides an attacker with a complete map of the API attack surface without needing to perform any discovery.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Remove the detailed API documentation from .env.example. Keep only the variable names and generic example values.</w:t>
            </w:r>
          </w:p>
          <w:p>
            <w:pPr>
              <w:spacing w:after="80"/>
            </w:pPr>
            <w:r>
              <w:rPr>
                <w:rFonts w:ascii="Arial" w:cs="Arial" w:eastAsia="Arial" w:hAnsi="Arial"/>
                <w:color w:val="1C2833"/>
                <w:sz w:val="20"/>
                <w:szCs w:val="20"/>
              </w:rPr>
              <w:t xml:space="preserve">Store architectural documentation in a separate, access-controlled system (Confluence, internal wiki) rather than in a file that ships with the codebase.</w:t>
            </w:r>
          </w:p>
          <w:p>
            <w:pPr>
              <w:spacing w:after="80"/>
            </w:pPr>
            <w:r>
              <w:rPr>
                <w:rFonts w:ascii="Arial" w:cs="Arial" w:eastAsia="Arial" w:hAnsi="Arial"/>
                <w:color w:val="1C2833"/>
                <w:sz w:val="20"/>
                <w:szCs w:val="20"/>
              </w:rPr>
              <w:t xml:space="preserve">Ensure .env files (actual environment files) are in .gitignore and never committed.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.env.example:14-50  — full API endpoint catalogue with ports and role hierarchy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[F-18] </w:t>
            </w:r>
            <w:r>
              <w:rPr>
                <w:rFonts w:ascii="Arial" w:cs="Arial" w:eastAsia="Arial" w:hAnsi="Arial"/>
                <w:b/>
                <w:bCs/>
                <w:color w:val="1C2833"/>
                <w:sz w:val="22"/>
                <w:szCs w:val="22"/>
              </w:rPr>
              <w:t xml:space="preserve">Security Checklist Items Are Hardcoded — Always Appear "OK"</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Operational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Security Dashboard displays a "Security Checklist" with four items (Rate limiting, PKCE enforcement, Audit logging, Password policy) all statically rendered as green checkmarks with no API call to verify their actual state.</w:t>
            </w:r>
          </w:p>
          <w:p>
            <w:pPr>
              <w:spacing w:after="80"/>
            </w:pPr>
            <w:r>
              <w:rPr>
                <w:rFonts w:ascii="Arial" w:cs="Arial" w:eastAsia="Arial" w:hAnsi="Arial"/>
                <w:color w:val="1C2833"/>
                <w:sz w:val="20"/>
                <w:szCs w:val="20"/>
              </w:rPr>
              <w:t xml:space="preserve">This creates a false sense of security: if any of these features is actually disabled at the backend level, the admin UI will still show them as active. This is especially concerning because this panel is presumably consulted during security incident response.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Remove the static checklist or replace it with dynamic data from the settings/health API endpoint.</w:t>
            </w:r>
          </w:p>
          <w:p>
            <w:pPr>
              <w:spacing w:after="80"/>
            </w:pPr>
            <w:r>
              <w:rPr>
                <w:rFonts w:ascii="Arial" w:cs="Arial" w:eastAsia="Arial" w:hAnsi="Arial"/>
                <w:color w:val="1C2833"/>
                <w:sz w:val="20"/>
                <w:szCs w:val="20"/>
              </w:rPr>
              <w:t xml:space="preserve">The SettingsView already fetches config.features from the backend — use those values to populate the security status indicators.</w:t>
            </w:r>
          </w:p>
          <w:p>
            <w:pPr>
              <w:spacing w:after="80"/>
            </w:pPr>
            <w:r>
              <w:rPr>
                <w:rFonts w:ascii="Arial" w:cs="Arial" w:eastAsia="Arial" w:hAnsi="Arial"/>
                <w:color w:val="1C2833"/>
                <w:sz w:val="20"/>
                <w:szCs w:val="20"/>
              </w:rPr>
              <w:t xml:space="preserve">If real-time status cannot be fetched, clearly label the checklist as "Configured" (at build time) rather than "Active" (runtime verified).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SecurityDashboardView.vue:142-158  — static pi-check-circle icons, no API binding</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6 — Build &amp; Configuration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[F-15] </w:t>
            </w:r>
            <w:r>
              <w:rPr>
                <w:rFonts w:ascii="Arial" w:cs="Arial" w:eastAsia="Arial" w:hAnsi="Arial"/>
                <w:b/>
                <w:bCs/>
                <w:color w:val="1C2833"/>
                <w:sz w:val="22"/>
                <w:szCs w:val="22"/>
              </w:rPr>
              <w:t xml:space="preserve">No Source Map Suppression in Production Build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Build Security / Reverse Engineering</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vite.config.ts file contains no build section and no sourcemap configuration. Vite's default behaviour in production mode is to generate hidden source maps (build.sourcemap defaults to false in production for Vite 4+), but this should be explicitly configured rather than relied upon as an implicit default.</w:t>
            </w:r>
          </w:p>
          <w:p>
            <w:pPr>
              <w:spacing w:after="80"/>
            </w:pPr>
            <w:r>
              <w:rPr>
                <w:rFonts w:ascii="Arial" w:cs="Arial" w:eastAsia="Arial" w:hAnsi="Arial"/>
                <w:color w:val="1C2833"/>
                <w:sz w:val="20"/>
                <w:szCs w:val="20"/>
              </w:rPr>
              <w:t xml:space="preserve">More critically, there is no enforcement that source maps are absent from production deployments. If a developer accidentally enables them or if a CI/CD pipeline override is applied, the full TypeScript source of the admin application — including API endpoint paths, business logic, and route structure — would be accessible to anyone who downloads the bundle.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Explicitly set build.sourcemap: false in vite.config.ts to prevent source map generation in production builds.</w:t>
            </w:r>
          </w:p>
          <w:p>
            <w:pPr>
              <w:spacing w:after="80"/>
            </w:pPr>
            <w:r>
              <w:rPr>
                <w:rFonts w:ascii="Arial" w:cs="Arial" w:eastAsia="Arial" w:hAnsi="Arial"/>
                <w:color w:val="1C2833"/>
                <w:sz w:val="20"/>
                <w:szCs w:val="20"/>
              </w:rPr>
              <w:t xml:space="preserve">Add a CI/CD step that verifies no .map files are present in the production bundle before deployment.</w:t>
            </w:r>
          </w:p>
          <w:p>
            <w:pPr>
              <w:spacing w:after="80"/>
            </w:pPr>
            <w:r>
              <w:rPr>
                <w:rFonts w:ascii="Arial" w:cs="Arial" w:eastAsia="Arial" w:hAnsi="Arial"/>
                <w:color w:val="1C2833"/>
                <w:sz w:val="20"/>
                <w:szCs w:val="20"/>
              </w:rPr>
              <w:t xml:space="preserve">If source maps are required for error tracking (e.g., Sentry), upload them directly to Sentry using a Vite plugin and exclude them from the public deployment bundle.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vite.config.ts — no build.sourcemap: false configuration present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F1C40F" w:sz="1"/>
              <w:left w:val="single" w:color="F1C40F" w:sz="8"/>
              <w:bottom w:val="single" w:color="BDC3C7" w:sz="1"/>
              <w:right w:val="single" w:color="BDC3C7" w:sz="1"/>
            </w:tcBorders>
            <w:shd w:fill="FEF9E7" w:val="clear"/>
            <w:tcMar>
              <w:top w:type="dxa" w:w="100"/>
              <w:left w:type="dxa" w:w="160"/>
              <w:bottom w:type="dxa" w:w="100"/>
              <w:right w:type="dxa" w:w="160"/>
            </w:tcMar>
          </w:tcPr>
          <w:p>
            <w:r>
              <w:rPr>
                <w:rFonts w:ascii="Arial" w:cs="Arial" w:eastAsia="Arial" w:hAnsi="Arial"/>
                <w:b/>
                <w:bCs/>
                <w:color w:val="F1C40F"/>
                <w:sz w:val="22"/>
                <w:szCs w:val="22"/>
              </w:rPr>
              <w:t xml:space="preserve">[F-12] </w:t>
            </w:r>
            <w:r>
              <w:rPr>
                <w:rFonts w:ascii="Arial" w:cs="Arial" w:eastAsia="Arial" w:hAnsi="Arial"/>
                <w:b/>
                <w:bCs/>
                <w:color w:val="1C2833"/>
                <w:sz w:val="22"/>
                <w:szCs w:val="22"/>
              </w:rPr>
              <w:t xml:space="preserve">No Subresource Integrity (SRI) on External Font Resources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Supply Chain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Google Fonts are loaded from https://fonts.googleapis.com and https://fonts.gstatic.com without Subresource Integrity hashes. If either CDN were compromised or the DNS hijacked, a malicious stylesheet or font file could be served to users.</w:t>
            </w:r>
          </w:p>
          <w:p>
            <w:pPr>
              <w:spacing w:after="80"/>
            </w:pPr>
            <w:r>
              <w:rPr>
                <w:rFonts w:ascii="Arial" w:cs="Arial" w:eastAsia="Arial" w:hAnsi="Arial"/>
                <w:color w:val="1C2833"/>
                <w:sz w:val="20"/>
                <w:szCs w:val="20"/>
              </w:rPr>
              <w:t xml:space="preserve">While the direct script injection risk from CSS/fonts is lower than from JavaScript, a compromised Google Fonts response could inject CSS-based content exfiltration vectors or UI manipulation.</w:t>
            </w:r>
          </w:p>
          <w:p>
            <w:pPr>
              <w:spacing w:after="80"/>
            </w:pPr>
            <w:r>
              <w:rPr>
                <w:rFonts w:ascii="Arial" w:cs="Arial" w:eastAsia="Arial" w:hAnsi="Arial"/>
                <w:color w:val="1C2833"/>
                <w:sz w:val="20"/>
                <w:szCs w:val="20"/>
              </w:rPr>
              <w:t xml:space="preserve">Additionally, the preconnect to Google servers leaks the admin's IP address to Google on every page load.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Self-host the fonts (download and serve from /public/fonts/) to eliminate the external dependency entirely. This is the preferred approach for a high-security admin interface.</w:t>
            </w:r>
          </w:p>
          <w:p>
            <w:pPr>
              <w:spacing w:after="80"/>
            </w:pPr>
            <w:r>
              <w:rPr>
                <w:rFonts w:ascii="Arial" w:cs="Arial" w:eastAsia="Arial" w:hAnsi="Arial"/>
                <w:color w:val="1C2833"/>
                <w:sz w:val="20"/>
                <w:szCs w:val="20"/>
              </w:rPr>
              <w:t xml:space="preserve">If the CDN must be used, add integrity attributes to the link tags once SRI is supported for Google Fonts, and include the fonts domain in your CSP.</w:t>
            </w:r>
          </w:p>
          <w:p>
            <w:pPr>
              <w:spacing w:after="80"/>
            </w:pPr>
            <w:r>
              <w:rPr>
                <w:rFonts w:ascii="Arial" w:cs="Arial" w:eastAsia="Arial" w:hAnsi="Arial"/>
                <w:color w:val="1C2833"/>
                <w:sz w:val="20"/>
                <w:szCs w:val="20"/>
              </w:rPr>
              <w:t xml:space="preserve">Consider whether a custom font is necessary at all for an admin-only interface: using system fonts eliminates this attack surface completely.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index.html:11-13  — preconnect and stylesheet link to fonts.googleapis.com without SRI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7AE60" w:sz="1"/>
              <w:left w:val="single" w:color="27AE60" w:sz="8"/>
              <w:bottom w:val="single" w:color="BDC3C7" w:sz="1"/>
              <w:right w:val="single" w:color="BDC3C7" w:sz="1"/>
            </w:tcBorders>
            <w:shd w:fill="EAFAF1" w:val="clear"/>
            <w:tcMar>
              <w:top w:type="dxa" w:w="100"/>
              <w:left w:type="dxa" w:w="160"/>
              <w:bottom w:type="dxa" w:w="100"/>
              <w:right w:type="dxa" w:w="160"/>
            </w:tcMar>
          </w:tcPr>
          <w:p>
            <w:r>
              <w:rPr>
                <w:rFonts w:ascii="Arial" w:cs="Arial" w:eastAsia="Arial" w:hAnsi="Arial"/>
                <w:b/>
                <w:bCs/>
                <w:color w:val="27AE60"/>
                <w:sz w:val="22"/>
                <w:szCs w:val="22"/>
              </w:rPr>
              <w:t xml:space="preserve">[F-22] </w:t>
            </w:r>
            <w:r>
              <w:rPr>
                <w:rFonts w:ascii="Arial" w:cs="Arial" w:eastAsia="Arial" w:hAnsi="Arial"/>
                <w:b/>
                <w:bCs/>
                <w:color w:val="1C2833"/>
                <w:sz w:val="22"/>
                <w:szCs w:val="22"/>
              </w:rPr>
              <w:t xml:space="preserve">No Dependency Vulnerability Scanning</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Supply Chain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No npm audit, Snyk, or similar dependency vulnerability scanning is evidenced in the project (no audit script in package.json, no lockfile audit configuration). The project uses 14 direct dependencies including axios 1.7.9, vue 3.5.13, and primevue 4.2.5.</w:t>
            </w:r>
          </w:p>
          <w:p>
            <w:pPr>
              <w:spacing w:after="80"/>
            </w:pPr>
            <w:r>
              <w:rPr>
                <w:rFonts w:ascii="Arial" w:cs="Arial" w:eastAsia="Arial" w:hAnsi="Arial"/>
                <w:color w:val="1C2833"/>
                <w:sz w:val="20"/>
                <w:szCs w:val="20"/>
              </w:rPr>
              <w:t xml:space="preserve">Supply chain attacks via compromised npm packages are a significant and growing threat vector.</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Add npm audit --audit-level=high to the CI/CD pipeline as a blocking step.</w:t>
            </w:r>
          </w:p>
          <w:p>
            <w:pPr>
              <w:spacing w:after="80"/>
            </w:pPr>
            <w:r>
              <w:rPr>
                <w:rFonts w:ascii="Arial" w:cs="Arial" w:eastAsia="Arial" w:hAnsi="Arial"/>
                <w:color w:val="1C2833"/>
                <w:sz w:val="20"/>
                <w:szCs w:val="20"/>
              </w:rPr>
              <w:t xml:space="preserve">Consider integrating Snyk or GitHub Dependabot for automated vulnerability alerts.</w:t>
            </w:r>
          </w:p>
          <w:p>
            <w:pPr>
              <w:spacing w:after="80"/>
            </w:pPr>
            <w:r>
              <w:rPr>
                <w:rFonts w:ascii="Arial" w:cs="Arial" w:eastAsia="Arial" w:hAnsi="Arial"/>
                <w:color w:val="1C2833"/>
                <w:sz w:val="20"/>
                <w:szCs w:val="20"/>
              </w:rPr>
              <w:t xml:space="preserve">Pin dependency versions in package.json (remove ^ and ~ prefixes for all production dependencies) to prevent accidental updates pulling in vulnerable versions.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package.json — all dependencies use ^ range specifiers, no audit script defined</w:t>
            </w:r>
          </w:p>
        </w:tc>
      </w:tr>
    </w:tbl>
    <w:p>
      <w:pPr>
        <w:spacing w:after="80"/>
      </w:pPr>
    </w:p>
    <w:p>
      <w:pPr>
        <w:spacing w:after="80"/>
      </w:pPr>
    </w:p>
    <w:p>
      <w:pPr>
        <w:pStyle w:val="Heading2"/>
        <w:spacing w:before="280" w:after="100"/>
      </w:pPr>
      <w:r>
        <w:rPr>
          <w:rFonts w:ascii="Arial" w:cs="Arial" w:eastAsia="Arial" w:hAnsi="Arial"/>
          <w:b/>
          <w:bCs/>
          <w:color w:val="2471A3"/>
          <w:sz w:val="26"/>
          <w:szCs w:val="26"/>
        </w:rPr>
        <w:t xml:space="preserve">Domain 7 — Operational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C0392B" w:sz="1"/>
              <w:left w:val="single" w:color="C0392B" w:sz="8"/>
              <w:bottom w:val="single" w:color="BDC3C7" w:sz="1"/>
              <w:right w:val="single" w:color="BDC3C7" w:sz="1"/>
            </w:tcBorders>
            <w:shd w:fill="FADBD8" w:val="clear"/>
            <w:tcMar>
              <w:top w:type="dxa" w:w="100"/>
              <w:left w:type="dxa" w:w="160"/>
              <w:bottom w:type="dxa" w:w="100"/>
              <w:right w:type="dxa" w:w="160"/>
            </w:tcMar>
          </w:tcPr>
          <w:p>
            <w:r>
              <w:rPr>
                <w:rFonts w:ascii="Arial" w:cs="Arial" w:eastAsia="Arial" w:hAnsi="Arial"/>
                <w:b/>
                <w:bCs/>
                <w:color w:val="C0392B"/>
                <w:sz w:val="22"/>
                <w:szCs w:val="22"/>
              </w:rPr>
              <w:t xml:space="preserve">[F-03] </w:t>
            </w:r>
            <w:r>
              <w:rPr>
                <w:rFonts w:ascii="Arial" w:cs="Arial" w:eastAsia="Arial" w:hAnsi="Arial"/>
                <w:b/>
                <w:bCs/>
                <w:color w:val="1C2833"/>
                <w:sz w:val="22"/>
                <w:szCs w:val="22"/>
              </w:rPr>
              <w:t xml:space="preserve">"Revoke All Sessions" Action Is Commented Out — Silently No-ops</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Operational Security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most critical security response action in the application — revoking all active sessions — is non-functional. In SecurityDashboardView.vue, the actual API call is commented out: // await securityService.revokeAllSessions(). The function shows a success toast but performs no action whatsoever.</w:t>
            </w:r>
          </w:p>
          <w:p>
            <w:pPr>
              <w:spacing w:after="80"/>
            </w:pPr>
            <w:r>
              <w:rPr>
                <w:rFonts w:ascii="Arial" w:cs="Arial" w:eastAsia="Arial" w:hAnsi="Arial"/>
                <w:color w:val="1C2833"/>
                <w:sz w:val="20"/>
                <w:szCs w:val="20"/>
              </w:rPr>
              <w:t xml:space="preserve">An admin responding to a security incident (credential compromise, insider threat, active breach) who clicks "Revoke All Sessions" will believe all sessions have been terminated when in reality nothing has happened. This is a silent, critical operational failure with no user feedback.</w:t>
            </w:r>
          </w:p>
          <w:p>
            <w:pPr>
              <w:spacing w:after="80"/>
            </w:pPr>
            <w:r>
              <w:rPr>
                <w:rFonts w:ascii="Arial" w:cs="Arial" w:eastAsia="Arial" w:hAnsi="Arial"/>
                <w:color w:val="1C2833"/>
                <w:sz w:val="20"/>
                <w:szCs w:val="20"/>
              </w:rPr>
              <w:t xml:space="preserve">This is arguably the most dangerous finding: it inverts the expected security guarantee — the admin believes they have mitigated an incident when they have not.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Immediately uncomment the API call and test the revoke-all-sessions endpoint.</w:t>
            </w:r>
          </w:p>
          <w:p>
            <w:pPr>
              <w:spacing w:after="80"/>
            </w:pPr>
            <w:r>
              <w:rPr>
                <w:rFonts w:ascii="Arial" w:cs="Arial" w:eastAsia="Arial" w:hAnsi="Arial"/>
                <w:color w:val="1C2833"/>
                <w:sz w:val="20"/>
                <w:szCs w:val="20"/>
              </w:rPr>
              <w:t xml:space="preserve">If the backend endpoint is not yet implemented, change the button to a disabled/coming-soon state with a clear label. Never show a success message for an action that has not completed.</w:t>
            </w:r>
          </w:p>
          <w:p>
            <w:pPr>
              <w:spacing w:after="80"/>
            </w:pPr>
            <w:r>
              <w:rPr>
                <w:rFonts w:ascii="Arial" w:cs="Arial" w:eastAsia="Arial" w:hAnsi="Arial"/>
                <w:color w:val="1C2833"/>
                <w:sz w:val="20"/>
                <w:szCs w:val="20"/>
              </w:rPr>
              <w:t xml:space="preserve">Add an integration test that verifies the API call is made when the button is clicked.</w:t>
            </w:r>
          </w:p>
          <w:p>
            <w:pPr>
              <w:spacing w:after="80"/>
            </w:pPr>
            <w:r>
              <w:rPr>
                <w:rFonts w:ascii="Arial" w:cs="Arial" w:eastAsia="Arial" w:hAnsi="Arial"/>
                <w:color w:val="1C2833"/>
                <w:sz w:val="20"/>
                <w:szCs w:val="20"/>
              </w:rPr>
              <w:t xml:space="preserve">Treat this as a P0 / showstopper before any production deployment.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SecurityDashboardView.vue:313  // await securityService.revokeAllSessions()
                             toast.success('All sessions revoked')  // MISLEADING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7AE60" w:sz="1"/>
              <w:left w:val="single" w:color="27AE60" w:sz="8"/>
              <w:bottom w:val="single" w:color="BDC3C7" w:sz="1"/>
              <w:right w:val="single" w:color="BDC3C7" w:sz="1"/>
            </w:tcBorders>
            <w:shd w:fill="EAFAF1" w:val="clear"/>
            <w:tcMar>
              <w:top w:type="dxa" w:w="100"/>
              <w:left w:type="dxa" w:w="160"/>
              <w:bottom w:type="dxa" w:w="100"/>
              <w:right w:type="dxa" w:w="160"/>
            </w:tcMar>
          </w:tcPr>
          <w:p>
            <w:r>
              <w:rPr>
                <w:rFonts w:ascii="Arial" w:cs="Arial" w:eastAsia="Arial" w:hAnsi="Arial"/>
                <w:b/>
                <w:bCs/>
                <w:color w:val="27AE60"/>
                <w:sz w:val="22"/>
                <w:szCs w:val="22"/>
              </w:rPr>
              <w:t xml:space="preserve">[F-19] </w:t>
            </w:r>
            <w:r>
              <w:rPr>
                <w:rFonts w:ascii="Arial" w:cs="Arial" w:eastAsia="Arial" w:hAnsi="Arial"/>
                <w:b/>
                <w:bCs/>
                <w:color w:val="1C2833"/>
                <w:sz w:val="22"/>
                <w:szCs w:val="22"/>
              </w:rPr>
              <w:t xml:space="preserve">"Remember Me" Checkbox Has No Effect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Authentication UX</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The login form includes a "Remember me for 30 days" checkbox (form.remember), but its value is never passed to the authStore.login() call or the authService.login() API call. The checkbox is purely cosmetic.</w:t>
            </w:r>
          </w:p>
          <w:p>
            <w:pPr>
              <w:spacing w:after="80"/>
            </w:pPr>
            <w:r>
              <w:rPr>
                <w:rFonts w:ascii="Arial" w:cs="Arial" w:eastAsia="Arial" w:hAnsi="Arial"/>
                <w:color w:val="1C2833"/>
                <w:sz w:val="20"/>
                <w:szCs w:val="20"/>
              </w:rPr>
              <w:t xml:space="preserve">This misleads admins into believing their session duration is configurable when it is not. More concerningly, if an admin believes "remember me" is not checked and therefore their session will expire sooner, they may leave the session unattended.</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Either implement the remember-me functionality (adjust token TTL or add a session-type flag to the API call) or remove the checkbox entirely.</w:t>
            </w:r>
          </w:p>
          <w:p>
            <w:pPr>
              <w:spacing w:after="80"/>
            </w:pPr>
            <w:r>
              <w:rPr>
                <w:rFonts w:ascii="Arial" w:cs="Arial" w:eastAsia="Arial" w:hAnsi="Arial"/>
                <w:color w:val="1C2833"/>
                <w:sz w:val="20"/>
                <w:szCs w:val="20"/>
              </w:rPr>
              <w:t xml:space="preserve">If implementing: use a shorter-lived refresh token by default and only use a longer-lived one when "remember me" is explicitly checked.</w:t>
            </w:r>
          </w:p>
          <w:p>
            <w:pPr>
              <w:spacing w:after="80"/>
            </w:pPr>
            <w:r>
              <w:rPr>
                <w:rFonts w:ascii="Arial" w:cs="Arial" w:eastAsia="Arial" w:hAnsi="Arial"/>
                <w:color w:val="1C2833"/>
                <w:sz w:val="20"/>
                <w:szCs w:val="20"/>
              </w:rPr>
              <w:t xml:space="preserve">Never display UI controls that have no effect — it erodes admin trust in the interface.</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LoginView.vue:68-77  — form.remember collected but never passed to authStore.login()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27AE60" w:sz="1"/>
              <w:left w:val="single" w:color="27AE60" w:sz="8"/>
              <w:bottom w:val="single" w:color="BDC3C7" w:sz="1"/>
              <w:right w:val="single" w:color="BDC3C7" w:sz="1"/>
            </w:tcBorders>
            <w:shd w:fill="EAFAF1" w:val="clear"/>
            <w:tcMar>
              <w:top w:type="dxa" w:w="100"/>
              <w:left w:type="dxa" w:w="160"/>
              <w:bottom w:type="dxa" w:w="100"/>
              <w:right w:type="dxa" w:w="160"/>
            </w:tcMar>
          </w:tcPr>
          <w:p>
            <w:r>
              <w:rPr>
                <w:rFonts w:ascii="Arial" w:cs="Arial" w:eastAsia="Arial" w:hAnsi="Arial"/>
                <w:b/>
                <w:bCs/>
                <w:color w:val="27AE60"/>
                <w:sz w:val="22"/>
                <w:szCs w:val="22"/>
              </w:rPr>
              <w:t xml:space="preserve">[F-21] </w:t>
            </w:r>
            <w:r>
              <w:rPr>
                <w:rFonts w:ascii="Arial" w:cs="Arial" w:eastAsia="Arial" w:hAnsi="Arial"/>
                <w:b/>
                <w:bCs/>
                <w:color w:val="1C2833"/>
                <w:sz w:val="22"/>
                <w:szCs w:val="22"/>
              </w:rPr>
              <w:t xml:space="preserve">Superadmin Password Minimum Length Policy Too Weak</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Severity</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Domain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Credential Policy</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Description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pPr>
              <w:spacing w:after="80"/>
            </w:pPr>
            <w:r>
              <w:rPr>
                <w:rFonts w:ascii="Arial" w:cs="Arial" w:eastAsia="Arial" w:hAnsi="Arial"/>
                <w:color w:val="1C2833"/>
                <w:sz w:val="20"/>
                <w:szCs w:val="20"/>
              </w:rPr>
              <w:t xml:space="preserve">Password validation in both ResetPasswordView.vue and ProfileView.vue enforces only a minimum length of 8 characters with no complexity requirements. For a superadmin account controlling identity infrastructure, 8-character passwords are insufficient.</w:t>
            </w:r>
          </w:p>
          <w:p>
            <w:pPr>
              <w:spacing w:after="80"/>
            </w:pPr>
            <w:r>
              <w:rPr>
                <w:rFonts w:ascii="Arial" w:cs="Arial" w:eastAsia="Arial" w:hAnsi="Arial"/>
                <w:color w:val="1C2833"/>
                <w:sz w:val="20"/>
                <w:szCs w:val="20"/>
              </w:rPr>
              <w:t xml:space="preserve">NIST SP 800-63B recommends a minimum of 8 characters for user accounts but recommends 15+ for privileged accounts. This validation is client-side only (trivially bypassed) but reflects an absence of policy enforcement.</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Remediation</w:t>
            </w:r>
          </w:p>
        </w:tc>
        <w:tc>
          <w:tcPr>
            <w:tcW w:type="dxa" w:w="7560"/>
            <w:tcBorders>
              <w:top w:val="single" w:color="BDC3C7" w:sz="1"/>
              <w:left w:val="single" w:color="BDC3C7" w:sz="1"/>
              <w:bottom w:val="single" w:color="BDC3C7" w:sz="1"/>
              <w:right w:val="single" w:color="BDC3C7" w:sz="1"/>
            </w:tcBorders>
            <w:shd w:fill="FDFEFE" w:val="clear"/>
            <w:tcMar>
              <w:top w:type="dxa" w:w="80"/>
              <w:left w:type="dxa" w:w="140"/>
              <w:bottom w:type="dxa" w:w="80"/>
              <w:right w:type="dxa" w:w="140"/>
            </w:tcMar>
          </w:tcPr>
          <w:p>
            <w:pPr>
              <w:spacing w:after="80"/>
            </w:pPr>
            <w:r>
              <w:rPr>
                <w:rFonts w:ascii="Arial" w:cs="Arial" w:eastAsia="Arial" w:hAnsi="Arial"/>
                <w:color w:val="1C2833"/>
                <w:sz w:val="20"/>
                <w:szCs w:val="20"/>
              </w:rPr>
              <w:t xml:space="preserve">Increase the minimum password length to 16 characters for superadmin accounts.</w:t>
            </w:r>
          </w:p>
          <w:p>
            <w:pPr>
              <w:spacing w:after="80"/>
            </w:pPr>
            <w:r>
              <w:rPr>
                <w:rFonts w:ascii="Arial" w:cs="Arial" w:eastAsia="Arial" w:hAnsi="Arial"/>
                <w:color w:val="1C2833"/>
                <w:sz w:val="20"/>
                <w:szCs w:val="20"/>
              </w:rPr>
              <w:t xml:space="preserve">Add client-side complexity guidance (mix of uppercase, lowercase, numbers, symbols) though the authoritative enforcement must be at the backend.</w:t>
            </w:r>
          </w:p>
          <w:p>
            <w:pPr>
              <w:spacing w:after="80"/>
            </w:pPr>
            <w:r>
              <w:rPr>
                <w:rFonts w:ascii="Arial" w:cs="Arial" w:eastAsia="Arial" w:hAnsi="Arial"/>
                <w:color w:val="1C2833"/>
                <w:sz w:val="20"/>
                <w:szCs w:val="20"/>
              </w:rPr>
              <w:t xml:space="preserve">Consider integrating a password strength meter (the PrimeVue Password component already supports this via the :feedback="true" prop).</w:t>
            </w:r>
          </w:p>
        </w:tc>
      </w:tr>
      <w:tr>
        <w:tc>
          <w:tcPr>
            <w:tcW w:type="dxa" w:w="1800"/>
            <w:tcBorders>
              <w:top w:val="single" w:color="BDC3C7" w:sz="1"/>
              <w:left w:val="single" w:color="BDC3C7" w:sz="1"/>
              <w:bottom w:val="single" w:color="BDC3C7" w:sz="1"/>
              <w:right w:val="single" w:color="BDC3C7" w:sz="1"/>
            </w:tcBorders>
            <w:shd w:fill="ECF0F1" w:val="clear"/>
            <w:tcMar>
              <w:top w:type="dxa" w:w="80"/>
              <w:left w:type="dxa" w:w="140"/>
              <w:bottom w:type="dxa" w:w="80"/>
              <w:right w:type="dxa" w:w="140"/>
            </w:tcMar>
          </w:tcPr>
          <w:p>
            <w:r>
              <w:rPr>
                <w:rFonts w:ascii="Arial" w:cs="Arial" w:eastAsia="Arial" w:hAnsi="Arial"/>
                <w:b/>
                <w:bCs/>
                <w:color w:val="566573"/>
                <w:sz w:val="20"/>
                <w:szCs w:val="20"/>
              </w:rPr>
              <w:t xml:space="preserve">Code Ref.</w:t>
            </w:r>
          </w:p>
        </w:tc>
        <w:tc>
          <w:tcPr>
            <w:tcW w:type="dxa" w:w="7560"/>
            <w:tcBorders>
              <w:top w:val="single" w:color="BDC3C7" w:sz="1"/>
              <w:left w:val="single" w:color="BDC3C7" w:sz="1"/>
              <w:bottom w:val="single" w:color="BDC3C7" w:sz="1"/>
              <w:right w:val="single" w:color="BDC3C7" w:sz="1"/>
            </w:tcBorders>
            <w:shd w:fill="F4F6F7" w:val="clear"/>
            <w:tcMar>
              <w:top w:type="dxa" w:w="80"/>
              <w:left w:type="dxa" w:w="140"/>
              <w:bottom w:type="dxa" w:w="80"/>
              <w:right w:type="dxa" w:w="140"/>
            </w:tcMar>
          </w:tcPr>
          <w:p>
            <w:r>
              <w:rPr>
                <w:rFonts w:ascii="Courier New" w:cs="Courier New" w:eastAsia="Courier New" w:hAnsi="Courier New"/>
                <w:color w:val="C0392B"/>
                <w:sz w:val="18"/>
                <w:szCs w:val="18"/>
              </w:rPr>
              <w:t xml:space="preserve">ResetPasswordView.vue:114  if (form.password.length &lt; 8)
ProfileView.vue:372  if (passwordForm.new_password.length &lt; 8)</w:t>
            </w:r>
          </w:p>
        </w:tc>
      </w:tr>
    </w:tbl>
    <w:p>
      <w:pPr>
        <w:spacing w:after="80"/>
      </w:pPr>
    </w:p>
    <w:p>
      <w:r>
        <w:br w:type="page"/>
      </w:r>
    </w:p>
    <w:p>
      <w:pPr>
        <w:pStyle w:val="Heading1"/>
        <w:spacing w:before="360" w:after="120"/>
      </w:pPr>
      <w:r>
        <w:rPr>
          <w:rFonts w:ascii="Arial" w:cs="Arial" w:eastAsia="Arial" w:hAnsi="Arial"/>
          <w:b/>
          <w:bCs/>
          <w:color w:val="1C2833"/>
          <w:sz w:val="32"/>
          <w:szCs w:val="32"/>
        </w:rPr>
        <w:t xml:space="preserve">4. Risk Priority Matrix</w:t>
      </w:r>
    </w:p>
    <w:p>
      <w:pPr>
        <w:spacing w:after="120"/>
      </w:pPr>
      <w:r>
        <w:rPr>
          <w:rFonts w:ascii="Arial" w:cs="Arial" w:eastAsia="Arial" w:hAnsi="Arial"/>
          <w:color w:val="1C2833"/>
          <w:sz w:val="22"/>
          <w:szCs w:val="22"/>
        </w:rPr>
        <w:t xml:space="preserve">The following matrix maps each finding by likelihood of exploitation and potential business impact. Items in the top-right quadrant represent the highest priority for immediate remediation.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2400"/>
      </w:tblGrid>
      <w:tr>
        <w:tc>
          <w:tcPr>
            <w:tcW w:type="dxa" w:w="156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Finding</w:t>
            </w:r>
          </w:p>
        </w:tc>
        <w:tc>
          <w:tcPr>
            <w:tcW w:type="dxa" w:w="18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18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Likelihood</w:t>
            </w:r>
          </w:p>
        </w:tc>
        <w:tc>
          <w:tcPr>
            <w:tcW w:type="dxa" w:w="18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Impact</w:t>
            </w:r>
          </w:p>
        </w:tc>
        <w:tc>
          <w:tcPr>
            <w:tcW w:type="dxa" w:w="2400"/>
            <w:tcBorders>
              <w:top w:val="single" w:color="BDC3C7" w:sz="1"/>
              <w:left w:val="single" w:color="BDC3C7" w:sz="1"/>
              <w:bottom w:val="single" w:color="BDC3C7" w:sz="1"/>
              <w:right w:val="single" w:color="BDC3C7" w:sz="1"/>
            </w:tcBorders>
            <w:shd w:fill="1C2833"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Priority</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F-01</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Critical</w:t>
            </w:r>
          </w:p>
        </w:tc>
        <w:tc>
          <w:tcPr>
            <w:tcW w:type="dxa" w:w="2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P0 — Fix before deployment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F-02</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Critical</w:t>
            </w:r>
          </w:p>
        </w:tc>
        <w:tc>
          <w:tcPr>
            <w:tcW w:type="dxa" w:w="2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P0 — Fix before deployment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F-03</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Certain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Critical</w:t>
            </w:r>
          </w:p>
        </w:tc>
        <w:tc>
          <w:tcPr>
            <w:tcW w:type="dxa" w:w="2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P0 — Fix before deployment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F-04</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24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19"/>
                <w:szCs w:val="19"/>
              </w:rPr>
              <w:t xml:space="preserve">P1 — Fix in next sprint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F-05</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Critical</w:t>
            </w:r>
          </w:p>
        </w:tc>
        <w:tc>
          <w:tcPr>
            <w:tcW w:type="dxa" w:w="24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r>
              <w:rPr>
                <w:rFonts w:ascii="Arial" w:cs="Arial" w:eastAsia="Arial" w:hAnsi="Arial"/>
                <w:b/>
                <w:bCs/>
                <w:color w:val="C0392B"/>
                <w:sz w:val="19"/>
                <w:szCs w:val="19"/>
              </w:rPr>
              <w:t xml:space="preserve">P0 — Fix before deployment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F-06</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24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19"/>
                <w:szCs w:val="19"/>
              </w:rPr>
              <w:t xml:space="preserve">P1 — Fix in next sprint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F-07</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Low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Critical</w:t>
            </w:r>
          </w:p>
        </w:tc>
        <w:tc>
          <w:tcPr>
            <w:tcW w:type="dxa" w:w="24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19"/>
                <w:szCs w:val="19"/>
              </w:rPr>
              <w:t xml:space="preserve">P1 — Fix before deployment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F-08</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24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19"/>
                <w:szCs w:val="19"/>
              </w:rPr>
              <w:t xml:space="preserve">P1 — Fix in next sprint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F-09</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24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r>
              <w:rPr>
                <w:rFonts w:ascii="Arial" w:cs="Arial" w:eastAsia="Arial" w:hAnsi="Arial"/>
                <w:b/>
                <w:bCs/>
                <w:color w:val="E67E22"/>
                <w:sz w:val="19"/>
                <w:szCs w:val="19"/>
              </w:rPr>
              <w:t xml:space="preserve">P1 — Fix in next sprint</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F-10</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F-11</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High</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F-12</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Low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F-13</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F-14</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r>
        <w:tc>
          <w:tcPr>
            <w:tcW w:type="dxa" w:w="1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F-15</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Low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19"/>
                <w:szCs w:val="19"/>
              </w:rPr>
              <w:t xml:space="preserve">Medium</w:t>
            </w:r>
          </w:p>
        </w:tc>
        <w:tc>
          <w:tcPr>
            <w:tcW w:type="dxa" w:w="2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b/>
                <w:bCs/>
                <w:color w:val="F1C40F"/>
                <w:sz w:val="19"/>
                <w:szCs w:val="19"/>
              </w:rPr>
              <w:t xml:space="preserve">P2 — Fix within 30 days</w:t>
            </w:r>
          </w:p>
        </w:tc>
      </w:tr>
    </w:tbl>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5. Remediation Roadmap</w:t>
      </w:r>
    </w:p>
    <w:p>
      <w:pPr>
        <w:pStyle w:val="Heading2"/>
        <w:spacing w:before="280" w:after="100"/>
      </w:pPr>
      <w:r>
        <w:rPr>
          <w:rFonts w:ascii="Arial" w:cs="Arial" w:eastAsia="Arial" w:hAnsi="Arial"/>
          <w:b/>
          <w:bCs/>
          <w:color w:val="2471A3"/>
          <w:sz w:val="26"/>
          <w:szCs w:val="26"/>
        </w:rPr>
        <w:t xml:space="preserve">Phase 0 — Showstoppers (Before Any Production Deployment)</w:t>
      </w:r>
    </w:p>
    <w:p>
      <w:pPr>
        <w:spacing w:after="120"/>
      </w:pPr>
      <w:r>
        <w:rPr>
          <w:rFonts w:ascii="Arial" w:cs="Arial" w:eastAsia="Arial" w:hAnsi="Arial"/>
          <w:color w:val="1C2833"/>
          <w:sz w:val="22"/>
          <w:szCs w:val="22"/>
        </w:rPr>
        <w:t xml:space="preserve">These three issues individually represent unacceptable risk. The application must not go to production until all three are resolved.</w:t>
      </w:r>
    </w:p>
    <w:p>
      <w:pPr>
        <w:spacing w:after="80"/>
      </w:pPr>
    </w:p>
    <w:p>
      <w:pPr>
        <w:pStyle w:val="ListParagraph"/>
        <w:numPr>
          <w:ilvl w:val="0"/>
          <w:numId w:val="2"/>
        </w:numPr>
        <w:spacing w:after="60"/>
      </w:pPr>
      <w:r>
        <w:rPr>
          <w:rFonts w:ascii="Arial" w:cs="Arial" w:eastAsia="Arial" w:hAnsi="Arial"/>
          <w:color w:val="1C2833"/>
          <w:sz w:val="22"/>
          <w:szCs w:val="22"/>
        </w:rPr>
        <w:t xml:space="preserve">F-01: Move tokens out of localStorage. Use in-memory access token + HttpOnly cookie refresh token pattern.</w:t>
      </w:r>
    </w:p>
    <w:p>
      <w:pPr>
        <w:pStyle w:val="ListParagraph"/>
        <w:numPr>
          <w:ilvl w:val="0"/>
          <w:numId w:val="2"/>
        </w:numPr>
        <w:spacing w:after="60"/>
      </w:pPr>
      <w:r>
        <w:rPr>
          <w:rFonts w:ascii="Arial" w:cs="Arial" w:eastAsia="Arial" w:hAnsi="Arial"/>
          <w:color w:val="1C2833"/>
          <w:sz w:val="22"/>
          <w:szCs w:val="22"/>
        </w:rPr>
        <w:t xml:space="preserve">F-02: Deploy a strict Content Security Policy via HTTP response headers. Start with report-only mode, then enforce.</w:t>
      </w:r>
    </w:p>
    <w:p>
      <w:pPr>
        <w:pStyle w:val="ListParagraph"/>
        <w:numPr>
          <w:ilvl w:val="0"/>
          <w:numId w:val="2"/>
        </w:numPr>
        <w:spacing w:after="60"/>
      </w:pPr>
      <w:r>
        <w:rPr>
          <w:rFonts w:ascii="Arial" w:cs="Arial" w:eastAsia="Arial" w:hAnsi="Arial"/>
          <w:color w:val="1C2833"/>
          <w:sz w:val="22"/>
          <w:szCs w:val="22"/>
        </w:rPr>
        <w:t xml:space="preserve">F-03: Uncomment and test the revokeAllSessions() API call. Remove the deceptive success toast for a no-op action.</w:t>
      </w:r>
    </w:p>
    <w:p>
      <w:pPr>
        <w:pStyle w:val="ListParagraph"/>
        <w:numPr>
          <w:ilvl w:val="0"/>
          <w:numId w:val="2"/>
        </w:numPr>
        <w:spacing w:after="60"/>
      </w:pPr>
      <w:r>
        <w:rPr>
          <w:rFonts w:ascii="Arial" w:cs="Arial" w:eastAsia="Arial" w:hAnsi="Arial"/>
          <w:color w:val="1C2833"/>
          <w:sz w:val="22"/>
          <w:szCs w:val="22"/>
        </w:rPr>
        <w:t xml:space="preserve">F-05: Implement or enforce MFA for all superadmin logins. This is a baseline control for identity infrastructure.</w:t>
      </w:r>
    </w:p>
    <w:p>
      <w:pPr>
        <w:pStyle w:val="ListParagraph"/>
        <w:numPr>
          <w:ilvl w:val="0"/>
          <w:numId w:val="2"/>
        </w:numPr>
        <w:spacing w:after="60"/>
      </w:pPr>
      <w:r>
        <w:rPr>
          <w:rFonts w:ascii="Arial" w:cs="Arial" w:eastAsia="Arial" w:hAnsi="Arial"/>
          <w:color w:val="1C2833"/>
          <w:sz w:val="22"/>
          <w:szCs w:val="22"/>
        </w:rPr>
        <w:t xml:space="preserve">F-07: Remove the HTTP fallback URL. Fail loudly if VITE_ADMIN_API_URL is not set.</w:t>
      </w:r>
    </w:p>
    <w:p>
      <w:pPr>
        <w:spacing w:after="80"/>
      </w:pPr>
    </w:p>
    <w:p>
      <w:pPr>
        <w:pStyle w:val="Heading2"/>
        <w:spacing w:before="280" w:after="100"/>
      </w:pPr>
      <w:r>
        <w:rPr>
          <w:rFonts w:ascii="Arial" w:cs="Arial" w:eastAsia="Arial" w:hAnsi="Arial"/>
          <w:b/>
          <w:bCs/>
          <w:color w:val="2471A3"/>
          <w:sz w:val="26"/>
          <w:szCs w:val="26"/>
        </w:rPr>
        <w:t xml:space="preserve">Phase 1 — Critical Hardening (Within 1-2 Sprints)</w:t>
      </w:r>
    </w:p>
    <w:p>
      <w:pPr>
        <w:pStyle w:val="ListParagraph"/>
        <w:numPr>
          <w:ilvl w:val="0"/>
          <w:numId w:val="2"/>
        </w:numPr>
        <w:spacing w:after="60"/>
      </w:pPr>
      <w:r>
        <w:rPr>
          <w:rFonts w:ascii="Arial" w:cs="Arial" w:eastAsia="Arial" w:hAnsi="Arial"/>
          <w:color w:val="1C2833"/>
          <w:sz w:val="22"/>
          <w:szCs w:val="22"/>
        </w:rPr>
        <w:t xml:space="preserve">F-04: Add open redirect validation to the post-login redirect flow.</w:t>
      </w:r>
    </w:p>
    <w:p>
      <w:pPr>
        <w:pStyle w:val="ListParagraph"/>
        <w:numPr>
          <w:ilvl w:val="0"/>
          <w:numId w:val="2"/>
        </w:numPr>
        <w:spacing w:after="60"/>
      </w:pPr>
      <w:r>
        <w:rPr>
          <w:rFonts w:ascii="Arial" w:cs="Arial" w:eastAsia="Arial" w:hAnsi="Arial"/>
          <w:color w:val="1C2833"/>
          <w:sz w:val="22"/>
          <w:szCs w:val="22"/>
        </w:rPr>
        <w:t xml:space="preserve">F-06: Implement a session inactivity timeout (15 minutes recommended) with a warning dialog.</w:t>
      </w:r>
    </w:p>
    <w:p>
      <w:pPr>
        <w:pStyle w:val="ListParagraph"/>
        <w:numPr>
          <w:ilvl w:val="0"/>
          <w:numId w:val="2"/>
        </w:numPr>
        <w:spacing w:after="60"/>
      </w:pPr>
      <w:r>
        <w:rPr>
          <w:rFonts w:ascii="Arial" w:cs="Arial" w:eastAsia="Arial" w:hAnsi="Arial"/>
          <w:color w:val="1C2833"/>
          <w:sz w:val="22"/>
          <w:szCs w:val="22"/>
        </w:rPr>
        <w:t xml:space="preserve">F-08: Move the password reset token to a POST body or URL fragment.</w:t>
      </w:r>
    </w:p>
    <w:p>
      <w:pPr>
        <w:pStyle w:val="ListParagraph"/>
        <w:numPr>
          <w:ilvl w:val="0"/>
          <w:numId w:val="2"/>
        </w:numPr>
        <w:spacing w:after="60"/>
      </w:pPr>
      <w:r>
        <w:rPr>
          <w:rFonts w:ascii="Arial" w:cs="Arial" w:eastAsia="Arial" w:hAnsi="Arial"/>
          <w:color w:val="1C2833"/>
          <w:sz w:val="22"/>
          <w:szCs w:val="22"/>
        </w:rPr>
        <w:t xml:space="preserve">F-09: Add X-Frame-Options: DENY and frame-ancestors 'none' to server responses.</w:t>
      </w:r>
    </w:p>
    <w:p>
      <w:pPr>
        <w:pStyle w:val="ListParagraph"/>
        <w:numPr>
          <w:ilvl w:val="0"/>
          <w:numId w:val="2"/>
        </w:numPr>
        <w:spacing w:after="60"/>
      </w:pPr>
      <w:r>
        <w:rPr>
          <w:rFonts w:ascii="Arial" w:cs="Arial" w:eastAsia="Arial" w:hAnsi="Arial"/>
          <w:color w:val="1C2833"/>
          <w:sz w:val="22"/>
          <w:szCs w:val="22"/>
        </w:rPr>
        <w:t xml:space="preserve">F-10: Replace all production console.error/warn calls with the existing devlog utility.</w:t>
      </w:r>
    </w:p>
    <w:p>
      <w:pPr>
        <w:spacing w:after="80"/>
      </w:pPr>
    </w:p>
    <w:p>
      <w:pPr>
        <w:pStyle w:val="Heading2"/>
        <w:spacing w:before="280" w:after="100"/>
      </w:pPr>
      <w:r>
        <w:rPr>
          <w:rFonts w:ascii="Arial" w:cs="Arial" w:eastAsia="Arial" w:hAnsi="Arial"/>
          <w:b/>
          <w:bCs/>
          <w:color w:val="2471A3"/>
          <w:sz w:val="26"/>
          <w:szCs w:val="26"/>
        </w:rPr>
        <w:t xml:space="preserve">Phase 2 — Security Improvements (Within 30 Days)</w:t>
      </w:r>
    </w:p>
    <w:p>
      <w:pPr>
        <w:pStyle w:val="ListParagraph"/>
        <w:numPr>
          <w:ilvl w:val="0"/>
          <w:numId w:val="2"/>
        </w:numPr>
        <w:spacing w:after="60"/>
      </w:pPr>
      <w:r>
        <w:rPr>
          <w:rFonts w:ascii="Arial" w:cs="Arial" w:eastAsia="Arial" w:hAnsi="Arial"/>
          <w:color w:val="1C2833"/>
          <w:sz w:val="22"/>
          <w:szCs w:val="22"/>
        </w:rPr>
        <w:t xml:space="preserve">F-11: Remove mock fallback data from production views. Show proper error states.</w:t>
      </w:r>
    </w:p>
    <w:p>
      <w:pPr>
        <w:pStyle w:val="ListParagraph"/>
        <w:numPr>
          <w:ilvl w:val="0"/>
          <w:numId w:val="2"/>
        </w:numPr>
        <w:spacing w:after="60"/>
      </w:pPr>
      <w:r>
        <w:rPr>
          <w:rFonts w:ascii="Arial" w:cs="Arial" w:eastAsia="Arial" w:hAnsi="Arial"/>
          <w:color w:val="1C2833"/>
          <w:sz w:val="22"/>
          <w:szCs w:val="22"/>
        </w:rPr>
        <w:t xml:space="preserve">F-12: Self-host Google Fonts to eliminate external CDN dependency.</w:t>
      </w:r>
    </w:p>
    <w:p>
      <w:pPr>
        <w:pStyle w:val="ListParagraph"/>
        <w:numPr>
          <w:ilvl w:val="0"/>
          <w:numId w:val="2"/>
        </w:numPr>
        <w:spacing w:after="60"/>
      </w:pPr>
      <w:r>
        <w:rPr>
          <w:rFonts w:ascii="Arial" w:cs="Arial" w:eastAsia="Arial" w:hAnsi="Arial"/>
          <w:color w:val="1C2833"/>
          <w:sz w:val="22"/>
          <w:szCs w:val="22"/>
        </w:rPr>
        <w:t xml:space="preserve">F-14: Normalise role strings to a single canonical format. Add unit tests for role checks.</w:t>
      </w:r>
    </w:p>
    <w:p>
      <w:pPr>
        <w:pStyle w:val="ListParagraph"/>
        <w:numPr>
          <w:ilvl w:val="0"/>
          <w:numId w:val="2"/>
        </w:numPr>
        <w:spacing w:after="60"/>
      </w:pPr>
      <w:r>
        <w:rPr>
          <w:rFonts w:ascii="Arial" w:cs="Arial" w:eastAsia="Arial" w:hAnsi="Arial"/>
          <w:color w:val="1C2833"/>
          <w:sz w:val="22"/>
          <w:szCs w:val="22"/>
        </w:rPr>
        <w:t xml:space="preserve">F-15: Explicitly configure build.sourcemap: false in vite.config.ts.</w:t>
      </w:r>
    </w:p>
    <w:p>
      <w:pPr>
        <w:pStyle w:val="ListParagraph"/>
        <w:numPr>
          <w:ilvl w:val="0"/>
          <w:numId w:val="2"/>
        </w:numPr>
        <w:spacing w:after="60"/>
      </w:pPr>
      <w:r>
        <w:rPr>
          <w:rFonts w:ascii="Arial" w:cs="Arial" w:eastAsia="Arial" w:hAnsi="Arial"/>
          <w:color w:val="1C2833"/>
          <w:sz w:val="22"/>
          <w:szCs w:val="22"/>
        </w:rPr>
        <w:t xml:space="preserve">F-16: Confirm CSRF posture with backend team. Add X-Requested-By header to mutations.</w:t>
      </w:r>
    </w:p>
    <w:p>
      <w:pPr>
        <w:pStyle w:val="ListParagraph"/>
        <w:numPr>
          <w:ilvl w:val="0"/>
          <w:numId w:val="2"/>
        </w:numPr>
        <w:spacing w:after="60"/>
      </w:pPr>
      <w:r>
        <w:rPr>
          <w:rFonts w:ascii="Arial" w:cs="Arial" w:eastAsia="Arial" w:hAnsi="Arial"/>
          <w:color w:val="1C2833"/>
          <w:sz w:val="22"/>
          <w:szCs w:val="22"/>
        </w:rPr>
        <w:t xml:space="preserve">F-17: Remove API architecture documentation from .env.example.</w:t>
      </w:r>
    </w:p>
    <w:p>
      <w:pPr>
        <w:pStyle w:val="ListParagraph"/>
        <w:numPr>
          <w:ilvl w:val="0"/>
          <w:numId w:val="2"/>
        </w:numPr>
        <w:spacing w:after="60"/>
      </w:pPr>
      <w:r>
        <w:rPr>
          <w:rFonts w:ascii="Arial" w:cs="Arial" w:eastAsia="Arial" w:hAnsi="Arial"/>
          <w:color w:val="1C2833"/>
          <w:sz w:val="22"/>
          <w:szCs w:val="22"/>
        </w:rPr>
        <w:t xml:space="preserve">F-18: Replace the hardcoded security checklist with live data from the settings API.</w:t>
      </w:r>
    </w:p>
    <w:p>
      <w:pPr>
        <w:spacing w:after="80"/>
      </w:pPr>
    </w:p>
    <w:p>
      <w:pPr>
        <w:pStyle w:val="Heading2"/>
        <w:spacing w:before="280" w:after="100"/>
      </w:pPr>
      <w:r>
        <w:rPr>
          <w:rFonts w:ascii="Arial" w:cs="Arial" w:eastAsia="Arial" w:hAnsi="Arial"/>
          <w:b/>
          <w:bCs/>
          <w:color w:val="2471A3"/>
          <w:sz w:val="26"/>
          <w:szCs w:val="26"/>
        </w:rPr>
        <w:t xml:space="preserve">Phase 3 — Polish &amp; Long-term (Within 90 Days)</w:t>
      </w:r>
    </w:p>
    <w:p>
      <w:pPr>
        <w:pStyle w:val="ListParagraph"/>
        <w:numPr>
          <w:ilvl w:val="0"/>
          <w:numId w:val="2"/>
        </w:numPr>
        <w:spacing w:after="60"/>
      </w:pPr>
      <w:r>
        <w:rPr>
          <w:rFonts w:ascii="Arial" w:cs="Arial" w:eastAsia="Arial" w:hAnsi="Arial"/>
          <w:color w:val="1C2833"/>
          <w:sz w:val="22"/>
          <w:szCs w:val="22"/>
        </w:rPr>
        <w:t xml:space="preserve">F-19: Either implement "Remember Me" or remove the checkbox.</w:t>
      </w:r>
    </w:p>
    <w:p>
      <w:pPr>
        <w:pStyle w:val="ListParagraph"/>
        <w:numPr>
          <w:ilvl w:val="0"/>
          <w:numId w:val="2"/>
        </w:numPr>
        <w:spacing w:after="60"/>
      </w:pPr>
      <w:r>
        <w:rPr>
          <w:rFonts w:ascii="Arial" w:cs="Arial" w:eastAsia="Arial" w:hAnsi="Arial"/>
          <w:color w:val="1C2833"/>
          <w:sz w:val="22"/>
          <w:szCs w:val="22"/>
        </w:rPr>
        <w:t xml:space="preserve">F-20: Remove the deprecated execCommand clipboard fallback.</w:t>
      </w:r>
    </w:p>
    <w:p>
      <w:pPr>
        <w:pStyle w:val="ListParagraph"/>
        <w:numPr>
          <w:ilvl w:val="0"/>
          <w:numId w:val="2"/>
        </w:numPr>
        <w:spacing w:after="60"/>
      </w:pPr>
      <w:r>
        <w:rPr>
          <w:rFonts w:ascii="Arial" w:cs="Arial" w:eastAsia="Arial" w:hAnsi="Arial"/>
          <w:color w:val="1C2833"/>
          <w:sz w:val="22"/>
          <w:szCs w:val="22"/>
        </w:rPr>
        <w:t xml:space="preserve">F-21: Increase superadmin password minimum length to 16 characters.</w:t>
      </w:r>
    </w:p>
    <w:p>
      <w:pPr>
        <w:pStyle w:val="ListParagraph"/>
        <w:numPr>
          <w:ilvl w:val="0"/>
          <w:numId w:val="2"/>
        </w:numPr>
        <w:spacing w:after="60"/>
      </w:pPr>
      <w:r>
        <w:rPr>
          <w:rFonts w:ascii="Arial" w:cs="Arial" w:eastAsia="Arial" w:hAnsi="Arial"/>
          <w:color w:val="1C2833"/>
          <w:sz w:val="22"/>
          <w:szCs w:val="22"/>
        </w:rPr>
        <w:t xml:space="preserve">F-22: Add npm audit to the CI/CD pipeline. Pin production dependencies.</w:t>
      </w:r>
    </w:p>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6. Production Readiness Score &amp; Final Decision</w:t>
      </w:r>
    </w:p>
    <w:p>
      <w:pPr>
        <w:pStyle w:val="Heading2"/>
        <w:spacing w:before="280" w:after="100"/>
      </w:pPr>
      <w:r>
        <w:rPr>
          <w:rFonts w:ascii="Arial" w:cs="Arial" w:eastAsia="Arial" w:hAnsi="Arial"/>
          <w:b/>
          <w:bCs/>
          <w:color w:val="2471A3"/>
          <w:sz w:val="26"/>
          <w:szCs w:val="26"/>
        </w:rPr>
        <w:t xml:space="preserve">Production Readiness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52"/>
        <w:gridCol w:w="5148"/>
      </w:tblGrid>
      <w:tr>
        <w:tc>
          <w:tcPr>
            <w:tcW w:type="dxa" w:w="1560"/>
            <w:tcBorders>
              <w:top w:val="none"/>
              <w:left w:val="none"/>
              <w:bottom w:val="none"/>
              <w:right w:val="none"/>
            </w:tcBorders>
            <w:tcMar>
              <w:top w:type="dxa" w:w="80"/>
              <w:left w:type="dxa" w:w="0"/>
              <w:bottom w:type="dxa" w:w="80"/>
              <w:right w:type="dxa" w:w="160"/>
            </w:tcMar>
          </w:tcPr>
          <w:p>
            <w:pPr>
              <w:jc w:val="right"/>
            </w:pPr>
            <w:r>
              <w:rPr>
                <w:rFonts w:ascii="Arial" w:cs="Arial" w:eastAsia="Arial" w:hAnsi="Arial"/>
                <w:b/>
                <w:bCs/>
                <w:color w:val="C0392B"/>
                <w:sz w:val="28"/>
                <w:szCs w:val="28"/>
              </w:rPr>
              <w:t xml:space="preserve">34/100</w:t>
            </w:r>
          </w:p>
        </w:tc>
        <w:tc>
          <w:tcPr>
            <w:tcW w:type="dxa" w:w="2652"/>
            <w:tcBorders>
              <w:top w:val="single" w:color="C0392B" w:sz="1"/>
              <w:left w:val="single" w:color="C0392B" w:sz="1"/>
              <w:bottom w:val="single" w:color="C0392B" w:sz="1"/>
              <w:right w:val="single" w:color="C0392B" w:sz="1"/>
            </w:tcBorders>
            <w:shd w:fill="C0392B" w:val="clear"/>
          </w:tcPr>
          <w:p/>
        </w:tc>
        <w:tc>
          <w:tcPr>
            <w:tcW w:type="dxa" w:w="5148"/>
            <w:tcBorders>
              <w:top w:val="single" w:color="BDC3C7" w:sz="1"/>
              <w:left w:val="single" w:color="BDC3C7" w:sz="1"/>
              <w:bottom w:val="single" w:color="BDC3C7" w:sz="1"/>
              <w:right w:val="single" w:color="BDC3C7" w:sz="1"/>
            </w:tcBorders>
            <w:shd w:fill="EAECEE" w:val="clear"/>
          </w:tcPr>
          <w:p/>
        </w:tc>
      </w:tr>
    </w:tbl>
    <w:p>
      <w:pPr>
        <w:spacing w:after="80"/>
      </w:pPr>
    </w:p>
    <w:p>
      <w:pPr>
        <w:spacing w:after="120"/>
      </w:pPr>
      <w:r>
        <w:rPr>
          <w:rFonts w:ascii="Arial" w:cs="Arial" w:eastAsia="Arial" w:hAnsi="Arial"/>
          <w:color w:val="1C2833"/>
          <w:sz w:val="22"/>
          <w:szCs w:val="22"/>
        </w:rPr>
        <w:t xml:space="preserve">Score breakdown: The application receives credit for solid Vue engineering discipline, absence of v-html, TypeScript adoption, consistent use of confirmation dialogs, and correct devlog gating. Points are deducted heavily for the three critical findings, absence of CSP, localStorage token storage, missing MFA, no session timeout, and the non-functional security action. The overall score reflects that while the codebase is well-structured, its security posture is fundamentally inadequate for a production identity administration system.</w:t>
      </w:r>
    </w:p>
    <w:p>
      <w:pPr>
        <w:spacing w:after="80"/>
      </w:pPr>
    </w:p>
    <w:p>
      <w:pPr>
        <w:pStyle w:val="Heading2"/>
        <w:spacing w:before="280" w:after="100"/>
      </w:pPr>
      <w:r>
        <w:rPr>
          <w:rFonts w:ascii="Arial" w:cs="Arial" w:eastAsia="Arial" w:hAnsi="Arial"/>
          <w:b/>
          <w:bCs/>
          <w:color w:val="2471A3"/>
          <w:sz w:val="26"/>
          <w:szCs w:val="26"/>
        </w:rPr>
        <w:t xml:space="preserve">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1"/>
              <w:bottom w:val="single" w:color="C0392B" w:sz="1"/>
              <w:right w:val="single" w:color="C0392B" w:sz="1"/>
            </w:tcBorders>
            <w:shd w:fill="FADBD8" w:val="clear"/>
            <w:tcMar>
              <w:top w:type="dxa" w:w="200"/>
              <w:left w:type="dxa" w:w="240"/>
              <w:bottom w:type="dxa" w:w="200"/>
              <w:right w:type="dxa" w:w="240"/>
            </w:tcMar>
          </w:tcPr>
          <w:p>
            <w:pPr>
              <w:spacing w:after="100"/>
              <w:jc w:val="center"/>
            </w:pPr>
            <w:r>
              <w:rPr>
                <w:rFonts w:ascii="Arial" w:cs="Arial" w:eastAsia="Arial" w:hAnsi="Arial"/>
                <w:b/>
                <w:bCs/>
                <w:color w:val="C0392B"/>
                <w:sz w:val="52"/>
                <w:szCs w:val="52"/>
              </w:rPr>
              <w:t xml:space="preserve">NO-GO</w:t>
            </w:r>
          </w:p>
          <w:p>
            <w:pPr>
              <w:jc w:val="center"/>
            </w:pPr>
            <w:r>
              <w:rPr>
                <w:rFonts w:ascii="Arial" w:cs="Arial" w:eastAsia="Arial" w:hAnsi="Arial"/>
                <w:b/>
                <w:bCs/>
                <w:color w:val="C0392B"/>
                <w:sz w:val="24"/>
                <w:szCs w:val="24"/>
              </w:rPr>
              <w:t xml:space="preserve">Application is NOT ready for production deployment</w:t>
            </w:r>
          </w:p>
        </w:tc>
      </w:tr>
    </w:tbl>
    <w:p>
      <w:pPr>
        <w:spacing w:after="80"/>
      </w:pPr>
    </w:p>
    <w:p>
      <w:pPr>
        <w:pStyle w:val="Heading2"/>
        <w:spacing w:before="280" w:after="100"/>
      </w:pPr>
      <w:r>
        <w:rPr>
          <w:rFonts w:ascii="Arial" w:cs="Arial" w:eastAsia="Arial" w:hAnsi="Arial"/>
          <w:b/>
          <w:bCs/>
          <w:color w:val="2471A3"/>
          <w:sz w:val="26"/>
          <w:szCs w:val="26"/>
        </w:rPr>
        <w:t xml:space="preserve">Justification</w:t>
      </w:r>
    </w:p>
    <w:p>
      <w:pPr>
        <w:spacing w:after="120"/>
      </w:pPr>
      <w:r>
        <w:rPr>
          <w:rFonts w:ascii="Arial" w:cs="Arial" w:eastAsia="Arial" w:hAnsi="Arial"/>
          <w:color w:val="1C2833"/>
          <w:sz w:val="22"/>
          <w:szCs w:val="22"/>
        </w:rPr>
        <w:t xml:space="preserve">The NO-GO decision is issued based on the combination of three independent Critical-severity findings, any one of which would individually justify a NO-GO verdict:</w:t>
      </w:r>
    </w:p>
    <w:p>
      <w:pPr>
        <w:spacing w:after="80"/>
      </w:pPr>
    </w:p>
    <w:p>
      <w:pPr>
        <w:pStyle w:val="ListParagraph"/>
        <w:numPr>
          <w:ilvl w:val="0"/>
          <w:numId w:val="2"/>
        </w:numPr>
        <w:spacing w:after="60"/>
      </w:pPr>
      <w:r>
        <w:rPr>
          <w:rFonts w:ascii="Arial" w:cs="Arial" w:eastAsia="Arial" w:hAnsi="Arial"/>
          <w:color w:val="1C2833"/>
          <w:sz w:val="22"/>
          <w:szCs w:val="22"/>
        </w:rPr>
        <w:t xml:space="preserve">F-01 (localStorage token storage): A single XSS vector, browser extension, or supply chain compromise can exfiltrate both the access and refresh tokens, giving an attacker persistent, full administrative access to the OAuth2 server. This is an architectural decision that cannot be patched without refactoring the authentication flow.</w:t>
      </w:r>
    </w:p>
    <w:p>
      <w:pPr>
        <w:pStyle w:val="ListParagraph"/>
        <w:numPr>
          <w:ilvl w:val="0"/>
          <w:numId w:val="2"/>
        </w:numPr>
        <w:spacing w:after="60"/>
      </w:pPr>
      <w:r>
        <w:rPr>
          <w:rFonts w:ascii="Arial" w:cs="Arial" w:eastAsia="Arial" w:hAnsi="Arial"/>
          <w:color w:val="1C2833"/>
          <w:sz w:val="22"/>
          <w:szCs w:val="22"/>
        </w:rPr>
        <w:t xml:space="preserve">F-02 (No CSP): Without a Content Security Policy, there is no browser-enforced defence against script injection. Given that Google Fonts are loaded from an external CDN, a CSP is not merely aspirational — it is required for a baseline security posture.</w:t>
      </w:r>
    </w:p>
    <w:p>
      <w:pPr>
        <w:pStyle w:val="ListParagraph"/>
        <w:numPr>
          <w:ilvl w:val="0"/>
          <w:numId w:val="2"/>
        </w:numPr>
        <w:spacing w:after="60"/>
      </w:pPr>
      <w:r>
        <w:rPr>
          <w:rFonts w:ascii="Arial" w:cs="Arial" w:eastAsia="Arial" w:hAnsi="Arial"/>
          <w:color w:val="1C2833"/>
          <w:sz w:val="22"/>
          <w:szCs w:val="22"/>
        </w:rPr>
        <w:t xml:space="preserve">F-03 (Silent no-op security action): A "Revoke All Sessions" button that silently does nothing is arguably more dangerous than no button at all. It gives a false guarantee during security incident response — exactly the moment when correctness is most critical.</w:t>
      </w:r>
    </w:p>
    <w:p>
      <w:pPr>
        <w:spacing w:after="80"/>
      </w:pPr>
    </w:p>
    <w:p>
      <w:pPr>
        <w:spacing w:after="120"/>
      </w:pPr>
      <w:r>
        <w:rPr>
          <w:rFonts w:ascii="Arial" w:cs="Arial" w:eastAsia="Arial" w:hAnsi="Arial"/>
          <w:color w:val="1C2833"/>
          <w:sz w:val="22"/>
          <w:szCs w:val="22"/>
        </w:rPr>
        <w:t xml:space="preserve">Beyond the three critical findings, the absence of MFA for superadmin login (F-05), the lack of session inactivity timeout (F-06), and the unsafe HTTP fallback (F-07) compound the risk to an unacceptable level for a system that administers identity infrastructure.</w:t>
      </w:r>
    </w:p>
    <w:p>
      <w:pPr>
        <w:spacing w:after="120"/>
      </w:pPr>
      <w:r>
        <w:rPr>
          <w:rFonts w:ascii="Arial" w:cs="Arial" w:eastAsia="Arial" w:hAnsi="Arial"/>
          <w:color w:val="1C2833"/>
          <w:sz w:val="22"/>
          <w:szCs w:val="22"/>
        </w:rPr>
        <w:t xml:space="preserve">The path to GO WITH CONDITIONS requires completing all Phase 0 and Phase 1 items above (approximately 2-3 sprints of focused security work), followed by a re-audit of the affected components. The codebase's technical quality means that remediation is entirely feasible — this is a security configuration and design gap, not a fundamental architectural failure.</w:t>
      </w:r>
    </w:p>
    <w:p>
      <w:pPr>
        <w:spacing w:after="80"/>
      </w:pPr>
    </w:p>
    <w:p>
      <w:pPr>
        <w:spacing w:after="80"/>
      </w:pPr>
    </w:p>
    <w:p>
      <w:r>
        <w:br w:type="page"/>
      </w:r>
    </w:p>
    <w:p>
      <w:pPr>
        <w:pStyle w:val="Heading1"/>
        <w:spacing w:before="360" w:after="120"/>
      </w:pPr>
      <w:r>
        <w:rPr>
          <w:rFonts w:ascii="Arial" w:cs="Arial" w:eastAsia="Arial" w:hAnsi="Arial"/>
          <w:b/>
          <w:bCs/>
          <w:color w:val="1C2833"/>
          <w:sz w:val="32"/>
          <w:szCs w:val="32"/>
        </w:rPr>
        <w:t xml:space="preserve">Appendix A — Audit Methodology</w:t>
      </w:r>
    </w:p>
    <w:p>
      <w:pPr>
        <w:spacing w:after="120"/>
      </w:pPr>
      <w:r>
        <w:rPr>
          <w:rFonts w:ascii="Arial" w:cs="Arial" w:eastAsia="Arial" w:hAnsi="Arial"/>
          <w:color w:val="1C2833"/>
          <w:sz w:val="22"/>
          <w:szCs w:val="22"/>
        </w:rPr>
        <w:t xml:space="preserve">This audit was conducted through manual static analysis of all frontend source files. The following files were reviewed in full:</w:t>
      </w:r>
    </w:p>
    <w:p>
      <w:pPr>
        <w:pStyle w:val="ListParagraph"/>
        <w:numPr>
          <w:ilvl w:val="0"/>
          <w:numId w:val="2"/>
        </w:numPr>
        <w:spacing w:after="60"/>
      </w:pPr>
      <w:r>
        <w:rPr>
          <w:rFonts w:ascii="Arial" w:cs="Arial" w:eastAsia="Arial" w:hAnsi="Arial"/>
          <w:color w:val="1C2833"/>
          <w:sz w:val="22"/>
          <w:szCs w:val="22"/>
        </w:rPr>
        <w:t xml:space="preserve">src/stores/authStore.ts, src/stores/themeStore.ts</w:t>
      </w:r>
    </w:p>
    <w:p>
      <w:pPr>
        <w:pStyle w:val="ListParagraph"/>
        <w:numPr>
          <w:ilvl w:val="0"/>
          <w:numId w:val="2"/>
        </w:numPr>
        <w:spacing w:after="60"/>
      </w:pPr>
      <w:r>
        <w:rPr>
          <w:rFonts w:ascii="Arial" w:cs="Arial" w:eastAsia="Arial" w:hAnsi="Arial"/>
          <w:color w:val="1C2833"/>
          <w:sz w:val="22"/>
          <w:szCs w:val="22"/>
        </w:rPr>
        <w:t xml:space="preserve">src/services/api.ts, authService.ts, applicationService.ts, userService.ts, securityService.ts, settingsService.ts, dashboardService.ts</w:t>
      </w:r>
    </w:p>
    <w:p>
      <w:pPr>
        <w:pStyle w:val="ListParagraph"/>
        <w:numPr>
          <w:ilvl w:val="0"/>
          <w:numId w:val="2"/>
        </w:numPr>
        <w:spacing w:after="60"/>
      </w:pPr>
      <w:r>
        <w:rPr>
          <w:rFonts w:ascii="Arial" w:cs="Arial" w:eastAsia="Arial" w:hAnsi="Arial"/>
          <w:color w:val="1C2833"/>
          <w:sz w:val="22"/>
          <w:szCs w:val="22"/>
        </w:rPr>
        <w:t xml:space="preserve">src/router/router.ts</w:t>
      </w:r>
    </w:p>
    <w:p>
      <w:pPr>
        <w:pStyle w:val="ListParagraph"/>
        <w:numPr>
          <w:ilvl w:val="0"/>
          <w:numId w:val="2"/>
        </w:numPr>
        <w:spacing w:after="60"/>
      </w:pPr>
      <w:r>
        <w:rPr>
          <w:rFonts w:ascii="Arial" w:cs="Arial" w:eastAsia="Arial" w:hAnsi="Arial"/>
          <w:color w:val="1C2833"/>
          <w:sz w:val="22"/>
          <w:szCs w:val="22"/>
        </w:rPr>
        <w:t xml:space="preserve">src/views/auth/*.vue, applications/*.vue, users/*.vue, security/*.vue, settings/*.vue, logs/*.vue, dashboard/*.vue, errors/*.vue</w:t>
      </w:r>
    </w:p>
    <w:p>
      <w:pPr>
        <w:pStyle w:val="ListParagraph"/>
        <w:numPr>
          <w:ilvl w:val="0"/>
          <w:numId w:val="2"/>
        </w:numPr>
        <w:spacing w:after="60"/>
      </w:pPr>
      <w:r>
        <w:rPr>
          <w:rFonts w:ascii="Arial" w:cs="Arial" w:eastAsia="Arial" w:hAnsi="Arial"/>
          <w:color w:val="1C2833"/>
          <w:sz w:val="22"/>
          <w:szCs w:val="22"/>
        </w:rPr>
        <w:t xml:space="preserve">src/layouts/AdminLayout.vue, src/layouts/AuthLayout.vue</w:t>
      </w:r>
    </w:p>
    <w:p>
      <w:pPr>
        <w:pStyle w:val="ListParagraph"/>
        <w:numPr>
          <w:ilvl w:val="0"/>
          <w:numId w:val="2"/>
        </w:numPr>
        <w:spacing w:after="60"/>
      </w:pPr>
      <w:r>
        <w:rPr>
          <w:rFonts w:ascii="Arial" w:cs="Arial" w:eastAsia="Arial" w:hAnsi="Arial"/>
          <w:color w:val="1C2833"/>
          <w:sz w:val="22"/>
          <w:szCs w:val="22"/>
        </w:rPr>
        <w:t xml:space="preserve">src/composables/useClipboard.ts, useConfirm.ts, useToast.ts</w:t>
      </w:r>
    </w:p>
    <w:p>
      <w:pPr>
        <w:pStyle w:val="ListParagraph"/>
        <w:numPr>
          <w:ilvl w:val="0"/>
          <w:numId w:val="2"/>
        </w:numPr>
        <w:spacing w:after="60"/>
      </w:pPr>
      <w:r>
        <w:rPr>
          <w:rFonts w:ascii="Arial" w:cs="Arial" w:eastAsia="Arial" w:hAnsi="Arial"/>
          <w:color w:val="1C2833"/>
          <w:sz w:val="22"/>
          <w:szCs w:val="22"/>
        </w:rPr>
        <w:t xml:space="preserve">src/utils/devlog.ts, formatDate.ts</w:t>
      </w:r>
    </w:p>
    <w:p>
      <w:pPr>
        <w:pStyle w:val="ListParagraph"/>
        <w:numPr>
          <w:ilvl w:val="0"/>
          <w:numId w:val="2"/>
        </w:numPr>
        <w:spacing w:after="60"/>
      </w:pPr>
      <w:r>
        <w:rPr>
          <w:rFonts w:ascii="Arial" w:cs="Arial" w:eastAsia="Arial" w:hAnsi="Arial"/>
          <w:color w:val="1C2833"/>
          <w:sz w:val="22"/>
          <w:szCs w:val="22"/>
        </w:rPr>
        <w:t xml:space="preserve">index.html, vite.config.ts, package.json, .env, .env.example, src/main.ts</w:t>
      </w:r>
    </w:p>
    <w:p>
      <w:pPr>
        <w:spacing w:after="80"/>
      </w:pPr>
    </w:p>
    <w:p>
      <w:pPr>
        <w:spacing w:after="120"/>
      </w:pPr>
      <w:r>
        <w:rPr>
          <w:rFonts w:ascii="Arial" w:cs="Arial" w:eastAsia="Arial" w:hAnsi="Arial"/>
          <w:color w:val="1C2833"/>
          <w:sz w:val="22"/>
          <w:szCs w:val="22"/>
        </w:rPr>
        <w:t xml:space="preserve">Grep-based automated scans were run for: v-html, innerHTML, document.write, localStorage, sessionStorage, console.log/warn/error, VITE_ env vars, window.location, redirect patterns. All positive matches were manually reviewed in context.</w:t>
      </w:r>
    </w:p>
    <w:p>
      <w:pPr>
        <w:spacing w:after="80"/>
      </w:pPr>
    </w:p>
    <w:p>
      <w:pPr>
        <w:pStyle w:val="Heading1"/>
        <w:spacing w:before="360" w:after="120"/>
      </w:pPr>
      <w:r>
        <w:rPr>
          <w:rFonts w:ascii="Arial" w:cs="Arial" w:eastAsia="Arial" w:hAnsi="Arial"/>
          <w:b/>
          <w:bCs/>
          <w:color w:val="1C2833"/>
          <w:sz w:val="32"/>
          <w:szCs w:val="32"/>
        </w:rPr>
        <w:t xml:space="preserve">Appendix B — Standards Reference</w:t>
      </w:r>
    </w:p>
    <w:p>
      <w:pPr>
        <w:pStyle w:val="ListParagraph"/>
        <w:numPr>
          <w:ilvl w:val="0"/>
          <w:numId w:val="2"/>
        </w:numPr>
        <w:spacing w:after="60"/>
      </w:pPr>
      <w:r>
        <w:rPr>
          <w:rFonts w:ascii="Arial" w:cs="Arial" w:eastAsia="Arial" w:hAnsi="Arial"/>
          <w:color w:val="1C2833"/>
          <w:sz w:val="22"/>
          <w:szCs w:val="22"/>
        </w:rPr>
        <w:t xml:space="preserve">OWASP Top 10 2021: A02 (Cryptographic Failures), A03 (Injection), A05 (Security Misconfiguration), A07 (Identification and Authentication Failures)</w:t>
      </w:r>
    </w:p>
    <w:p>
      <w:pPr>
        <w:pStyle w:val="ListParagraph"/>
        <w:numPr>
          <w:ilvl w:val="0"/>
          <w:numId w:val="2"/>
        </w:numPr>
        <w:spacing w:after="60"/>
      </w:pPr>
      <w:r>
        <w:rPr>
          <w:rFonts w:ascii="Arial" w:cs="Arial" w:eastAsia="Arial" w:hAnsi="Arial"/>
          <w:color w:val="1C2833"/>
          <w:sz w:val="22"/>
          <w:szCs w:val="22"/>
        </w:rPr>
        <w:t xml:space="preserve">OWASP ASVS 4.0: Level 2 requirements for authentication, session management, and access control</w:t>
      </w:r>
    </w:p>
    <w:p>
      <w:pPr>
        <w:pStyle w:val="ListParagraph"/>
        <w:numPr>
          <w:ilvl w:val="0"/>
          <w:numId w:val="2"/>
        </w:numPr>
        <w:spacing w:after="60"/>
      </w:pPr>
      <w:r>
        <w:rPr>
          <w:rFonts w:ascii="Arial" w:cs="Arial" w:eastAsia="Arial" w:hAnsi="Arial"/>
          <w:color w:val="1C2833"/>
          <w:sz w:val="22"/>
          <w:szCs w:val="22"/>
        </w:rPr>
        <w:t xml:space="preserve">NIST SP 800-63B: Authentication and Lifecycle Management</w:t>
      </w:r>
    </w:p>
    <w:p>
      <w:pPr>
        <w:pStyle w:val="ListParagraph"/>
        <w:numPr>
          <w:ilvl w:val="0"/>
          <w:numId w:val="2"/>
        </w:numPr>
        <w:spacing w:after="60"/>
      </w:pPr>
      <w:r>
        <w:rPr>
          <w:rFonts w:ascii="Arial" w:cs="Arial" w:eastAsia="Arial" w:hAnsi="Arial"/>
          <w:color w:val="1C2833"/>
          <w:sz w:val="22"/>
          <w:szCs w:val="22"/>
        </w:rPr>
        <w:t xml:space="preserve">MDN Web Docs: Content Security Policy, SRI, localStorage security</w:t>
      </w:r>
    </w:p>
    <w:p>
      <w:pPr>
        <w:pStyle w:val="ListParagraph"/>
        <w:numPr>
          <w:ilvl w:val="0"/>
          <w:numId w:val="2"/>
        </w:numPr>
        <w:spacing w:after="60"/>
      </w:pPr>
      <w:r>
        <w:rPr>
          <w:rFonts w:ascii="Arial" w:cs="Arial" w:eastAsia="Arial" w:hAnsi="Arial"/>
          <w:color w:val="1C2833"/>
          <w:sz w:val="22"/>
          <w:szCs w:val="22"/>
        </w:rPr>
        <w:t xml:space="preserve">RFC 6749: The OAuth 2.0 Authorization Framework (admin portal context)</w:t>
      </w:r>
    </w:p>
    <w:p>
      <w:pPr>
        <w:spacing w:after="80"/>
      </w:pPr>
    </w:p>
    <w:p>
      <w:pPr>
        <w:spacing w:after="80"/>
      </w:pPr>
    </w:p>
    <w:p>
      <w:pPr>
        <w:pBdr>
          <w:top w:val="single" w:color="2471A3" w:sz="4"/>
        </w:pBdr>
        <w:spacing w:before="480"/>
        <w:jc w:val="center"/>
      </w:pPr>
      <w:r>
        <w:rPr>
          <w:rFonts w:ascii="Arial" w:cs="Arial" w:eastAsia="Arial" w:hAnsi="Arial"/>
          <w:color w:val="566573"/>
          <w:sz w:val="18"/>
          <w:szCs w:val="18"/>
        </w:rPr>
        <w:t xml:space="preserve">End of Report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pBdr>
      <w:tabs>
        <w:tab w:val="right" w:pos="9360"/>
      </w:tabs>
    </w:pPr>
    <w:r>
      <w:rPr>
        <w:rFonts w:ascii="Arial" w:cs="Arial" w:eastAsia="Arial" w:hAnsi="Arial"/>
        <w:color w:val="566573"/>
        <w:sz w:val="18"/>
        <w:szCs w:val="18"/>
      </w:rPr>
      <w:t xml:space="preserve">Security Audit Report — Strictly Confidential</w:t>
    </w:r>
    <w:r>
      <w:rPr>
        <w:rFonts w:ascii="Arial" w:cs="Arial" w:eastAsia="Arial" w:hAnsi="Arial"/>
        <w:color w:val="566573"/>
        <w:sz w:val="18"/>
        <w:szCs w:val="18"/>
      </w:rPr>
      <w:t xml:space="preserve">	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pBdr>
      <w:tabs>
        <w:tab w:val="right" w:pos="9360"/>
      </w:tabs>
    </w:pPr>
    <w:r>
      <w:rPr>
        <w:rFonts w:ascii="Arial" w:cs="Arial" w:eastAsia="Arial" w:hAnsi="Arial"/>
        <w:color w:val="566573"/>
        <w:sz w:val="18"/>
        <w:szCs w:val="18"/>
      </w:rPr>
      <w:t xml:space="preserve">CONFIDENTIAL | OAuth2 Admin SPA — Production-Readiness Security Audit</w:t>
    </w:r>
    <w:r>
      <w:rPr>
        <w:rFonts w:ascii="Arial" w:cs="Arial" w:eastAsia="Arial" w:hAnsi="Arial"/>
        <w:sz w:val="18"/>
        <w:szCs w:val="18"/>
      </w:rPr>
      <w:t xml:space="preserve">	</w:t>
    </w:r>
    <w:r>
      <w:rPr>
        <w:rFonts w:ascii="Arial" w:cs="Arial" w:eastAsia="Arial" w:hAnsi="Arial"/>
        <w:color w:val="566573"/>
        <w:sz w:val="18"/>
        <w:szCs w:val="18"/>
      </w:rPr>
      <w:t xml:space="preserve">27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C2833"/>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471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2026-02-27T09:34:01.533Z</dcterms:created>
  <dcterms:modified xsi:type="dcterms:W3CDTF">2026-02-27T09:34:01.534Z</dcterms:modified>
</cp:coreProperties>
</file>

<file path=docProps/custom.xml><?xml version="1.0" encoding="utf-8"?>
<Properties xmlns="http://schemas.openxmlformats.org/officeDocument/2006/custom-properties" xmlns:vt="http://schemas.openxmlformats.org/officeDocument/2006/docPropsVTypes"/>
</file>