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Supplementary Note (Bridge-A): Disorder-Enhanced Selectivity и архитектурная зависимость</w:t>
        <w:br/>
        <w:t>на реальном коннектоме Mushroom Body личинки дрозофилы (A8.6)</w:t>
      </w:r>
    </w:p>
    <w:p/>
    <w:p>
      <w:r>
        <w:rPr>
          <w:b/>
        </w:rPr>
        <w:t xml:space="preserve">Кратко. </w:t>
      </w:r>
      <w:r>
        <w:t>Этот блок фиксирует воспроизводимую “фактуру” для раздела Supplementary Information: постановку задачи на реальном графе, архитектурные манипуляции (original / rewired_type / lesion_KC_MBON), метрики (Selectivity_end, coverage_end, P_good) и статистические проверки. Метки метрик и имена режимов оставлены без перевода для прямого соответствия артефактам кода/CSV.</w:t>
      </w:r>
    </w:p>
    <w:p/>
    <w:p>
      <w:r>
        <w:rPr>
          <w:b/>
        </w:rPr>
        <w:t>1. Цель и проверяемая гипотеза</w:t>
      </w:r>
    </w:p>
    <w:p>
      <w:r>
        <w:t>Цель Bridge‑A — проверить на реальном коннектоме, зависит ли наблюдаемый эффект Disorder‑Enhanced Selectivity (DES) от специфической архитектуры Mushroom Body (MB), а не только от “общей сложности графа”. Операционально: оцениваем, усиливает ли умеренный энергетический беспорядок (ε≈3) разделение Target vs Distractor при GKSL‑динамике, и исчезает ли/ослабевает ли этот эффект после контролируемого разрушения специфического “wiring” (rewired_type) или упрощения KC→MBON (lesion).</w:t>
      </w:r>
    </w:p>
    <w:p>
      <w:r>
        <w:rPr>
          <w:b/>
        </w:rPr>
        <w:t>2. Данные и активный подграф</w:t>
      </w:r>
    </w:p>
    <w:p>
      <w:r>
        <w:t>Граф построен из опубликованного коннектома личинки Drosophila (L1) для контура Mushroom Body (PN→KC→MBON и связанные элементы). В вычислительном бенчмарке используется ориентированный взвешенный граф (веса = число синаптических контактов), с последующим выделением активного подграфа вокруг Source/Target/Distractor множеств.</w:t>
      </w:r>
    </w:p>
    <w:p>
      <w:r>
        <w:t>Параметры активного подграфа основной серии (mode=extended): N_nodes=243, N_edges=1765. К целевым и дистракторным множествам добавлены два абсорбирующих стока: sink_T и sink_D.</w:t>
      </w:r>
    </w:p>
    <w:p>
      <w:r>
        <w:rPr>
          <w:b/>
        </w:rPr>
        <w:t>3. Динамика и disorder</w:t>
      </w:r>
    </w:p>
    <w:p>
      <w:r>
        <w:t>Основной режим: GKSL (открытая квантовая динамика) с дефазировкой, задаваемой параметром kappa. Гамильтониан задаётся как H = −γ·L_sym + diag(E), где L_sym — симметризованный лапласиан, γ=1.0.</w:t>
      </w:r>
    </w:p>
    <w:p>
      <w:r>
        <w:t>Energetic disorder моделируется диагональными энергиями E_i ~ U[−ε, +ε] на нейронах активного подграфа. Сетка ε: {0, 1, 2, 3, 5}. Время интегрирования T_max=10 (как в A7).</w:t>
      </w:r>
    </w:p>
    <w:p>
      <w:r>
        <w:t>Два фиксированных режима дефазировки для теста устойчивости вывода: kappa=0.001 (слабая дефазировка) и kappa=1.0 (сильная дефазировка).</w:t>
      </w:r>
    </w:p>
    <w:p>
      <w:r>
        <w:rPr>
          <w:b/>
        </w:rPr>
        <w:t>4. Архитектурные варианты (A8.5)</w:t>
      </w:r>
    </w:p>
    <w:p>
      <w:r>
        <w:t>Мы сравниваем три варианта графа, получаемые из исходного реального коннектома (не синтетические суррогаты “с нуля”):</w:t>
      </w:r>
    </w:p>
    <w:p>
      <w:pPr>
        <w:ind w:left="340"/>
      </w:pPr>
      <w:r>
        <w:rPr>
          <w:b/>
        </w:rPr>
        <w:t xml:space="preserve">• original: </w:t>
      </w:r>
      <w:r>
        <w:t>исходный подграф без изменений.</w:t>
      </w:r>
    </w:p>
    <w:p>
      <w:pPr>
        <w:ind w:left="340"/>
      </w:pPr>
      <w:r>
        <w:rPr>
          <w:b/>
        </w:rPr>
        <w:t xml:space="preserve">• rewired_type: </w:t>
      </w:r>
      <w:r>
        <w:t>перемешивание направлений рёбер внутри блоков (src_type, dst_type) — сохраняет числа рёбер по типам и исходящие степени по блокам, но уничтожает конкретную “семантическую” проводку.</w:t>
      </w:r>
    </w:p>
    <w:p>
      <w:pPr>
        <w:ind w:left="340"/>
      </w:pPr>
      <w:r>
        <w:rPr>
          <w:b/>
        </w:rPr>
        <w:t xml:space="preserve">• lesion_KC_MBON: </w:t>
      </w:r>
      <w:r>
        <w:t>ин‑silico “упрощение”: случайно удаляется доля KC→MBON рёбер (lesion_drop=0.5), остальные связи сохраняются.</w:t>
      </w:r>
    </w:p>
    <w:p>
      <w:r>
        <w:t>Сэмплирование: для rewired_type и lesion генерируются n_surrogates независимых суррогат‑графов; для каждого суррогата выполняются n_trials независимых реализаций disorder (разные energy_seed). В “большом” прогоне: n_trials=20, n_surrogates=20, ε∈{0,1,2,3,5} ⇒ всего 4100 отдельных GKSL‑прогонов.</w:t>
      </w:r>
    </w:p>
    <w:p>
      <w:r>
        <w:rPr>
          <w:b/>
        </w:rPr>
        <w:t>5. Метрики и outcome</w:t>
      </w:r>
    </w:p>
    <w:p>
      <w:r>
        <w:t>Endpoint‑метрики (на t_end=T_max): P_sink_T_end — поглощённая вероятность в sink_T; P_sink_D_end — поглощённая вероятность в sink_D; Selectivity_end = P_sink_T_end / P_sink_D_end; coverage_end — суммарный “communication volume” (как в A7/A8.6).</w:t>
      </w:r>
    </w:p>
    <w:p>
      <w:r>
        <w:t>Дополнительная outcome‑метрика для устойчивости к тяжёлым хвостам Selectivity_end: P_good = Pr(Selectivity_end &gt; sel_thresh AND P_sink_T_end &gt; pT_min). В A8.6 использовано sel_thresh=2.0 и pT_min=0.005.</w:t>
      </w:r>
    </w:p>
    <w:p>
      <w:r>
        <w:t>Важно про агрегацию: в графиках A8.6 ошибка/разброс показывается по репликам (replicate mean ± SE). Для rewired_type и lesion реплика = surrogate (с усреднением по trials внутри суррогата); для original реплика = trial (поскольку суррогатов нет).</w:t>
      </w:r>
    </w:p>
    <w:p>
      <w:r>
        <w:rPr>
          <w:b/>
        </w:rPr>
        <w:t>6. Результаты (A8.6): kappa‑robust архитектурная зависимость</w:t>
      </w:r>
    </w:p>
    <w:p>
      <w:r>
        <w:t>Основной качественный вывод: эффект DES (пик/усиление Selectivity_end при умеренном ε) проявляется на исходной архитектуре и ослабляется/деформируется на rewired_type; при lesion эффект частично сохраняется. Этот вывод устойчив при переходе от kappa=0.001 к kappa=1.0 (хотя форма зависимости по ε меняется).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8-1_Selectivity_ratioOfMeans_kappa0.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S8-1. Selectivity_end (replicate mean) vs epsilon for kappa=0.001; variants: original / rewired_type / lesion_KC_MBON.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4320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8-2_Selectivity_ratioOfMeans_kappa1.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S8-2. Selectivity_end (replicate mean) vs epsilon for kappa=1.0; variants: original / rewired_type / lesion_KC_MBON.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4320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8-3_P_good_kappa0.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S8-3. P_good vs epsilon for kappa=0.001 (sel_thresh=2.0, pT_min=0.005).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4320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8-4_P_good_kappa1.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S8-4. P_good vs epsilon for kappa=1.0 (sel_thresh=2.0, pT_min=0.005).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43205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8-5_coverage_end_kappa0.0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S8-5. coverage_end vs epsilon for kappa=0.001; variants: original / rewired_type / lesion_KC_MBON.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43205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8-6_coverage_end_kappa1.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S8-6. coverage_end vs epsilon for kappa=1.0; variants: original / rewired_type / lesion_KC_MBON.</w:t>
      </w:r>
    </w:p>
    <w:p/>
    <w:p>
      <w:r>
        <w:t>Интерпретация по данным Figure S8‑1–S8‑6: (i) в original наблюдается выраженный максимум Selectivity_end при ε≈3 при kappa=0.001, тогда как rewired_type демонстрирует существенно более плоскую/слабую зависимость и более низкие значения; (ii) P_good имеет инвертированную‑U форму с максимумом при умеренных ε для original/lesion и низкими значениями для rewired_type; (iii) coverage_end резко падает при росте ε (ожидаемо: disorder подавляет общий throughput), что делает P_good полезной “quality‑per‑throughput” проверкой.</w:t>
      </w:r>
    </w:p>
    <w:p>
      <w:r>
        <w:rPr>
          <w:b/>
        </w:rPr>
        <w:t>7. Локализация (A8.4): дифференциальная фильтрация Target vs Distractor</w:t>
      </w:r>
    </w:p>
    <w:p>
      <w:r>
        <w:t>Для проверки механизма “filtering via disorder” выполнена диагностика локализации (kappa=0.001) на original: оценивается разность participation ratio между subgraph_T и subgraph_D (delta_PR_TminusD) и её связь с Selectivity_end.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43205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8-7_differential_localization_deltaPR_vs_epsil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S8-7. Differential localization vs disorder: delta_PR_TminusD vs epsilon (kappa=0.001).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43205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8-8_localization_vs_selectivity_scat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S8-8. Localization vs Selectivity_end: scatter of trials (kappa=0.001), colored by epsilon.</w:t>
      </w:r>
    </w:p>
    <w:p>
      <w:r>
        <w:t>Наблюдение: при росте ε метрика delta_PR_TminusD сдвигается к нулю/положительным значениям и частично коррелирует с ростом Selectivity_end, что согласуется с “дифференциальной локализацией”: disorder сильнее подавляет пути к Distractor, чем к Target (на исходной архитектуре).</w:t>
      </w:r>
    </w:p>
    <w:p>
      <w:r>
        <w:rPr>
          <w:b/>
        </w:rPr>
        <w:t>8. Статистика</w:t>
      </w:r>
    </w:p>
    <w:p>
      <w:r>
        <w:t>Для A8.5 (kappa=0.001, полный объём 4100 прогонов) выполнен двухфакторный ANOVA по факторам VARIANT (3 уровня) и EPSILON (5 уровней) для метрик Selectivity_end и coverage_end. Также выполнен bootstrap (n_boot=20000) для оценки DES и различий DES между архитектурами.</w:t>
      </w:r>
    </w:p>
    <w:p/>
    <w:p>
      <w:r>
        <w:rPr>
          <w:b/>
        </w:rPr>
        <w:t>Table S8-1. Two-way ANOVA (kappa=0.001).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sz w:val="18"/>
              </w:rPr>
              <w:t>Metric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Effect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df1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df2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p_value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Selectivity_end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VARIANT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44.7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4097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6.25e-20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Selectivity_end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EPSILON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31.12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4095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1.45e-25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Selectivity_end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ALL_CELLS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20.53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4085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4.16e-51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coverage_end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VARIANT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14.33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4097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6.28e-07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coverage_end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EPSILON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2906.98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4095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&lt;1e-300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coverage_end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ALL_CELLS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932.38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4085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&lt;1e-300</w:t>
            </w:r>
          </w:p>
        </w:tc>
      </w:tr>
    </w:tbl>
    <w:p/>
    <w:p>
      <w:r>
        <w:rPr>
          <w:b/>
        </w:rPr>
        <w:t>Table S8-2. Bootstrap: DES within each variant (kappa=0.001).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sz w:val="18"/>
              </w:rPr>
              <w:t>variant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contrast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CI_low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CI_high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significance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lesion_KC_MBON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DES = Selectivity_end(ε=3) - Selectivity_end(ε=0)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1.102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0.83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1.398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significant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lesion_KC_MBON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Selectivity_end(ε=3) - Selectivity_end(ε=5)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-0.502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-0.832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-0.188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significant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DES = Selectivity_end(ε=3) - Selectivity_end(ε=0)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1.489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0.249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3.355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significant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Selectivity_end(ε=3) - Selectivity_end(ε=5)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-0.898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-2.805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rewired_type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DES = Selectivity_end(ε=3) - Selectivity_end(ε=0)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0.162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0.274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significant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rewired_type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Selectivity_end(ε=3) - Selectivity_end(ε=5)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0.436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0.672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significant</w:t>
            </w:r>
          </w:p>
        </w:tc>
      </w:tr>
    </w:tbl>
    <w:p/>
    <w:p>
      <w:r>
        <w:rPr>
          <w:b/>
        </w:rPr>
        <w:t>Table S8-3. Bootstrap: difference in DES magnitude between variants (kappa=0.001).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sz w:val="18"/>
              </w:rPr>
              <w:t>contrast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CI_low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CI_high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significance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DES(original) - DES(rewired_type)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1.328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3.232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p&lt;0.001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DES(original) - DES(lesion_KC_MBON)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0.383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-0.902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2.261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ns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DES(lesion_KC_MBON) - DES(rewired_type)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0.646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1.254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p&lt;0.001</w:t>
            </w:r>
          </w:p>
        </w:tc>
      </w:tr>
    </w:tbl>
    <w:p/>
    <w:p>
      <w:r>
        <w:rPr>
          <w:b/>
        </w:rPr>
        <w:t>Table S8-4. Summary metrics by variant and epsilon (kappa=0.001).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</w:tcPr>
          <w:p>
            <w:r>
              <w:rPr>
                <w:sz w:val="18"/>
              </w:rPr>
              <w:t>variant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epsilon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n_surrogates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n_trials_per_surrogate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n_runs_total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mean_P_sink_T_end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mean_P_sink_D_end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Selectivity_end_mean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Selectivity_ratioOfMeans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coverage_end_mean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lesion_KC_MBON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0.016468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0.013955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1.194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1.18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0.030424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lesion_KC_MBON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0.009295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0.007022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1.454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1.324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0.016317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lesion_KC_MBON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0.007125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0.004964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1.702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1.435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0.012089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lesion_KC_MBON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0.006401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0.003987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2.296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1.605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0.010389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lesion_KC_MBON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0.002816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0.002368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1.795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1.189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0.005184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0.013187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0.011219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1.175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1.175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0.024406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0.006436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0.005012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1.362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1.284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0.011448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0.00472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0.003596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1.569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1.312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0.008316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0.004564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0.002589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2.662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1.763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0.007153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original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0.002089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0.00156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1.762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1.339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0.003649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rewired_type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0.012602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0.012544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1.062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1.005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0.025146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rewired_type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0.008359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0.008874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1.113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0.942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0.017233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rewired_type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0.006022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0.006077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1.255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0.991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0.012099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rewired_type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0.004412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0.004895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1.225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0.901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0.009307</w:t>
            </w:r>
          </w:p>
        </w:tc>
      </w:tr>
      <w:tr>
        <w:tc>
          <w:tcPr>
            <w:tcW w:type="dxa" w:w="975"/>
          </w:tcPr>
          <w:p>
            <w:r>
              <w:rPr>
                <w:sz w:val="18"/>
              </w:rPr>
              <w:t>rewired_type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0.002553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0.002638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1.659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0.968</w:t>
            </w:r>
          </w:p>
        </w:tc>
        <w:tc>
          <w:tcPr>
            <w:tcW w:type="dxa" w:w="975"/>
          </w:tcPr>
          <w:p>
            <w:r>
              <w:rPr>
                <w:sz w:val="18"/>
              </w:rPr>
              <w:t>0.005191</w:t>
            </w:r>
          </w:p>
        </w:tc>
      </w:tr>
    </w:tbl>
    <w:p/>
    <w:p>
      <w:r>
        <w:rPr>
          <w:b/>
        </w:rPr>
        <w:t>Table S8-5. Localization diagnostics by epsilon (original, kappa=0.001).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>
              <w:rPr>
                <w:sz w:val="18"/>
              </w:rPr>
              <w:t>epsilon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n_trials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Selectivity_end_mean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Selectivity_end_std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delta_PR_mean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delta_PR_std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ratio_PR_mean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ratio_PR_std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1.175361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-1.96097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0.607212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1.408312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0.394333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-0.768216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1.175209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0.7978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0.314481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1.686525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0.864617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-0.184347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0.595579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0.959913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0.16276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3.524484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4.945087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-0.091619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1.232236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1.054133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0.44152</w:t>
            </w:r>
          </w:p>
        </w:tc>
      </w:tr>
      <w:tr>
        <w:tc>
          <w:tcPr>
            <w:tcW w:type="dxa" w:w="1218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1.361368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1.248761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0.051692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1.045075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1.081924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  <w:t>0.416065</w:t>
            </w:r>
          </w:p>
        </w:tc>
      </w:tr>
    </w:tbl>
    <w:p>
      <w:r>
        <w:rPr>
          <w:b/>
        </w:rPr>
        <w:t>9. Ограничения и что не утверждается</w:t>
      </w:r>
    </w:p>
    <w:p>
      <w:r>
        <w:t>1) Мы не делаем биофизического утверждения о наличии квантовой когерентности в MB; GKSL используется как формальная модель класса “CRN‑подобной” Stage‑I динамики.</w:t>
        <w:br/>
        <w:t>2) rewired_type/lesion — in‑silico манипуляции; они сохраняют/разрушают лишь часть статистик графа.</w:t>
        <w:br/>
        <w:t>3) Метрики Selectivity_end имеют тяжёлые хвосты; поэтому кроме среднего показаны P_good и bootstrap‑интервалы.</w:t>
        <w:br/>
        <w:t>4) Результаты относятся к выбранной постановке Source/Target/Distractor и активному подграфу; переносимость на другие задачи/подграфы требует отдельной проверки.</w:t>
      </w:r>
    </w:p>
    <w:p>
      <w:r>
        <w:rPr>
          <w:b/>
        </w:rPr>
        <w:t>10. Артефакты и воспроизводимость</w:t>
      </w:r>
    </w:p>
    <w:p>
      <w:r>
        <w:t>В папке BridgeA_A8_final (см. приложенный ZIP) лежат:</w:t>
        <w:br/>
        <w:t>• figures/: Figure S8‑1…S8‑9 (PNG)</w:t>
        <w:br/>
        <w:t>• tables/: CSV‑версии Table S8‑1…S8‑5</w:t>
        <w:br/>
        <w:t>Этого достаточно, чтобы собрать SI‑раздел и вставить фигуры/таблицы в манускрипт.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