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32"/>
        </w:rPr>
        <w:t>Supplementary Note: Energy–Architecture Trade-offs for CRN</w:t>
      </w:r>
    </w:p>
    <w:p>
      <w:pPr>
        <w:spacing w:after="240" w:line="276" w:lineRule="auto"/>
        <w:jc w:val="center"/>
      </w:pPr>
      <w:r>
        <w:rPr>
          <w:i/>
          <w:sz w:val="24"/>
        </w:rPr>
        <w:t>Why a transient Stage-I wave/netting layer can be adaptive – and why it should be locally gated</w:t>
      </w:r>
    </w:p>
    <w:p>
      <w:pPr>
        <w:spacing w:after="240" w:line="276" w:lineRule="auto"/>
        <w:jc w:val="center"/>
      </w:pPr>
      <w:r>
        <w:rPr>
          <w:sz w:val="20"/>
        </w:rPr>
        <w:t>Version: v2.1 (clean, reviewer-facing) | Build date: 2026-01-26 | Artifact pack: CRN_step6_release_candidate (CSV/PNG + code)</w:t>
      </w:r>
    </w:p>
    <w:p>
      <w:pPr>
        <w:pStyle w:val="Heading1"/>
      </w:pPr>
      <w:r>
        <w:t>1. Purpose, scope, and the missing Step 1</w:t>
      </w:r>
    </w:p>
    <w:p>
      <w:pPr>
        <w:spacing w:after="120" w:line="276" w:lineRule="auto"/>
      </w:pPr>
      <w:r>
        <w:t>This Supplementary Note documents an alternative, architecture-level protocol designed to evaluate a specific hypothesis: a CRN-like Stage-I wave/netting mechanism may be adaptive in some neural subsystems (transport/search), yet maladaptive in others (recurrent associative memory), thereby creating selection pressure for modular (locally gated) architectures. The note provides methods, quantitative results, and limitations in a format intended to be self-contained for reviewers.</w:t>
      </w:r>
    </w:p>
    <w:p>
      <w:pPr>
        <w:spacing w:after="120" w:line="276" w:lineRule="auto"/>
      </w:pPr>
      <w:r>
        <w:t>The earlier draft started with “Step 2” because it was written as an internal development log. For publication, we restore the logical Step 1 here: the conceptual framing that links the Stage-I/Stage-II decomposition to an energetic objective. Subsequent sections then report the computational evidence (Experiments A–D) and a robustness audit.</w:t>
      </w:r>
    </w:p>
    <w:p>
      <w:pPr>
        <w:pStyle w:val="Heading2"/>
      </w:pPr>
      <w:r>
        <w:t>1.1 Stage-I vs Stage-II (conceptual framing)</w:t>
      </w:r>
    </w:p>
    <w:p>
      <w:pPr>
        <w:spacing w:after="120" w:line="276" w:lineRule="auto"/>
      </w:pPr>
      <w:r>
        <w:t>We distinguish two functional stages. Stage I is a wave-like, analog pre-selection process (CRN-like “netting”) that can explore a state space or propagate candidate activations at low marginal cost per candidate. Stage II is a discrete fixation/broadcast step (e.g., spiking-driven commitment, long-range broadcast, or global workspace-like routing) that is comparatively expensive per act.</w:t>
      </w:r>
    </w:p>
    <w:p>
      <w:pPr>
        <w:spacing w:after="120" w:line="276" w:lineRule="auto"/>
      </w:pPr>
      <w:r>
        <w:t>Energetically, Stage I is advantageous if it reduces the expected number of costly Stage-II broadcasts. A minimal inequality is:</w:t>
      </w:r>
    </w:p>
    <w:p>
      <w:pPr>
        <w:spacing w:after="120" w:line="276" w:lineRule="auto"/>
      </w:pPr>
      <w:r>
        <w:t xml:space="preserve">    ΔE ≈ (ΔN_broadcast · E_comm) − E_stageI  &gt;  0,</w:t>
      </w:r>
    </w:p>
    <w:p>
      <w:pPr>
        <w:spacing w:after="120" w:line="276" w:lineRule="auto"/>
      </w:pPr>
      <w:r>
        <w:t>where E_comm is the cost of a broadcast/commitment event, E_stageI is the cost of running Stage I for the decision episode, and ΔN_broadcast is the reduction in the number of required broadcasts (or corrective broadcasts) achieved by Stage-I pre-selection. Equivalently, defining a dimensionless checkpoint χ = E_stageI / E_comm, Stage I is energetically justified when χ &lt; ΔN_broadcast. In the protocol below, this energetic logic is implemented as a “modularity/gating cost” term in an abstract fitness function (Section 4).</w:t>
      </w:r>
    </w:p>
    <w:p>
      <w:pPr>
        <w:pStyle w:val="Heading2"/>
      </w:pPr>
      <w:r>
        <w:t>1.2 Conceptual schematic</w:t>
      </w:r>
    </w:p>
    <w:p>
      <w:r>
        <w:drawing>
          <wp:inline xmlns:a="http://schemas.openxmlformats.org/drawingml/2006/main" xmlns:pic="http://schemas.openxmlformats.org/drawingml/2006/picture">
            <wp:extent cx="5943600" cy="2407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0_stageI_stageII_schematic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S0. Conceptual framing. Stage I is a low-marginal-cost wave/netting layer (CRN-like) that supports transport/search. Stage II is an expensive discrete fixation/broadcast step. A modular architecture can locally gate permeability/noise regimes so that transport modules remain highly permeable while recurrent memory modules remain confined.</w:t>
      </w:r>
    </w:p>
    <w:p>
      <w:pPr>
        <w:pStyle w:val="Heading1"/>
      </w:pPr>
      <w:r>
        <w:t>2. Terminology and workflow overview</w:t>
      </w:r>
    </w:p>
    <w:p>
      <w:pPr>
        <w:spacing w:after="120" w:line="276" w:lineRule="auto"/>
      </w:pPr>
      <w:r>
        <w:t>To keep the presentation reviewer-facing, we avoid internal jargon and define the few abstract control variables used throughout.</w:t>
      </w:r>
    </w:p>
    <w:p>
      <w:pPr>
        <w:spacing w:after="60" w:line="276" w:lineRule="auto"/>
      </w:pPr>
      <w:r>
        <w:rPr>
          <w:b/>
        </w:rPr>
        <w:t xml:space="preserve">Noise/permeability parameter (n): </w:t>
      </w:r>
      <w:r>
        <w:t>a scalar control that increases effective transport permeability. In the memory proxy we use an effective temperature T_env; in the transport proxy we use a dephasing/noise rate κ. When comparing architectures, we treat both as instances of the same abstract control parameter n.</w:t>
      </w:r>
    </w:p>
    <w:p>
      <w:pPr>
        <w:spacing w:after="60" w:line="276" w:lineRule="auto"/>
      </w:pPr>
      <w:r>
        <w:rPr>
          <w:b/>
        </w:rPr>
        <w:t xml:space="preserve">Single-parameter (global) architecture: </w:t>
      </w:r>
      <w:r>
        <w:t>one shared n is applied to both transport and memory subsystems.</w:t>
      </w:r>
    </w:p>
    <w:p>
      <w:pPr>
        <w:spacing w:after="60" w:line="276" w:lineRule="auto"/>
      </w:pPr>
      <w:r>
        <w:rPr>
          <w:b/>
        </w:rPr>
        <w:t xml:space="preserve">Modular (locally gated) architecture: </w:t>
      </w:r>
      <w:r>
        <w:t>transport and memory subsystems can use different n values (n_T and n_M), at the price of an added modularity/gating cost.</w:t>
      </w:r>
    </w:p>
    <w:p>
      <w:pPr>
        <w:spacing w:after="60" w:line="276" w:lineRule="auto"/>
      </w:pPr>
      <w:r>
        <w:rPr>
          <w:b/>
        </w:rPr>
        <w:t xml:space="preserve">Environment mixture (p_transport): </w:t>
      </w:r>
      <w:r>
        <w:t>fraction of episodes (or fitness weight) in which the dominant demand is transport/search rather than recurrent memory.</w:t>
      </w:r>
    </w:p>
    <w:p>
      <w:pPr>
        <w:spacing w:after="60" w:line="276" w:lineRule="auto"/>
      </w:pPr>
      <w:r>
        <w:rPr>
          <w:b/>
        </w:rPr>
        <w:t xml:space="preserve">Modularity cost (c_mod): </w:t>
      </w:r>
      <w:r>
        <w:t>dimensionless penalty applied to modular architectures, representing extra control circuitry, gating, regulation, or energetic overhead.</w:t>
      </w:r>
    </w:p>
    <w:p>
      <w:pPr>
        <w:spacing w:after="120" w:line="276" w:lineRule="auto"/>
      </w:pPr>
      <w:r>
        <w:t>Workflow. The artifact pack CRN_step6_release_candidate contains code, CSV backends, and paper-ready figures for four computational blocks (plus a packaging wrapper). For transparency we keep the internal labels “Step 2–Step 5” in filenames, but the scientific narrative is:</w:t>
      </w:r>
    </w:p>
    <w:p>
      <w:pPr>
        <w:pStyle w:val="ListBullet"/>
        <w:spacing w:after="40" w:line="276" w:lineRule="auto"/>
      </w:pPr>
      <w:r>
        <w:t>Experiment A (Step 2): recurrent microcircuit toy (SBM) – permeability vs confinement in a pattern-completion proxy.</w:t>
      </w:r>
    </w:p>
    <w:p>
      <w:pPr>
        <w:pStyle w:val="ListBullet"/>
        <w:spacing w:after="40" w:line="276" w:lineRule="auto"/>
      </w:pPr>
      <w:r>
        <w:t>Experiment B (transport proxy): CRN/GKSL transport metric – intermediate-noise optimum (ENAQT-like).</w:t>
      </w:r>
    </w:p>
    <w:p>
      <w:pPr>
        <w:pStyle w:val="ListBullet"/>
        <w:spacing w:after="40" w:line="276" w:lineRule="auto"/>
      </w:pPr>
      <w:r>
        <w:t>Experiment C (Step 3): architecture trade-off – transport and memory prefer different noise regimes.</w:t>
      </w:r>
    </w:p>
    <w:p>
      <w:pPr>
        <w:pStyle w:val="ListBullet"/>
        <w:spacing w:after="40" w:line="276" w:lineRule="auto"/>
      </w:pPr>
      <w:r>
        <w:t>Experiment D (Step 4): evolutionary selection model – when modular separation is selected.</w:t>
      </w:r>
    </w:p>
    <w:p>
      <w:pPr>
        <w:pStyle w:val="ListBullet"/>
        <w:spacing w:after="40" w:line="276" w:lineRule="auto"/>
      </w:pPr>
      <w:r>
        <w:t>Robustness audit (Step 5): stability of the selection boundary under alternative proxy definitions.</w:t>
      </w:r>
    </w:p>
    <w:p>
      <w:pPr>
        <w:pStyle w:val="Heading1"/>
      </w:pPr>
      <w:r>
        <w:t>3. Methods</w:t>
      </w:r>
    </w:p>
    <w:p>
      <w:pPr>
        <w:pStyle w:val="Heading2"/>
      </w:pPr>
      <w:r>
        <w:t>3.1 Experiment A: recurrent microcircuit toy (SBM pattern-completion proxy)</w:t>
      </w:r>
    </w:p>
    <w:p>
      <w:pPr>
        <w:spacing w:after="120" w:line="276" w:lineRule="auto"/>
      </w:pPr>
      <w:r>
        <w:t>Topology. We generate a stochastic block model (SBM) graph with N=150 nodes arranged into three equal clusters (50 nodes each). Edges are placed independently with within-cluster probability p_in=0.30 and between-cluster probability p_out=0.02.</w:t>
      </w:r>
    </w:p>
    <w:p>
      <w:pPr>
        <w:spacing w:after="120" w:line="276" w:lineRule="auto"/>
      </w:pPr>
      <w:r>
        <w:t>Disorder. Each node i receives a local energy offset E_i sampled uniformly: E_i ~ U[−ε, +ε] with ε=3.0. This represents heterogeneity in excitability, inhibition, and synaptic noise as an effective energetic landscape.</w:t>
      </w:r>
    </w:p>
    <w:p>
      <w:pPr>
        <w:spacing w:after="120" w:line="276" w:lineRule="auto"/>
      </w:pPr>
      <w:r>
        <w:t>Dynamics. We simulate a continuous-time Markov master equation dP/dt = Q P on the graph. Transition rates follow a Metropolis-like rule controlled by an effective temperature T_env. For an edge j→i, the rate is proportional to exp(−max(E_i−E_j,0)/T_env). In the maximal-permeability limit (T_env→∞), energy barriers are ignored and transport reduces to topological diffusion.</w:t>
      </w:r>
    </w:p>
    <w:p>
      <w:pPr>
        <w:spacing w:after="120" w:line="276" w:lineRule="auto"/>
      </w:pPr>
      <w:r>
        <w:t>Pattern-completion task. The cue set S is a random 20% subset of the target cluster C0. The target set T is the remaining 80% of C0. Distractors D are all nodes outside C0 (clusters C1 and C2). Initial mass is uniform on S. We integrate to t_end=100.</w:t>
      </w:r>
    </w:p>
    <w:p>
      <w:pPr>
        <w:spacing w:after="120" w:line="276" w:lineRule="auto"/>
      </w:pPr>
      <w:r>
        <w:t>Metrics. Recall = Σ_{i∈T} P_i(t_end). Leakage = Σ_{j∈D} P_j(t_end). Selectivity is reported as Recall/Leakage (ratio of means across trials). We run n=100 independent graph+disorder realizations (seeded for reproducibility).</w:t>
      </w:r>
    </w:p>
    <w:p>
      <w:pPr>
        <w:pStyle w:val="Heading3"/>
      </w:pPr>
      <w:r>
        <w:t>3.1.1 Summary statistics (Table S1)</w:t>
      </w:r>
    </w:p>
    <w:p>
      <w:pPr>
        <w:spacing w:after="120" w:line="276" w:lineRule="auto"/>
      </w:pPr>
      <w:r>
        <w:t>Table S1 reports mean ± 95% confidence interval (CI) for Recall and Leakage, and Selectivity as the ratio of means, for the three permeability regimes used in Experiment 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Regime (T_env)</w:t>
            </w:r>
          </w:p>
        </w:tc>
        <w:tc>
          <w:tcPr>
            <w:tcW w:type="dxa" w:w="2436"/>
          </w:tcPr>
          <w:p>
            <w:r>
              <w:t>Recall (mean ± 95% CI)</w:t>
            </w:r>
          </w:p>
        </w:tc>
        <w:tc>
          <w:tcPr>
            <w:tcW w:type="dxa" w:w="2436"/>
          </w:tcPr>
          <w:p>
            <w:r>
              <w:t>Leakage (mean ± 95% CI)</w:t>
            </w:r>
          </w:p>
        </w:tc>
        <w:tc>
          <w:tcPr>
            <w:tcW w:type="dxa" w:w="2436"/>
          </w:tcPr>
          <w:p>
            <w:r>
              <w:t>Selectivity (Recall/Leakage)</w:t>
            </w:r>
          </w:p>
        </w:tc>
      </w:tr>
      <w:tr>
        <w:tc>
          <w:tcPr>
            <w:tcW w:type="dxa" w:w="2436"/>
          </w:tcPr>
          <w:p>
            <w:r>
              <w:t>0.1</w:t>
            </w:r>
          </w:p>
        </w:tc>
        <w:tc>
          <w:tcPr>
            <w:tcW w:type="dxa" w:w="2436"/>
          </w:tcPr>
          <w:p>
            <w:r>
              <w:t>0.480 ± 0.046</w:t>
            </w:r>
          </w:p>
        </w:tc>
        <w:tc>
          <w:tcPr>
            <w:tcW w:type="dxa" w:w="2436"/>
          </w:tcPr>
          <w:p>
            <w:r>
              <w:t>0.400 ± 0.042</w:t>
            </w:r>
          </w:p>
        </w:tc>
        <w:tc>
          <w:tcPr>
            <w:tcW w:type="dxa" w:w="2436"/>
          </w:tcPr>
          <w:p>
            <w:r>
              <w:t>1.200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0.275 ± 0.011</w:t>
            </w:r>
          </w:p>
        </w:tc>
        <w:tc>
          <w:tcPr>
            <w:tcW w:type="dxa" w:w="2436"/>
          </w:tcPr>
          <w:p>
            <w:r>
              <w:t>0.657 ± 0.011</w:t>
            </w:r>
          </w:p>
        </w:tc>
        <w:tc>
          <w:tcPr>
            <w:tcW w:type="dxa" w:w="2436"/>
          </w:tcPr>
          <w:p>
            <w:r>
              <w:t>0.418</w:t>
            </w:r>
          </w:p>
        </w:tc>
      </w:tr>
      <w:tr>
        <w:tc>
          <w:tcPr>
            <w:tcW w:type="dxa" w:w="2436"/>
          </w:tcPr>
          <w:p>
            <w:r>
              <w:t>inf</w:t>
            </w:r>
          </w:p>
        </w:tc>
        <w:tc>
          <w:tcPr>
            <w:tcW w:type="dxa" w:w="2436"/>
          </w:tcPr>
          <w:p>
            <w:r>
              <w:t>0.267 ± 0.000</w:t>
            </w:r>
          </w:p>
        </w:tc>
        <w:tc>
          <w:tcPr>
            <w:tcW w:type="dxa" w:w="2436"/>
          </w:tcPr>
          <w:p>
            <w:r>
              <w:t>0.667 ± 0.000</w:t>
            </w:r>
          </w:p>
        </w:tc>
        <w:tc>
          <w:tcPr>
            <w:tcW w:type="dxa" w:w="2436"/>
          </w:tcPr>
          <w:p>
            <w:r>
              <w:t>0.400</w:t>
            </w:r>
          </w:p>
        </w:tc>
      </w:tr>
    </w:tbl>
    <w:p>
      <w:pPr>
        <w:pStyle w:val="Heading2"/>
      </w:pPr>
      <w:r>
        <w:t>3.2 Experiment B: transport proxy (CRN/GKSL) and the ENAQT-like optimum</w:t>
      </w:r>
    </w:p>
    <w:p>
      <w:pPr>
        <w:spacing w:after="120" w:line="276" w:lineRule="auto"/>
      </w:pPr>
      <w:r>
        <w:t>Transport in disordered substrates is represented using an open-system CRN/GKSL proxy metric computed in the included R12-CROWN suite. Operationally, we use the Liouvillian spectral gap g(κ) as a scalar proxy for transport/relaxation speed under dephasing rate κ. This proxy exhibits an intermediate-noise maximum (an ENAQT-like window), consistent with the idea that neither fully coherent nor fully classical limits are optimal.</w:t>
      </w:r>
    </w:p>
    <w:p>
      <w:pPr>
        <w:spacing w:after="120" w:line="276" w:lineRule="auto"/>
      </w:pPr>
      <w:r>
        <w:t>In the trade-off experiments below, the transport proxy is normalized to [0,1] as transport_norm(κ) = g(κ)/max_κ g(κ). The full backend is provided as step3_transport_gap_sweep.csv.</w:t>
      </w:r>
    </w:p>
    <w:p>
      <w:pPr>
        <w:pStyle w:val="Heading2"/>
      </w:pPr>
      <w:r>
        <w:t>3.3 Experiment C: architecture trade-off (single-parameter global vs modular control)</w:t>
      </w:r>
    </w:p>
    <w:p>
      <w:pPr>
        <w:spacing w:after="120" w:line="276" w:lineRule="auto"/>
      </w:pPr>
      <w:r>
        <w:t>We combine the transport proxy (Section 3.2) and the memory proxy (Section 3.1) on a shared discrete grid of the abstract noise/permeability parameter n. Concretely, we reuse the same numeric grid values for T_env (memory) and κ (transport) as a notational identification n≈T_env≈κ. This identification is not a microscopic claim; it is an architectural thought experiment: what happens if a system has only one global regulator of permeability?</w:t>
      </w:r>
    </w:p>
    <w:p>
      <w:pPr>
        <w:spacing w:after="120" w:line="276" w:lineRule="auto"/>
      </w:pPr>
      <w:r>
        <w:t>Single-parameter global architecture. A global parameter n is applied to both modules, yielding an expected fitness:</w:t>
      </w:r>
    </w:p>
    <w:p>
      <w:pPr>
        <w:spacing w:after="120" w:line="276" w:lineRule="auto"/>
      </w:pPr>
      <w:r>
        <w:t xml:space="preserve">    F_global(n) = p_transport · T(n) + (1 − p_transport) · M(n),</w:t>
      </w:r>
    </w:p>
    <w:p>
      <w:pPr>
        <w:spacing w:after="120" w:line="276" w:lineRule="auto"/>
      </w:pPr>
      <w:r>
        <w:t>where T(n) is the normalized transport proxy and M(n) is the bounded memory proxy M = Recall/(Recall+Leakage).</w:t>
      </w:r>
    </w:p>
    <w:p>
      <w:pPr>
        <w:spacing w:after="120" w:line="276" w:lineRule="auto"/>
      </w:pPr>
      <w:r>
        <w:t>Modular architecture. Transport and memory use independent local parameters (n_T, n_M), but modularity carries a penalty c_mod:</w:t>
      </w:r>
    </w:p>
    <w:p>
      <w:pPr>
        <w:spacing w:after="120" w:line="276" w:lineRule="auto"/>
      </w:pPr>
      <w:r>
        <w:t xml:space="preserve">    F_modular(n_T,n_M) = p_transport · T(n_T) + (1 − p_transport) · M(n_M) − c_mod.</w:t>
      </w:r>
    </w:p>
    <w:p>
      <w:pPr>
        <w:spacing w:after="120" w:line="276" w:lineRule="auto"/>
      </w:pPr>
      <w:r>
        <w:t>For each pair (p_transport, c_mod), we exhaustively search over the discrete grid to find the best single-parameter global strategy and the best modular strategy.</w:t>
      </w:r>
    </w:p>
    <w:p>
      <w:pPr>
        <w:pStyle w:val="Heading2"/>
      </w:pPr>
      <w:r>
        <w:t>3.4 Experiment D: selection dynamics (replicator-mutation demo)</w:t>
      </w:r>
    </w:p>
    <w:p>
      <w:pPr>
        <w:spacing w:after="120" w:line="276" w:lineRule="auto"/>
      </w:pPr>
      <w:r>
        <w:t>To translate the trade-off into an evolutionary statement, we treat each architecture/noise setting as a strategy with fitness given by the functions above. We then (i) compute a phase diagram over (p_transport, c_mod) indicating whether the best modular strategy beats the best single-parameter global strategy, and (ii) illustrate population dynamics using a deterministic softmax-like replicator-mutation update p_{t+1} ∝ p_t · exp(β·fitness), with a small uniform mutation rate μ. This is a simplified selection model intended to show directionality, not a literal population-genetic reconstruction.</w:t>
      </w:r>
    </w:p>
    <w:p>
      <w:pPr>
        <w:pStyle w:val="Heading2"/>
      </w:pPr>
      <w:r>
        <w:t>3.5 Robustness audit (proxy sensitivity)</w:t>
      </w:r>
    </w:p>
    <w:p>
      <w:pPr>
        <w:spacing w:after="120" w:line="276" w:lineRule="auto"/>
      </w:pPr>
      <w:r>
        <w:t>Because both transport and memory are represented by proxies, we test whether the modular-selection boundary is stable to reasonable alternative proxy definitions. We recompute the winner map across 9 combinations of transport metrics (gap normalization variants) and memory metrics (bounded recall fraction, bounded selectivity ratio, normalized utility Recall−Leakage). We then report a consensus modular-win rate for each (p_transport, c_mod) cell.</w:t>
      </w:r>
    </w:p>
    <w:p>
      <w:pPr>
        <w:pStyle w:val="Heading1"/>
      </w:pPr>
      <w:r>
        <w:t>4. Results</w:t>
      </w:r>
    </w:p>
    <w:p>
      <w:pPr>
        <w:pStyle w:val="Heading2"/>
      </w:pPr>
      <w:r>
        <w:t>4.1 Experiment A: high permeability reduces selectivity in the recurrent memory proxy</w:t>
      </w:r>
    </w:p>
    <w:p>
      <w:pPr>
        <w:spacing w:after="120" w:line="276" w:lineRule="auto"/>
      </w:pPr>
      <w:r>
        <w:t>Across 100 realizations, the low-temperature regime (T_env=0.1) yields substantially higher selectivity than the high-permeability limit (T_env→∞). In this proxy model, increasing permeability accelerates leakage through weak inter-cluster edges, degrading pattern completion selectivity (Table S1; Figures S1–S2).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2_recall_leak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S1. Experiment A. Recall and Leakage (mean ± 95% CI) vs permeability regime T_env.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2_selectiv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S2. Experiment A. Selectivity (Recall/Leakage, ratio of means) vs permeability regime T_env.</w:t>
      </w:r>
    </w:p>
    <w:p>
      <w:pPr>
        <w:pStyle w:val="Heading2"/>
      </w:pPr>
      <w:r>
        <w:t>4.2 Experiment B: transport proxy has an intermediate-noise optimum (ENAQT-like window)</w:t>
      </w:r>
    </w:p>
    <w:p>
      <w:pPr>
        <w:spacing w:after="120" w:line="276" w:lineRule="auto"/>
      </w:pPr>
      <w:r>
        <w:t>The transport proxy g(κ) exhibits a clear intermediate-noise maximum (Figure S3). On the provided grid, the maximum normalized transport is achieved near κ≈0.5, consistent with an ENAQT-like optimum in which moderate dephasing suppresses localization/interference without fully destroying coherent propagation.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3_transport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S3. Experiment B. Liouvillian spectral gap g(κ) vs dephasing rate κ (transport proxy).</w:t>
      </w:r>
    </w:p>
    <w:p>
      <w:pPr>
        <w:pStyle w:val="Heading2"/>
      </w:pPr>
      <w:r>
        <w:t>4.3 Experiment C: transport and memory prefer different noise regimes (architecture-level trade-off)</w:t>
      </w:r>
    </w:p>
    <w:p>
      <w:pPr>
        <w:spacing w:after="120" w:line="276" w:lineRule="auto"/>
      </w:pPr>
      <w:r>
        <w:t>On the shared noise/permeability grid, the transport objective is maximized near n≈0.5 (normalized transport ≈0.995), whereas the memory objective is maximized at much lower noise, n≈0.01 (bounded memory metric ≈0.679). Therefore, any single global regulator n must choose a compromise that is suboptimal for at least one subsystem. Figures S4–S5 visualize this trade-off.</w:t>
      </w:r>
    </w:p>
    <w:p>
      <w:r>
        <w:drawing>
          <wp:inline xmlns:a="http://schemas.openxmlformats.org/drawingml/2006/main" xmlns:pic="http://schemas.openxmlformats.org/drawingml/2006/picture">
            <wp:extent cx="5303520" cy="3535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3_tradeoff_scat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S4. Experiment C. Pareto-like scatter: transport performance (normalized gap) vs memory performance (Recall/(Recall+Leakage)) under a single global control parameter n.</w:t>
      </w:r>
    </w:p>
    <w:p>
      <w:r>
        <w:drawing>
          <wp:inline xmlns:a="http://schemas.openxmlformats.org/drawingml/2006/main" xmlns:pic="http://schemas.openxmlformats.org/drawingml/2006/picture">
            <wp:extent cx="5943600" cy="33963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3_memory_fra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S5. Experiment C. Memory bounded metric vs T_env (the memory proxy prefers low permeability).</w:t>
      </w:r>
    </w:p>
    <w:p>
      <w:pPr>
        <w:pStyle w:val="Heading2"/>
      </w:pPr>
      <w:r>
        <w:t>4.4 Experiment D: selection favors modular separation in mixed environments (up to a cost threshold)</w:t>
      </w:r>
    </w:p>
    <w:p>
      <w:pPr>
        <w:spacing w:after="120" w:line="276" w:lineRule="auto"/>
      </w:pPr>
      <w:r>
        <w:t>The phase diagram in Figure S6 compares the best modular strategy to the best single-parameter global strategy across environment mixtures (p_transport) and modularity costs (c_mod). As expected, modularity offers little benefit when the environment demands almost exclusively memory (p_transport≈0) or almost exclusively transport (p_transport≈1), because the optimal regulator is then essentially unique. In contrast, for mixed environments (intermediate p_transport), modular separation can dominate up to a non-trivial cost threshold.</w:t>
      </w:r>
    </w:p>
    <w:p>
      <w:pPr>
        <w:spacing w:after="120" w:line="276" w:lineRule="auto"/>
      </w:pPr>
      <w:r>
        <w:t>A representative benchmark at p_transport=0.5 (transport and memory equally weighted) is:</w:t>
      </w:r>
    </w:p>
    <w:p>
      <w:pPr>
        <w:spacing w:after="120" w:line="276" w:lineRule="auto"/>
      </w:pPr>
      <w:r>
        <w:t xml:space="preserve">    max c_mod where modular wins: ≈0.19 (Step 4 default proxies) and ≈0.16 (Step 5 consensus, modular-win rate ≥0.8).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4_phas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S6. Experiment D. Phase diagram: modular vs single-parameter global winner over (p_transport, c_mod).</w:t>
      </w:r>
    </w:p>
    <w:p>
      <w:r>
        <w:drawing>
          <wp:inline xmlns:a="http://schemas.openxmlformats.org/drawingml/2006/main" xmlns:pic="http://schemas.openxmlformats.org/drawingml/2006/picture">
            <wp:extent cx="5943600" cy="37147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4_replica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S7. Experiment D. Replicator-mutation demo at a representative point (p_transport=0.5, c_mod=0.05): modular strategies accumulate population mass under selection.</w:t>
      </w:r>
    </w:p>
    <w:p>
      <w:pPr>
        <w:pStyle w:val="Heading2"/>
      </w:pPr>
      <w:r>
        <w:t>4.5 Robustness audit: consensus boundary and a negative control</w:t>
      </w:r>
    </w:p>
    <w:p>
      <w:pPr>
        <w:spacing w:after="120" w:line="276" w:lineRule="auto"/>
      </w:pPr>
      <w:r>
        <w:t>Figure S8 summarizes the robustness audit: for each (p_transport, c_mod) cell we report the fraction of proxy pairs (9 total) for which modularity wins. Figure S9 compares boundary curves obtained in Step 4 (default proxies) against conservative consensus thresholds. Finally, Figure S10 is a negative control: when the memory metric is artificially set equal to the transport metric (no trade-off), modularity never helps once a non-zero modularity cost is present.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5_consensu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S8. Robustness audit. Consensus modular-win rate across 9 proxy pairs.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5_boundar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S9. Robustness audit. Boundary curves: maximal modularity cost compatible with modular dominance (Step 4 default vs consensus thresholds).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ep5_contro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S10. Negative control (no trade-off). Modular architectures do not outperform single-parameter global tuning when transport and memory objectives are identical.</w:t>
      </w:r>
    </w:p>
    <w:p>
      <w:pPr>
        <w:pStyle w:val="Heading1"/>
      </w:pPr>
      <w:r>
        <w:t>5. Linking the architectural result to the energetic argument for Stage-I netting</w:t>
      </w:r>
    </w:p>
    <w:p>
      <w:pPr>
        <w:spacing w:after="120" w:line="276" w:lineRule="auto"/>
      </w:pPr>
      <w:r>
        <w:t>The computational blocks above do not simulate metabolic energy directly. Instead, they establish an architectural fact: transport/search and recurrent memory can require opposing permeability regimes. This creates an immediate energy–architecture link once Stage II (commitment/broadcast) carries a high cost per act.</w:t>
      </w:r>
    </w:p>
    <w:p>
      <w:pPr>
        <w:spacing w:after="120" w:line="276" w:lineRule="auto"/>
      </w:pPr>
      <w:r>
        <w:t>If Stage I (wave-like netting) is globally applied at high permeability, the recurrent memory subsystem becomes more prone to leakage/interference (Experiment A), increasing downstream costs: additional corrective broadcasts, longer decision times, or increased error rates. Conversely, suppressing permeability globally protects memory but degrades transport/search efficiency (Experiment B). Therefore, a one-parameter global regulator is energetically fragile in mixed-task environments.</w:t>
      </w:r>
    </w:p>
    <w:p>
      <w:pPr>
        <w:spacing w:after="120" w:line="276" w:lineRule="auto"/>
      </w:pPr>
      <w:r>
        <w:t>A modular architecture can be read as an energetic compromise: pay an overhead to locally gate or regulate Stage-I permeability (captured abstractly by c_mod), but reduce the expected number of expensive Stage-II broadcasts and corrections across the full task distribution (captured abstractly by the mixed objective with p_transport). The selection boundary (Figures S6–S9) can therefore be interpreted as an admissible range of gating overheads for which local regime separation remains beneficial.</w:t>
      </w:r>
    </w:p>
    <w:p>
      <w:pPr>
        <w:spacing w:after="120" w:line="276" w:lineRule="auto"/>
      </w:pPr>
      <w:r>
        <w:t>Mapping to the Stage-I energy checkpoint. In the main CRN framework, the checkpoint χ = E_stageI/E_comm compares the per-episode cost of Stage I to a single Stage-II broadcast. In this Supplementary Note, c_mod plays a similar role but at an architectural (fitness) level: it penalizes having separate local regulators. A conservative reading is that the empirical boundary c_mod≈0.16 at p_transport=0.5 (consensus) corresponds to a regime where gating/regulation overhead is small compared to the benefit of avoiding global mis-tuning. This interpretation is qualitative and should not be over-quantified without an explicit biophysical mapping between c_mod and χ.</w:t>
      </w:r>
    </w:p>
    <w:p>
      <w:pPr>
        <w:spacing w:after="120" w:line="276" w:lineRule="auto"/>
      </w:pPr>
      <w:r>
        <w:t>In short: Stage-I netting is plausibly advantageous because it can reduce the number of costly Stage-II broadcasts, but it should not be assumed to be universally beneficial across all network motifs. The present protocol supports the narrower, publication-safe claim: if Stage-I netting improves transport/search while high permeability harms recurrent memory selectivity, then modular gating is an evolvable solution provided its control cost is not prohibitive.</w:t>
      </w:r>
    </w:p>
    <w:p>
      <w:pPr>
        <w:pStyle w:val="Heading1"/>
      </w:pPr>
      <w:r>
        <w:t>6. Limitations and required follow-ups</w:t>
      </w:r>
    </w:p>
    <w:p>
      <w:pPr>
        <w:pStyle w:val="ListBullet"/>
        <w:spacing w:after="40" w:line="276" w:lineRule="auto"/>
      </w:pPr>
      <w:r>
        <w:t>Memory proxy is linear. The SBM microcircuit uses a linear Markov transport equation rather than a nonlinear attractor network (e.g., Hopfield-like dynamics, thresholding, spiking, and structured inhibition). The qualitative leakage mechanism is plausible, but quantitative thresholds will shift in more biophysical models.</w:t>
      </w:r>
    </w:p>
    <w:p>
      <w:pPr>
        <w:pStyle w:val="ListBullet"/>
        <w:spacing w:after="40" w:line="276" w:lineRule="auto"/>
      </w:pPr>
      <w:r>
        <w:t>“CRN” in Experiment A is approximated by the extreme maximal-permeability limit T_env→∞ (energies ignored). This is a useful stress test but is not equivalent to the full CRN/GKSL wave-layer model used elsewhere (which may include sinks, structured coupling, and non-trivial steady states).</w:t>
      </w:r>
    </w:p>
    <w:p>
      <w:pPr>
        <w:pStyle w:val="ListBullet"/>
        <w:spacing w:after="40" w:line="276" w:lineRule="auto"/>
      </w:pPr>
      <w:r>
        <w:t>The identification n≈T_env≈κ is architectural, not microscopic. It is intended to test the hypothesis “one global permeability regulator is insufficient in mixed-task environments”, not to claim that the same physical parameter controls both subsystems in vivo.</w:t>
      </w:r>
    </w:p>
    <w:p>
      <w:pPr>
        <w:pStyle w:val="ListBullet"/>
        <w:spacing w:after="40" w:line="276" w:lineRule="auto"/>
      </w:pPr>
      <w:r>
        <w:t>Selection model is illustrative. The replicator-mutation dynamics is a deterministic demonstration of directionality under a chosen fitness function. A publication should present it as a heuristic evolutionary pressure argument rather than a population-genetics result.</w:t>
      </w:r>
    </w:p>
    <w:p>
      <w:pPr>
        <w:pStyle w:val="ListBullet"/>
        <w:spacing w:after="40" w:line="276" w:lineRule="auto"/>
      </w:pPr>
      <w:r>
        <w:t>Energy interpretation is qualitative. We do not compute metabolic budgets; c_mod is an abstract penalty. A stronger version would explicitly connect c_mod to measurable costs (e.g., inhibitory control, neuromodulatory gating, myelination, or maintenance of coherent carriers).</w:t>
      </w:r>
    </w:p>
    <w:p>
      <w:pPr>
        <w:pStyle w:val="Heading1"/>
      </w:pPr>
      <w:r>
        <w:t>7. Reproducibility and artifacts</w:t>
      </w:r>
    </w:p>
    <w:p>
      <w:pPr>
        <w:spacing w:after="120" w:line="276" w:lineRule="auto"/>
      </w:pPr>
      <w:r>
        <w:t>All numerical claims above are backed by CSV files and regenerable code included in the release candidate archive. The most citation-ready backends (for manuscript/SI) are:</w:t>
      </w:r>
    </w:p>
    <w:p>
      <w:pPr>
        <w:pStyle w:val="ListBullet"/>
        <w:spacing w:after="40" w:line="276" w:lineRule="auto"/>
      </w:pPr>
      <w:r>
        <w:t>paper/tables/step2_cortex_transport_trials.csv, paper/tables/step2_cortex_transport_summary.csv</w:t>
      </w:r>
    </w:p>
    <w:p>
      <w:pPr>
        <w:pStyle w:val="ListBullet"/>
        <w:spacing w:after="40" w:line="276" w:lineRule="auto"/>
      </w:pPr>
      <w:r>
        <w:t>paper/tables/step3_transport_gap_sweep.csv, paper/tables/step3_memory_summary.csv, paper/tables/step3_combined_tradeoff.csv</w:t>
      </w:r>
    </w:p>
    <w:p>
      <w:pPr>
        <w:pStyle w:val="ListBullet"/>
        <w:spacing w:after="40" w:line="276" w:lineRule="auto"/>
      </w:pPr>
      <w:r>
        <w:t>paper/tables/step4_best_strategy_grid.csv</w:t>
      </w:r>
    </w:p>
    <w:p>
      <w:pPr>
        <w:pStyle w:val="ListBullet"/>
        <w:spacing w:after="40" w:line="276" w:lineRule="auto"/>
      </w:pPr>
      <w:r>
        <w:t>paper/tables/step5_robustness_consensus_grid.csv, paper/tables/step5_boundary_compare_step4_vs_consensus.csv, paper/tables/key_numbers.csv</w:t>
      </w:r>
    </w:p>
    <w:p>
      <w:pPr>
        <w:spacing w:after="120" w:line="276" w:lineRule="auto"/>
      </w:pPr>
      <w:r>
        <w:t>Minimal reproduction commands (from the root of CRN_step6_release_candidate):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python -m pip install -r env/requirements.txt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python steps/step2_repro_bundle/CRN_step2_repro_bundle/step2_cortex_transport/run_cortex_transport.py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python steps/step3_architecture_tradeoff_bundle/CRN_step3_bundle/step3_architecture_tradeoff/run_step3_architecture_tradeoff.py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python steps/step4_evolutionary_selection_bundle/step4_evolutionary_selection/run_step4_evolutionary_selection.py</w:t>
      </w:r>
    </w:p>
    <w:p>
      <w:pPr>
        <w:spacing w:after="0" w:line="240" w:lineRule="auto"/>
      </w:pPr>
      <w:r>
        <w:rPr>
          <w:rFonts w:ascii="Courier New" w:hAnsi="Courier New"/>
          <w:sz w:val="20"/>
        </w:rPr>
        <w:t>python steps/step5_consolidated_evidence_bundle/CRN_step5_consolidated_evidence_bundle/code/run_step5_robustness_audit.py</w:t>
      </w:r>
    </w:p>
    <w:p>
      <w:pPr>
        <w:pStyle w:val="Heading1"/>
      </w:pPr>
      <w:r>
        <w:t>References (selected; non-exhaustive)</w:t>
      </w:r>
    </w:p>
    <w:p>
      <w:pPr>
        <w:spacing w:after="40" w:line="240" w:lineRule="auto"/>
      </w:pPr>
      <w:r>
        <w:t>Attwell D, Laughlin SB. An energy budget for signaling in the grey matter of the brain. J Cereb Blood Flow Metab. 2001.</w:t>
      </w:r>
    </w:p>
    <w:p>
      <w:pPr>
        <w:spacing w:after="40" w:line="240" w:lineRule="auto"/>
      </w:pPr>
      <w:r>
        <w:t>Lennie P. The cost of cortical computation. Curr Biol. 2003.</w:t>
      </w:r>
    </w:p>
    <w:p>
      <w:pPr>
        <w:spacing w:after="40" w:line="240" w:lineRule="auto"/>
      </w:pPr>
      <w:r>
        <w:t>Plenio MB, Huelga SF. Dephasing-assisted transport: quantum networks and biomolecules. New J Phys. 2008.</w:t>
      </w:r>
    </w:p>
    <w:p>
      <w:pPr>
        <w:spacing w:after="40" w:line="240" w:lineRule="auto"/>
      </w:pPr>
      <w:r>
        <w:t>Caruso F, Chin AW, Datta A, Huelga SF, Plenio MB. Highly efficient energy excitation transfer in light-harvesting complexes: the fundamental role of noise-assisted transport. J Chem Phys. 2009.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/>
      <w:b/>
      <w:bCs/>
      <w:i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