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left"/>
      </w:pPr>
      <w:r>
        <w:rPr>
          <w:rFonts w:ascii="Noto Sans CJK SC" w:hAnsi="Noto Sans CJK SC" w:eastAsia="Noto Sans CJK SC"/>
          <w:b/>
          <w:i w:val="0"/>
          <w:color w:val="245BDB"/>
          <w:sz w:val="40"/>
        </w:rPr>
        <w:t>LexRead</w:t>
      </w:r>
    </w:p>
    <w:p>
      <w:pPr>
        <w:keepNext w:val="0"/>
        <w:spacing w:before="400" w:after="240" w:line="240" w:lineRule="auto"/>
      </w:pPr>
      <w:r>
        <w:rPr>
          <w:rFonts w:ascii="Noto Sans CJK SC" w:hAnsi="Noto Sans CJK SC" w:eastAsia="Noto Sans CJK SC"/>
          <w:b/>
          <w:i w:val="0"/>
          <w:color w:val="182033"/>
          <w:sz w:val="62"/>
        </w:rPr>
        <w:t>法学论文与裁判文书</w:t>
        <w:br/>
        <w:t>智能辅助阅读助手</w:t>
      </w:r>
    </w:p>
    <w:p>
      <w:pPr>
        <w:keepNext w:val="0"/>
        <w:spacing w:before="0" w:after="440" w:line="300" w:lineRule="auto"/>
      </w:pPr>
      <w:r>
        <w:rPr>
          <w:rFonts w:ascii="Noto Sans CJK SC" w:hAnsi="Noto Sans CJK SC" w:eastAsia="Noto Sans CJK SC"/>
          <w:b/>
          <w:i w:val="0"/>
          <w:color w:val="0B8F87"/>
          <w:sz w:val="32"/>
        </w:rPr>
        <w:t>MVP产品与实施手册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核心定义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以研究任务为中心，将法学论文与裁判文书转化为可理解、可核验、可比较、可引用、可进入写作流程的结构化研究材料。</w:t>
            </w:r>
          </w:p>
        </w:tc>
      </w:tr>
    </w:tbl>
    <w:p>
      <w:pPr>
        <w:keepNext w:val="0"/>
        <w:spacing w:before="28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2000" cy="3534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辅助阅读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3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Noto Sans CJK SC" w:hAnsi="Noto Sans CJK SC" w:eastAsia="Noto Sans CJK SC"/>
          <w:b w:val="0"/>
          <w:i w:val="0"/>
          <w:color w:val="667085"/>
          <w:sz w:val="20"/>
        </w:rPr>
        <w:t>产品方案｜页面PRD｜AI与数据架构｜验收标准｜开发路线</w:t>
      </w:r>
    </w:p>
    <w:p>
      <w:pPr>
        <w:keepNext w:val="0"/>
        <w:spacing w:before="60" w:after="0" w:line="300" w:lineRule="auto"/>
        <w:jc w:val="right"/>
      </w:pPr>
      <w:r>
        <w:rPr>
          <w:rFonts w:ascii="Noto Sans CJK SC" w:hAnsi="Noto Sans CJK SC" w:eastAsia="Noto Sans CJK SC"/>
          <w:b w:val="0"/>
          <w:i w:val="0"/>
          <w:color w:val="667085"/>
          <w:sz w:val="18"/>
        </w:rPr>
        <w:t>版本日期：2026年7月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0  文档说明</w:t>
      </w:r>
    </w:p>
    <w:p>
      <w:pPr>
        <w:keepNext w:val="0"/>
        <w:spacing w:before="0" w:after="24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1"/>
        </w:rPr>
        <w:t>本手册用于产品立项、交互设计、算法设计、研发评审和封闭测试。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产品暂定名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LexRead 法研阅读器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版本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MVP V2.1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首发形态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桌面端 Web SaaS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核心板块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论文辅助阅读、裁判文书辅助阅读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核心差异化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原文同步的论证/裁判推理导航 + 命题级研究转化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目标用户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法学硕博研究生、教师研究人员、律师、法务及司法人员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MVP周期建议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4-6周技术原型；3-5个月可用MVP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文档状态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产品基线，可进入低保真原型与技术验证阶段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使用方式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产品经理：以第4-12章为页面、功能和流程基线。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设计师：以第6章页面预览和交互规则为视觉与原型基线。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算法团队：以第13-15章的文档模型、分析流水线和可信度规则为基线。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研发团队：以第16-18章的数据对象、技术架构和验收指标为基线。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法律专家：建立人工金标准，重点复核观点归属、论证关系和裁判事实类型。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D9770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FF4E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边界说明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本手册定义的是最小可行产品，不承诺自动判断学术观点最终正误，也不在首版接入知网等商业数据库。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目录  章节导航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执行摘要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2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用户问题与产品机会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3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产品定位与设计原则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4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MVP范围与优先级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5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信息架构与页面数量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6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页面级PRD与预览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7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论文辅助阅读能力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8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裁判文书辅助阅读能力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9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研究项目与研究转化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10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多轴标注与信息展示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11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核心用户流程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12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状态、权限与异常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13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文档解析与原文锚定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14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AI分析流水线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15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可信度与法律专业控制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16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数据模型与接口建议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17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技术架构与性能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18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指标、测试与验收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19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开发路线与团队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20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主要风险与产品决策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附录A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标签字典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附录B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核心数据状态</w:t>
      </w:r>
    </w:p>
    <w:p>
      <w:pPr>
        <w:keepNext w:val="0"/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>附录C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 xml:space="preserve">  MVP上线清单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  执行摘要</w:t>
      </w:r>
    </w:p>
    <w:p>
      <w:pPr>
        <w:keepNext w:val="0"/>
        <w:spacing w:before="0" w:after="24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1"/>
        </w:rPr>
        <w:t>先确定产品为什么存在，再确定做哪些功能。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一句话产品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LexRead 是一款桌面端法律研究工作台：在保留PDF原文的同时，自动重建论文论证路线或裁判推理路线，并随阅读位置同步导航，将关键内容转化为观点卡、案例卡、引用卡和待核验问题。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MVP只验证三项核心价值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能否准确重建一篇论文或一份判决的主要推理路线，而不是生成章节摘要。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用户翻动PDF时，导航能否稳定指示当前处于推理的哪一步，并且不制造虚假理解进度。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阅读结果能否被保存为可进入研究项目和写作提纲的结构化材料。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产品形态结论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5669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结论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首发终端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桌面端网站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宽屏适合PDF、导航和分析三栏并行。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运行模式</w:t>
            </w:r>
          </w:p>
        </w:tc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浏览器 + 服务端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浏览器负责阅读交互，服务端负责OCR、结构分析与AI任务。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移动端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非首发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仅适合查看报告和笔记，不适合深度标注。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数据库接入</w:t>
            </w:r>
          </w:p>
        </w:tc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后置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MVP先支持上传和生成检索任务卡，不依赖商业API。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七个核心页面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268"/>
        <w:gridCol w:w="5953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核心任务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01</w:t>
            </w:r>
          </w:p>
        </w:tc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工作台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进入项目、继续阅读、查看待办和待核验问题。</w:t>
            </w:r>
          </w:p>
        </w:tc>
      </w:tr>
      <w:tr>
        <w:trPr>
          <w:cantSplit/>
          <w:cantSplit/>
        </w:trPr>
        <w:tc>
          <w:tcPr>
            <w:tcW w:type="dxa" w:w="85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02</w:t>
            </w:r>
          </w:p>
        </w:tc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上传与解析</w:t>
            </w:r>
          </w:p>
        </w:tc>
        <w:tc>
          <w:tcPr>
            <w:tcW w:type="dxa" w:w="595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上传PDF、OCR、校对目录及低置信度页面。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03</w:t>
            </w:r>
          </w:p>
        </w:tc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研究项目总览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管理研究问题、提纲、观点矩阵和研究进度。</w:t>
            </w:r>
          </w:p>
        </w:tc>
      </w:tr>
      <w:tr>
        <w:trPr>
          <w:cantSplit/>
          <w:cantSplit/>
        </w:trPr>
        <w:tc>
          <w:tcPr>
            <w:tcW w:type="dxa" w:w="85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04</w:t>
            </w:r>
          </w:p>
        </w:tc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论文辅助阅读</w:t>
            </w:r>
          </w:p>
        </w:tc>
        <w:tc>
          <w:tcPr>
            <w:tcW w:type="dxa" w:w="595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原文、论证导航、当前节点分析三栏联动。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05</w:t>
            </w:r>
          </w:p>
        </w:tc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裁判文书辅助阅读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事实、证据、争点、规范和裁判结论联动。</w:t>
            </w:r>
          </w:p>
        </w:tc>
      </w:tr>
      <w:tr>
        <w:trPr>
          <w:cantSplit/>
          <w:cantSplit/>
        </w:trPr>
        <w:tc>
          <w:tcPr>
            <w:tcW w:type="dxa" w:w="85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06</w:t>
            </w:r>
          </w:p>
        </w:tc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研究材料库</w:t>
            </w:r>
          </w:p>
        </w:tc>
        <w:tc>
          <w:tcPr>
            <w:tcW w:type="dxa" w:w="595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统一管理观点卡、案例卡、规范卡和引用卡。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07</w:t>
            </w:r>
          </w:p>
        </w:tc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阅读成果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输出结构化摘要、论证图、引用清单和检索建议。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2  用户问题与产品机会</w:t>
      </w:r>
    </w:p>
    <w:p>
      <w:pPr>
        <w:keepNext w:val="0"/>
        <w:spacing w:before="0" w:after="24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1"/>
        </w:rPr>
        <w:t>从“看懂PDF”升级为“完成法律研究任务”。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2.1 用户真正的五类困难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515"/>
        <w:gridCol w:w="4422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用户问题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当前工具缺口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选择</w:t>
            </w:r>
          </w:p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不知道是否值得精读、应读哪一部分。</w:t>
            </w:r>
          </w:p>
        </w:tc>
        <w:tc>
          <w:tcPr>
            <w:tcW w:type="dxa" w:w="442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标题、摘要和关键词无法判断真实问题与论证质量。</w:t>
            </w:r>
          </w:p>
        </w:tc>
      </w:tr>
      <w:tr>
        <w:trPr>
          <w:cantSplit/>
          <w:cantSplit/>
        </w:trPr>
        <w:tc>
          <w:tcPr>
            <w:tcW w:type="dxa" w:w="113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理解</w:t>
            </w:r>
          </w:p>
        </w:tc>
        <w:tc>
          <w:tcPr>
            <w:tcW w:type="dxa" w:w="3515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知道结论但不知道如何推出。</w:t>
            </w:r>
          </w:p>
        </w:tc>
        <w:tc>
          <w:tcPr>
            <w:tcW w:type="dxa" w:w="442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普通摘要不呈现理由、推理桥梁、反对和边界。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判断</w:t>
            </w:r>
          </w:p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理解后仍不知道是否可信。</w:t>
            </w:r>
          </w:p>
        </w:tc>
        <w:tc>
          <w:tcPr>
            <w:tcW w:type="dxa" w:w="442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缺少观点归属、材料作用、限定条件和核验状态。</w:t>
            </w:r>
          </w:p>
        </w:tc>
      </w:tr>
      <w:tr>
        <w:trPr>
          <w:cantSplit/>
          <w:cantSplit/>
        </w:trPr>
        <w:tc>
          <w:tcPr>
            <w:tcW w:type="dxa" w:w="113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综合</w:t>
            </w:r>
          </w:p>
        </w:tc>
        <w:tc>
          <w:tcPr>
            <w:tcW w:type="dxa" w:w="3515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读了多篇仍只能逐作者罗列。</w:t>
            </w:r>
          </w:p>
        </w:tc>
        <w:tc>
          <w:tcPr>
            <w:tcW w:type="dxa" w:w="442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缺少命题级共识、分歧和未解决问题。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写作</w:t>
            </w:r>
          </w:p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标注无法进入论文提纲。</w:t>
            </w:r>
          </w:p>
        </w:tc>
        <w:tc>
          <w:tcPr>
            <w:tcW w:type="dxa" w:w="442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笔记与原文、页码、用途、核验状态脱节。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2.2 核心用户任务（JTBD）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82033"/>
          <w:sz w:val="20"/>
        </w:rPr>
        <w:t>快速筛选：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在15分钟内判断一篇文章是否与研究问题高度相关，以及哪些部分值得精读。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82033"/>
          <w:sz w:val="20"/>
        </w:rPr>
        <w:t>博士级精读：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还原作者问题意识、研究范式、概念操作、论证链、反对意见和结论边界。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82033"/>
          <w:sz w:val="20"/>
        </w:rPr>
        <w:t>文献综述：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将文章转化为争议命题、作者立场、核心理由及与既有研究的差异。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82033"/>
          <w:sz w:val="20"/>
        </w:rPr>
        <w:t>裁判规则提炼：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区分当事人主张、法院认定事实、证据、法律要件和结论。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82033"/>
          <w:sz w:val="20"/>
        </w:rPr>
        <w:t>研究转化：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将片段保存到项目、提纲和待核验任务中，并保留原文定位。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2.3 产品机会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0B8F8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F7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差异化机会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通用PDF问答已经能够总结和回答问题；LexRead的差异化应集中在法学专属的命题级论证重构、原文同步导航、裁判事实—要件分析，以及研究材料进入提纲的闭环。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3  产品定位与设计原则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3.1 产品不是什么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不是只输出摘要的论文总结器。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不是把标签堆满PDF的高亮工具。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不是自动评价论文最终正确与否的学术裁判者。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不是自动生成可直接提交论文的代写工具。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不是在首版建立跨用户共享的论文全文数据库。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3.2 六项设计原则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原则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产品含义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原文优先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AI结果始终服务于原文阅读，不能替代原文。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研究任务优先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同一文档根据筛选、精读、综述、批判等任务生成不同结果。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可溯源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核心问题、结论、节点和批判均绑定原文页码与段落。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人机协作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AI重构可修改、确认和隐藏，用户修改具有最高优先级。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渐进呈现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后台标签丰富，前台默认只展示必要信息。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不制造虚假完成感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页面位置、论证进度和认知进度严格分离。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3.3 产品核心闭环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7656C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2EE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研究闭环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研究问题 → 选择文档 → 校对解析 → 理解推理 → 核验依据 → 形成判断 → 保存研究材料 → 关联提纲 → 生成后续检索任务。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4  MVP范围与优先级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4.1 P0：首版必须完成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能力域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P0功能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文档</w:t>
            </w:r>
          </w:p>
        </w:tc>
        <w:tc>
          <w:tcPr>
            <w:tcW w:type="dxa" w:w="70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PDF上传、原生文本提取、扫描件OCR、目录/段落/脚注识别、解析校对。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原文阅读</w:t>
            </w:r>
          </w:p>
        </w:tc>
        <w:tc>
          <w:tcPr>
            <w:tcW w:type="dxa" w:w="7087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PDF与Markdown视图、双向定位、全文检索、AI和用户标注覆盖层。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论文</w:t>
            </w:r>
          </w:p>
        </w:tc>
        <w:tc>
          <w:tcPr>
            <w:tcW w:type="dxa" w:w="70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核心问题、核心结论、5-10个论证节点、观点归属、理由/反对/回应。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裁判文书</w:t>
            </w:r>
          </w:p>
        </w:tc>
        <w:tc>
          <w:tcPr>
            <w:tcW w:type="dxa" w:w="7087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请求、抗辩、主张事实、法院认定事实、争点、规范、说理、结果。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同步导航</w:t>
            </w:r>
          </w:p>
        </w:tc>
        <w:tc>
          <w:tcPr>
            <w:tcW w:type="dxa" w:w="70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页面进度、推理进度、用户确认的认知进度；节点点击跳转。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研究转化</w:t>
            </w:r>
          </w:p>
        </w:tc>
        <w:tc>
          <w:tcPr>
            <w:tcW w:type="dxa" w:w="7087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观点卡、案例卡、引用卡、待核验问题、简单提纲关联。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成果</w:t>
            </w:r>
          </w:p>
        </w:tc>
        <w:tc>
          <w:tcPr>
            <w:tcW w:type="dxa" w:w="70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单篇结构化阅读报告、Markdown导出。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4.2 P1：P0稳定后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复杂推理桥梁和隐含前提识别。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绑定具体命题的批判性阅读检查。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多论文观点矩阵和少量文档项目级综合。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裁判事实—证据—法律要件自动匹配。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法条时效和脚注原始来源辅助核验。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延伸检索任务卡和布尔检索式生成。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4.3 P2：后续增强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商业数据库与公共法律数据源接入。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论文观点与裁判规则的自动双向检索。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多人协作、导师批注、团队空间。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部门法专项规则包和本地部署。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Word、Obsidian、Zotero等写作与知识管理插件。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4.4 明确不进入MVP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自动生成完整可提交学术论文。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自动判断某一学说最终正确或错误。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自动预测裁判结果。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移动端完整三栏精读器。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跨用户分享受版权保护的全文。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5  信息架构与页面数量</w:t>
      </w:r>
    </w:p>
    <w:p>
      <w:pPr>
        <w:keepNext w:val="0"/>
        <w:spacing w:before="0" w:after="24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1"/>
        </w:rPr>
        <w:t>建议MVP设置7个核心业务页面，登录、设置、帮助等属于系统页。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5.1 一级导航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导航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包含内容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工作台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当前项目、最近阅读、今日重点、待核验问题。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研究项目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项目总览、问题树、文献与案例、提纲、观点矩阵。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临时阅读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不创建项目，快速上传并分析单篇文档。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资料库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研究卡片、标签、核验状态和提纲关联。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成果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单篇报告、项目报告、导出与分享。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5.2 页面跳转关系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948"/>
        <w:gridCol w:w="3742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起点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操作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目标页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工作台</w:t>
            </w:r>
          </w:p>
        </w:tc>
        <w:tc>
          <w:tcPr>
            <w:tcW w:type="dxa" w:w="294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上传论文/裁判文书</w:t>
            </w:r>
          </w:p>
        </w:tc>
        <w:tc>
          <w:tcPr>
            <w:tcW w:type="dxa" w:w="374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上传与解析</w:t>
            </w:r>
          </w:p>
        </w:tc>
      </w:tr>
      <w:tr>
        <w:trPr>
          <w:cantSplit/>
          <w:cantSplit/>
        </w:trPr>
        <w:tc>
          <w:tcPr>
            <w:tcW w:type="dxa" w:w="238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上传与解析</w:t>
            </w:r>
          </w:p>
        </w:tc>
        <w:tc>
          <w:tcPr>
            <w:tcW w:type="dxa" w:w="294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确认并开始分析</w:t>
            </w:r>
          </w:p>
        </w:tc>
        <w:tc>
          <w:tcPr>
            <w:tcW w:type="dxa" w:w="374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文档总览后进入对应阅读器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研究项目总览</w:t>
            </w:r>
          </w:p>
        </w:tc>
        <w:tc>
          <w:tcPr>
            <w:tcW w:type="dxa" w:w="294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继续阅读</w:t>
            </w:r>
          </w:p>
        </w:tc>
        <w:tc>
          <w:tcPr>
            <w:tcW w:type="dxa" w:w="374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最近阅读的论文或裁判文书阅读器</w:t>
            </w:r>
          </w:p>
        </w:tc>
      </w:tr>
      <w:tr>
        <w:trPr>
          <w:cantSplit/>
          <w:cantSplit/>
        </w:trPr>
        <w:tc>
          <w:tcPr>
            <w:tcW w:type="dxa" w:w="238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论文/裁判阅读器</w:t>
            </w:r>
          </w:p>
        </w:tc>
        <w:tc>
          <w:tcPr>
            <w:tcW w:type="dxa" w:w="294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保存卡片</w:t>
            </w:r>
          </w:p>
        </w:tc>
        <w:tc>
          <w:tcPr>
            <w:tcW w:type="dxa" w:w="374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研究材料库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论文/裁判阅读器</w:t>
            </w:r>
          </w:p>
        </w:tc>
        <w:tc>
          <w:tcPr>
            <w:tcW w:type="dxa" w:w="294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完成阅读</w:t>
            </w:r>
          </w:p>
        </w:tc>
        <w:tc>
          <w:tcPr>
            <w:tcW w:type="dxa" w:w="374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阅读成果</w:t>
            </w:r>
          </w:p>
        </w:tc>
      </w:tr>
      <w:tr>
        <w:trPr>
          <w:cantSplit/>
          <w:cantSplit/>
        </w:trPr>
        <w:tc>
          <w:tcPr>
            <w:tcW w:type="dxa" w:w="238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材料库</w:t>
            </w:r>
          </w:p>
        </w:tc>
        <w:tc>
          <w:tcPr>
            <w:tcW w:type="dxa" w:w="294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查看原文</w:t>
            </w:r>
          </w:p>
        </w:tc>
        <w:tc>
          <w:tcPr>
            <w:tcW w:type="dxa" w:w="374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返回对应阅读器原文锚点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阅读成果</w:t>
            </w:r>
          </w:p>
        </w:tc>
        <w:tc>
          <w:tcPr>
            <w:tcW w:type="dxa" w:w="294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加入项目</w:t>
            </w:r>
          </w:p>
        </w:tc>
        <w:tc>
          <w:tcPr>
            <w:tcW w:type="dxa" w:w="374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研究项目总览/提纲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页面精简原则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用户完成主任务不应经过超过3次页面跳转。阅读器是核心工作页面，复杂分析尽量通过右侧面板和抽屉呈现，而不是持续打开新页面。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6  页面级PRD与预览</w:t>
      </w:r>
    </w:p>
    <w:p>
      <w:pPr>
        <w:keepNext w:val="0"/>
        <w:spacing w:before="0" w:after="24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1"/>
        </w:rPr>
        <w:t>以下预览为视觉与信息架构基线。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69"/>
        <w:gridCol w:w="3118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用户完成的核心任务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布局重点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工作台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继续当前研究、发现下一步动作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项目与待办聚合，避免复杂分析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上传与解析</w:t>
            </w:r>
          </w:p>
        </w:tc>
        <w:tc>
          <w:tcPr>
            <w:tcW w:type="dxa" w:w="3969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把PDF转为可校对结构化文档</w:t>
            </w:r>
          </w:p>
        </w:tc>
        <w:tc>
          <w:tcPr>
            <w:tcW w:type="dxa" w:w="311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OCR置信、目录与原页对照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研究项目总览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围绕问题组织材料和提纲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问题树、观点矩阵和材料缺口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论文辅助阅读</w:t>
            </w:r>
          </w:p>
        </w:tc>
        <w:tc>
          <w:tcPr>
            <w:tcW w:type="dxa" w:w="3969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沿论证路线精读并保存观点</w:t>
            </w:r>
          </w:p>
        </w:tc>
        <w:tc>
          <w:tcPr>
            <w:tcW w:type="dxa" w:w="311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三栏联动与三种进度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裁判文书辅助阅读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沿争点理解事实、证据和法律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裁判推理导航与规则卡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研究材料库</w:t>
            </w:r>
          </w:p>
        </w:tc>
        <w:tc>
          <w:tcPr>
            <w:tcW w:type="dxa" w:w="3969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跨文档检索并管理研究卡片</w:t>
            </w:r>
          </w:p>
        </w:tc>
        <w:tc>
          <w:tcPr>
            <w:tcW w:type="dxa" w:w="311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强筛选、原文回跳和提纲关联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阅读成果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生成可核验、可导出的结构化报告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摘要、图谱、引用和检索建议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5F8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统一视觉原则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浅色系、低饱和蓝绿为主色；原文是视觉中心；高频动作在首屏；复杂分析进入右侧面板或抽屉；同一页面不同时展示过多颜色和标签。</w:t>
            </w:r>
          </w:p>
        </w:tc>
      </w:tr>
    </w:tbl>
    <w:p>
      <w:r>
        <w:br w:type="page"/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/>
          <w:i w:val="0"/>
          <w:color w:val="182033"/>
          <w:sz w:val="36"/>
        </w:rPr>
        <w:t>页面预览｜01 工作台</w:t>
      </w:r>
    </w:p>
    <w:p>
      <w:pPr>
        <w:keepNext w:val="0"/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0"/>
        </w:rPr>
        <w:t>用户登录后的默认入口：项目、最近阅读、待办和风险集中展示。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782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作台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Noto Sans CJK SC" w:hAnsi="Noto Sans CJK SC" w:eastAsia="Noto Sans CJK SC"/>
          <w:b w:val="0"/>
          <w:i/>
          <w:color w:val="667085"/>
          <w:sz w:val="17"/>
        </w:rPr>
        <w:t>概念预览图：用于统一信息架构和视觉方向，具体文案与数据以PRD为准。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5F8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设计意图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工作台只承担“继续当前任务”和“发现下一步动作”，不在首页展示复杂研究分析。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6.1 工作台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页面目标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让用户在30秒内知道当前研究项目、最近读到哪里以及下一步最重要的动作。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核心用户</w:t>
            </w:r>
          </w:p>
        </w:tc>
        <w:tc>
          <w:tcPr>
            <w:tcW w:type="dxa" w:w="737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所有登录用户，尤其是同时维护多个研究项目的研究者。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主要入口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登录后默认进入；全局导航“工作台”。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556"/>
        <w:gridCol w:w="1247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核心内容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当前项目英雄卡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研究问题、项目进度、上传论文/裁判文书、开始精读。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功能入口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论文阅读、裁判阅读、材料库、成果四张入口卡。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最近阅读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最近3-6个文档、阅读进度、继续入口。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我的项目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项目状态、文献/笔记数、总体进度。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今日重点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用户待办或系统建议任务。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P1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待核验问题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项目内高优先级问题与材料缺口。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关键交互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点击“开始精读”默认打开最近一次阅读位置。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上传动作应先选择论文/裁判文书，再进入解析页面。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项目卡点击进入研究项目总览；最近阅读点击直接进入阅读器。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待核验问题可直接创建检索任务或关联材料。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状态与异常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无项目时展示创建项目与临时阅读引导。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无最近阅读时展示上传示例。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项目数据加载失败时保留上传和临时阅读能力。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数据与接口输入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项目列表、项目进度、最近阅读会话、待核验问题、用户待办。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页面验收标准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主要入口在首屏可见。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继续阅读定位到上次页面和节点。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首页不展示超过8个卡片模块。</w:t>
      </w:r>
    </w:p>
    <w:p>
      <w:r>
        <w:br w:type="page"/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/>
          <w:i w:val="0"/>
          <w:color w:val="182033"/>
          <w:sz w:val="36"/>
        </w:rPr>
        <w:t>页面预览｜02 上传与解析</w:t>
      </w:r>
    </w:p>
    <w:p>
      <w:pPr>
        <w:keepNext w:val="0"/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0"/>
        </w:rPr>
        <w:t>完成文件上传、OCR、目录校对和分析参数确认。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782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上传与解析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Noto Sans CJK SC" w:hAnsi="Noto Sans CJK SC" w:eastAsia="Noto Sans CJK SC"/>
          <w:b w:val="0"/>
          <w:i/>
          <w:color w:val="667085"/>
          <w:sz w:val="17"/>
        </w:rPr>
        <w:t>概念预览图：用于统一信息架构和视觉方向，具体文案与数据以PRD为准。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5F8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设计意图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解析页必须暴露低置信度内容，避免OCR错误直接污染后续论证分析。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6.2 上传与解析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页面目标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将不同质量的PDF转化为可定位、可校对的结构化文档。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核心用户</w:t>
            </w:r>
          </w:p>
        </w:tc>
        <w:tc>
          <w:tcPr>
            <w:tcW w:type="dxa" w:w="737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上传论文或裁判文书的所有用户。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主要入口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工作台上传按钮、项目新增材料、临时阅读。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556"/>
        <w:gridCol w:w="1247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核心内容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上传区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拖拽/选择文件、文档类型、页数和大小。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解析概览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文字层、OCR置信度、双栏、低置信页面、目录。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页面预览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原页图像与识别文本校对。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目录树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标题层级调整、合并、拆分、重识别。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分析设置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脚注、页码、页面范围、阅读目的。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低置信任务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列出需重识别或人工校对的页面。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P1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关键交互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原生PDF优先读取文字层，扫描PDF才进行OCR。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用户修改目录后，仅重新执行依赖目录的分析任务。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允许先分析高置信页面，低置信页面后续补齐。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点击目录节点，页面预览同步定位。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状态与异常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文件损坏：给出重新上传和本地修复建议。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密码PDF：提示用户解除密码。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解析中断：支持从失败页面继续。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超大文件：提示分卷或进入异步队列。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数据与接口输入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文件对象、页面图像、文本块、版面坐标、OCR置信度、目录树。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页面验收标准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目录节点和原页定位误差不超过一个文本块。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低置信页面可重新处理。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用户修改不会被自动分析覆盖。</w:t>
      </w:r>
    </w:p>
    <w:p>
      <w:r>
        <w:br w:type="page"/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/>
          <w:i w:val="0"/>
          <w:color w:val="182033"/>
          <w:sz w:val="36"/>
        </w:rPr>
        <w:t>页面预览｜03 研究项目总览</w:t>
      </w:r>
    </w:p>
    <w:p>
      <w:pPr>
        <w:keepNext w:val="0"/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0"/>
        </w:rPr>
        <w:t>围绕研究问题组织文献、案例、观点和写作提纲。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782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项目总览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Noto Sans CJK SC" w:hAnsi="Noto Sans CJK SC" w:eastAsia="Noto Sans CJK SC"/>
          <w:b w:val="0"/>
          <w:i/>
          <w:color w:val="667085"/>
          <w:sz w:val="17"/>
        </w:rPr>
        <w:t>概念预览图：用于统一信息架构和视觉方向，具体文案与数据以PRD为准。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5F8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设计意图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项目页不是文件夹列表，而是研究决策中心：问题、材料缺口和观点冲突优先。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6.3 研究项目总览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页面目标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让用户掌握研究问题结构、材料覆盖、观点分布和写作进度。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核心用户</w:t>
            </w:r>
          </w:p>
        </w:tc>
        <w:tc>
          <w:tcPr>
            <w:tcW w:type="dxa" w:w="737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围绕一个长期主题进行阅读和写作的硕博研究者、律师团队。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主要入口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全局导航“研究项目”、工作台项目卡。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556"/>
        <w:gridCol w:w="1247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核心内容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项目头部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核心问题、阶段、进度、继续阅读和新增材料。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研究问题树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核心问题与子问题、关联材料数量。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我的提纲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章节与节、材料覆盖情况。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观点矩阵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支持、反对和条件性观点分布。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P1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关联材料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论文、案例、规范和卡片统计。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待核验问题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证据薄弱、争议、未充分阐明。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关键交互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点击问题节点筛选相关论文、案例和卡片。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拖拽研究卡片至提纲节点。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点击观点矩阵单元格查看代表文献和观点。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项目进度由文献阅读、案例阅读、观点整理和成果产出组成。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状态与异常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问题树为空：引导用户输入核心问题。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材料不足：显示明确的缺口提示。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多个观点无法合并：允许用户手动定义命题。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数据与接口输入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项目、研究问题、提纲节点、材料关联、观点卡和进度统计。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页面验收标准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从项目页两次点击内可到达任一核心文档。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研究问题与材料可双向定位。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提纲关联操作不丢失原文来源。</w:t>
      </w:r>
    </w:p>
    <w:p>
      <w:r>
        <w:br w:type="page"/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/>
          <w:i w:val="0"/>
          <w:color w:val="182033"/>
          <w:sz w:val="36"/>
        </w:rPr>
        <w:t>页面预览｜04 论文辅助阅读</w:t>
      </w:r>
    </w:p>
    <w:p>
      <w:pPr>
        <w:keepNext w:val="0"/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0"/>
        </w:rPr>
        <w:t>核心三栏工作页：论证导航、原文阅读、当前节点分析。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782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辅助阅读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Noto Sans CJK SC" w:hAnsi="Noto Sans CJK SC" w:eastAsia="Noto Sans CJK SC"/>
          <w:b w:val="0"/>
          <w:i/>
          <w:color w:val="667085"/>
          <w:sz w:val="17"/>
        </w:rPr>
        <w:t>概念预览图：用于统一信息架构和视觉方向，具体文案与数据以PRD为准。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5F8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设计意图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作者显式目录与AI重构论证必须分开；用户可以关闭或修改AI路线。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6.4 论文辅助阅读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页面目标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帮助用户理解作者在证明什么、如何证明、当前段落承担什么功能，并将内容保存到研究项目。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核心用户</w:t>
            </w:r>
          </w:p>
        </w:tc>
        <w:tc>
          <w:tcPr>
            <w:tcW w:type="dxa" w:w="737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法学硕博、教师、研究律师。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主要入口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解析完成、项目继续阅读、材料库查看原文。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556"/>
        <w:gridCol w:w="1247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核心内容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左栏双轨导航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作者目录/AI论证导航、节点状态和论证图。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中栏原文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PDF/Markdown、搜索、缩放、标注和页码。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右栏节点分析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段落功能、观点归属、理由、材料、批判提示。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底部三进度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页面、论证、认知进度。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研究转化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保存观点卡、加入提纲、创建待核验问题。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关键交互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滚动PDF时，根据屏幕中心文本块、停留时间和上一节点切换当前论证节点。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点击论证节点跳到第一个原文锚点，并高亮所有相关锚点。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滚动经过仅标记“已经过”；已理解必须由用户确认。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用户选择文字可新建笔记、卡片或提问当前文档。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关闭AI高亮后仍保留目录、页码和个人标注。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状态与异常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节点低置信：显示“AI重构，待确认”。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同一节点非连续出现：显示“后文回访”。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节点重叠：允许用户切换候选节点。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OCR错误：原图与文本并排校对。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数据与接口输入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页面/文本块、论证节点、原文锚点、命题、论证关系、用户阅读会话。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页面验收标准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节点点击定位成功率≥95%。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当前节点同步准确率目标≥90%。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作者观点与他人观点混淆率&lt;10%。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核心结论可溯源率100%。</w:t>
      </w:r>
    </w:p>
    <w:p>
      <w:r>
        <w:br w:type="page"/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/>
          <w:i w:val="0"/>
          <w:color w:val="182033"/>
          <w:sz w:val="36"/>
        </w:rPr>
        <w:t>页面预览｜05 裁判文书辅助阅读</w:t>
      </w:r>
    </w:p>
    <w:p>
      <w:pPr>
        <w:keepNext w:val="0"/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0"/>
        </w:rPr>
        <w:t>围绕争点组织事实、证据、法律和结论。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7820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裁判文书辅助阅读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Noto Sans CJK SC" w:hAnsi="Noto Sans CJK SC" w:eastAsia="Noto Sans CJK SC"/>
          <w:b w:val="0"/>
          <w:i/>
          <w:color w:val="667085"/>
          <w:sz w:val="17"/>
        </w:rPr>
        <w:t>概念预览图：用于统一信息架构和视觉方向，具体文案与数据以PRD为准。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5F8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设计意图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必须严格区分一方主张事实、无争议事实、证据拟证明事实和法院认定事实。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6.5 裁判文书辅助阅读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页面目标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帮助用户沿法院推理路线阅读，识别决定性事实、关键证据和可复用裁判规则。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核心用户</w:t>
            </w:r>
          </w:p>
        </w:tc>
        <w:tc>
          <w:tcPr>
            <w:tcW w:type="dxa" w:w="737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律师、法务、司法人员、案例研究者。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主要入口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解析完成、研究项目案例列表、材料库案例卡。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556"/>
        <w:gridCol w:w="1247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核心内容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裁判推理导航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请求、抗辩、事实、证据、争点、规范、结果。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原文区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裁判文书原文、结构锚点和标签。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当前争点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当事人主张、法院事实、关键证据、适用法律。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事实—要件匹配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要件、事实、证据、法院判断。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P1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规则提炼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保存案例卡、提取裁判规则。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关键交互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进入“本院认为”时，右侧切换为当前争点和说理。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点击证据可定位到提交、质证和法院认证位置。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法院未明确归纳的争点必须标记为AI推断。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规则卡固定使用“事实条件—规范—要件判断—后果—例外”格式。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状态与异常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文书结构缺失：采用AI推断但保留低置信标识。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多审级合并文书：按审级分层。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隐私信息：可开启自动脱敏。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数据与接口输入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案件、当事人、请求、事实、证据、争点、法律规范、裁判结论。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页面验收标准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不将一方陈述误作法院事实。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请求与结果可逐项对应。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裁判规则均能回到法院说理原文。</w:t>
      </w:r>
    </w:p>
    <w:p>
      <w:r>
        <w:br w:type="page"/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/>
          <w:i w:val="0"/>
          <w:color w:val="182033"/>
          <w:sz w:val="36"/>
        </w:rPr>
        <w:t>页面预览｜06 研究材料库</w:t>
      </w:r>
    </w:p>
    <w:p>
      <w:pPr>
        <w:keepNext w:val="0"/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0"/>
        </w:rPr>
        <w:t>集中管理观点卡、案例卡、规范卡、引用卡和待核验项。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782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材料库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Noto Sans CJK SC" w:hAnsi="Noto Sans CJK SC" w:eastAsia="Noto Sans CJK SC"/>
          <w:b w:val="0"/>
          <w:i/>
          <w:color w:val="667085"/>
          <w:sz w:val="17"/>
        </w:rPr>
        <w:t>概念预览图：用于统一信息架构和视觉方向，具体文案与数据以PRD为准。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5F8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设计意图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材料库必须保留“为什么收藏、用于哪里、是否核验”，而不仅是摘录列表。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6.6 研究材料库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页面目标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使阅读成果能够跨文档检索、比较并进入写作提纲。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核心用户</w:t>
            </w:r>
          </w:p>
        </w:tc>
        <w:tc>
          <w:tcPr>
            <w:tcW w:type="dxa" w:w="737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建立长期专题知识库的研究者和团队。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主要入口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全局导航“资料库”、阅读器保存卡片、项目材料入口。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556"/>
        <w:gridCol w:w="1247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核心内容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全局搜索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标题、正文、来源、标签和提纲。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类型筛选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观点卡、案例卡、规范卡、引用卡、待核验。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组合筛选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项目、来源、状态、相关性、更新时间。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材料列表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摘要、类型、来源、标签、状态和提纲。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详情抽屉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原文摘录、页码、笔记、标签和操作。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批量操作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关联提纲、更新状态、导出。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P1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关键交互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查看原文返回对应阅读器及精确锚点。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卡片可同时关联多个提纲节点，但需标明用途。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引用卡必须区分直接引用与间接转述。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待核验材料完成核验后记录时间和核验人。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状态与异常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来源文档被删除：卡片保留摘要但标记原文不可用。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规范失效：状态更新为已修改/已废止。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重复卡片：提示合并而非自动覆盖。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数据与接口输入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研究卡、来源文档、原文锚点、标签、核验记录、提纲关联。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页面验收标准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任何卡片均可一键回到原文。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筛选条件可组合且可保存。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用户编辑不被AI覆盖。</w:t>
      </w:r>
    </w:p>
    <w:p>
      <w:r>
        <w:br w:type="page"/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/>
          <w:i w:val="0"/>
          <w:color w:val="182033"/>
          <w:sz w:val="36"/>
        </w:rPr>
        <w:t>页面预览｜07 阅读成果</w:t>
      </w:r>
    </w:p>
    <w:p>
      <w:pPr>
        <w:keepNext w:val="0"/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0"/>
        </w:rPr>
        <w:t>将单篇阅读结果整理为可核验、可导出的研究报告。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7820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阅读成果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Noto Sans CJK SC" w:hAnsi="Noto Sans CJK SC" w:eastAsia="Noto Sans CJK SC"/>
          <w:b w:val="0"/>
          <w:i/>
          <w:color w:val="667085"/>
          <w:sz w:val="17"/>
        </w:rPr>
        <w:t>概念预览图：用于统一信息架构和视觉方向，具体文案与数据以PRD为准。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5F8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设计意图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成果页应突出结构化结论与来源，不应成为冗长的AI文章。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6.7 阅读成果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页面目标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输出单篇文档的结构化阅读结果，并支持导出、分享和纳入项目。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核心用户</w:t>
            </w:r>
          </w:p>
        </w:tc>
        <w:tc>
          <w:tcPr>
            <w:tcW w:type="dxa" w:w="737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完成阅读或需要汇报的用户。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主要入口</w:t>
            </w:r>
          </w:p>
        </w:tc>
        <w:tc>
          <w:tcPr>
            <w:tcW w:type="dxa" w:w="737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阅读器“查看阅读报告”、全局导航“成果”。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556"/>
        <w:gridCol w:w="1247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核心内容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结构化摘要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核心问题、结论、路径、边界和待核验问题。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论证/规则图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节点关系可视化，点击回原文。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争议与观点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支持、反对、条件性观点。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P1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引用清单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可直接引用、适合转述、核验状态。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后续检索建议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检索目标、词组和检索式。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P1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导出</w:t>
            </w:r>
          </w:p>
        </w:tc>
        <w:tc>
          <w:tcPr>
            <w:tcW w:type="dxa" w:w="5556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Markdown、PDF/在线报告。</w:t>
            </w:r>
          </w:p>
        </w:tc>
        <w:tc>
          <w:tcPr>
            <w:tcW w:type="dxa" w:w="1247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关键交互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报告中的任何结论可展开全部原文依据。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点击论证图节点返回阅读器当前锚点。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导出时可选择包含个人笔记或仅包含AI分析。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在线分享默认不包含受版权保护全文。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状态与异常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分析未完成：展示已完成模块和缺失模块。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来源不足：明确显示“文中未说明”。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用户隐藏的内容不进入导出。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数据与接口输入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结构化分析结果、研究卡、阅读统计、导出配置。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82033"/>
          <w:sz w:val="23"/>
        </w:rPr>
        <w:t>页面验收标准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重要结论来源覆盖率100%。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导出的页码、标题和引用不丢失。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报告不生成无依据补全内容。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7  论文辅助阅读能力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7.1 读前分析卡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690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表面主题</w:t>
            </w:r>
          </w:p>
        </w:tc>
        <w:tc>
          <w:tcPr>
            <w:tcW w:type="dxa" w:w="669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标题和摘要直接表达的主题。</w:t>
            </w:r>
          </w:p>
        </w:tc>
      </w:tr>
      <w:tr>
        <w:trPr>
          <w:cantSplit/>
          <w:cantSplit/>
        </w:trPr>
        <w:tc>
          <w:tcPr>
            <w:tcW w:type="dxa" w:w="238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真实研究对象</w:t>
            </w:r>
          </w:p>
        </w:tc>
        <w:tc>
          <w:tcPr>
            <w:tcW w:type="dxa" w:w="669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作者实际处理的概念、规范、制度或实践现象。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核心问题</w:t>
            </w:r>
          </w:p>
        </w:tc>
        <w:tc>
          <w:tcPr>
            <w:tcW w:type="dxa" w:w="669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文章需要回答的主要法律问题。</w:t>
            </w:r>
          </w:p>
        </w:tc>
      </w:tr>
      <w:tr>
        <w:trPr>
          <w:cantSplit/>
          <w:cantSplit/>
        </w:trPr>
        <w:tc>
          <w:tcPr>
            <w:tcW w:type="dxa" w:w="238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研究范式</w:t>
            </w:r>
          </w:p>
        </w:tc>
        <w:tc>
          <w:tcPr>
            <w:tcW w:type="dxa" w:w="669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教义学、立法论、实证、比较法、法律史、法哲学等。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核心结论</w:t>
            </w:r>
          </w:p>
        </w:tc>
        <w:tc>
          <w:tcPr>
            <w:tcW w:type="dxa" w:w="669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作者明确结论与AI综合归纳分开。</w:t>
            </w:r>
          </w:p>
        </w:tc>
      </w:tr>
      <w:tr>
        <w:trPr>
          <w:cantSplit/>
          <w:cantSplit/>
        </w:trPr>
        <w:tc>
          <w:tcPr>
            <w:tcW w:type="dxa" w:w="238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分析路线</w:t>
            </w:r>
          </w:p>
        </w:tc>
        <w:tc>
          <w:tcPr>
            <w:tcW w:type="dxa" w:w="669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5-10个论证节点及相互关系。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阅读建议</w:t>
            </w:r>
          </w:p>
        </w:tc>
        <w:tc>
          <w:tcPr>
            <w:tcW w:type="dxa" w:w="669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精读、略读、需要核验的章节。</w:t>
            </w:r>
          </w:p>
        </w:tc>
      </w:tr>
      <w:tr>
        <w:trPr>
          <w:cantSplit/>
          <w:cantSplit/>
        </w:trPr>
        <w:tc>
          <w:tcPr>
            <w:tcW w:type="dxa" w:w="238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与项目相关性</w:t>
            </w:r>
          </w:p>
        </w:tc>
        <w:tc>
          <w:tcPr>
            <w:tcW w:type="dxa" w:w="6690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支持、反对、背景、方法或低相关。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7.2 论证对象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命题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核心结论、分结论、中间结论、事实/规范/价值命题。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理由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法条、体系、概念、目的、历史、后果、案例、比较法和实证理由。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推理桥梁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理由为什么能够支持结论，可能是明示或隐含。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反对意见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作者列举或AI建议检验的相反命题。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回应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作者如何排除、限制或吸收反对意见。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边界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适用条件、例外、保留和未解决问题。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7.3 研究范式决定批判标准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范式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重点检查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教义学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规范来源、解释方法、体系一致性、文义边界和例外。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立法论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价值目标、制度方案、成本收益和可操作性。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实证法学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样本、变量、编码、偏差、相关与因果。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比较法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功能对应、法域选择、制度背景和移植条件。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法律史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史料来源、历史语境和时代错置。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法哲学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价值前提、规范推理和冲突价值。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7.4 批判输出硬约束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C2413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FF0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批判卡固定格式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被检验命题 → 对应原文 → 作者依据 → 可能问题 → 替代解释/反例 → 对结论影响（推翻、限缩、补强或影响较小）。无法提供具体命题和来源时，不输出批判。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8  裁判文书辅助阅读能力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8.1 事实四分法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819"/>
        <w:gridCol w:w="2438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事实类型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界面标识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一方主张事实</w:t>
            </w:r>
          </w:p>
        </w:tc>
        <w:tc>
          <w:tcPr>
            <w:tcW w:type="dxa" w:w="481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由原告、被告或其他当事人提出，尚未被法院确认。</w:t>
            </w:r>
          </w:p>
        </w:tc>
        <w:tc>
          <w:tcPr>
            <w:tcW w:type="dxa" w:w="243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当事人颜色 + “主张”</w:t>
            </w:r>
          </w:p>
        </w:tc>
      </w:tr>
      <w:tr>
        <w:trPr>
          <w:cantSplit/>
          <w:cantSplit/>
        </w:trPr>
        <w:tc>
          <w:tcPr>
            <w:tcW w:type="dxa" w:w="181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无争议事实</w:t>
            </w:r>
          </w:p>
        </w:tc>
        <w:tc>
          <w:tcPr>
            <w:tcW w:type="dxa" w:w="481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双方承认或文书明确无争议。</w:t>
            </w:r>
          </w:p>
        </w:tc>
        <w:tc>
          <w:tcPr>
            <w:tcW w:type="dxa" w:w="243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中性色 + “无争议”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证据拟证明事实</w:t>
            </w:r>
          </w:p>
        </w:tc>
        <w:tc>
          <w:tcPr>
            <w:tcW w:type="dxa" w:w="481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某项证据的证明目的。</w:t>
            </w:r>
          </w:p>
        </w:tc>
        <w:tc>
          <w:tcPr>
            <w:tcW w:type="dxa" w:w="243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证据编号关联</w:t>
            </w:r>
          </w:p>
        </w:tc>
      </w:tr>
      <w:tr>
        <w:trPr>
          <w:cantSplit/>
          <w:cantSplit/>
        </w:trPr>
        <w:tc>
          <w:tcPr>
            <w:tcW w:type="dxa" w:w="181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法院认定事实</w:t>
            </w:r>
          </w:p>
        </w:tc>
        <w:tc>
          <w:tcPr>
            <w:tcW w:type="dxa" w:w="481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法院最终采信并作为裁判基础的事实。</w:t>
            </w:r>
          </w:p>
        </w:tc>
        <w:tc>
          <w:tcPr>
            <w:tcW w:type="dxa" w:w="243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蓝色 + “法院认定”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8.2 裁判推理结构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0B8F8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F7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标准推理链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诉讼请求 → 抗辩 → 争议事实 → 证据与认证 → 争议焦点 → 请求权基础 → 构成要件 → 事实与要件匹配 → 抗辩/免责 → 法律后果 → 裁判结果。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8.3 裁判规则卡</w:t>
      </w:r>
    </w:p>
    <w:p>
      <w:pPr>
        <w:keepNext w:val="0"/>
        <w:spacing w:before="0" w:after="100" w:line="324" w:lineRule="auto"/>
      </w:pP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固定模板：在【事实条件】下，法院依据【法律规范】，认为【构成要件】已经或未被满足，因此作出【法律后果】；其中决定性事实是【关键事实】，在【例外条件】下结论可能不同。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8.4 证据结构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提交方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原告、被告、第三人或法院调取。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证据名称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合同、照片、鉴定、聊天记录、证人证言等。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证明目的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该证据拟证明的事实。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质证意见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真实性、合法性、关联性及证明力意见。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法院认证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采信、不采信及理由。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争点关联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证据服务于哪个争议焦点和要件。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9  研究项目与研究转化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9.1 项目对象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研究主题与核心研究问题。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子问题树和用户当前初步立场。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关联论文、裁判文书和法律规范。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观点卡、案例卡、引用卡、规范卡和待核验问题。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写作提纲和材料用途。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9.2 研究卡片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649"/>
        <w:gridCol w:w="2835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卡片类型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必须字段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主要用途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观点卡</w:t>
            </w:r>
          </w:p>
        </w:tc>
        <w:tc>
          <w:tcPr>
            <w:tcW w:type="dxa" w:w="464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观点、归属、态度、理由、原文、页码、核验状态。</w:t>
            </w:r>
          </w:p>
        </w:tc>
        <w:tc>
          <w:tcPr>
            <w:tcW w:type="dxa" w:w="283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文献综述、支持/反对论证。</w:t>
            </w:r>
          </w:p>
        </w:tc>
      </w:tr>
      <w:tr>
        <w:trPr>
          <w:cantSplit/>
          <w:cantSplit/>
        </w:trPr>
        <w:tc>
          <w:tcPr>
            <w:tcW w:type="dxa" w:w="1587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案例卡</w:t>
            </w:r>
          </w:p>
        </w:tc>
        <w:tc>
          <w:tcPr>
            <w:tcW w:type="dxa" w:w="464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案号、关键事实、争点、规则、结果、区分事实。</w:t>
            </w:r>
          </w:p>
        </w:tc>
        <w:tc>
          <w:tcPr>
            <w:tcW w:type="dxa" w:w="2835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类案比较、裁判趋势。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引用卡</w:t>
            </w:r>
          </w:p>
        </w:tc>
        <w:tc>
          <w:tcPr>
            <w:tcW w:type="dxa" w:w="464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原文、页码、直接引用/转述、拟用章节、核验状态。</w:t>
            </w:r>
          </w:p>
        </w:tc>
        <w:tc>
          <w:tcPr>
            <w:tcW w:type="dxa" w:w="283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写作引用。</w:t>
            </w:r>
          </w:p>
        </w:tc>
      </w:tr>
      <w:tr>
        <w:trPr>
          <w:cantSplit/>
          <w:cantSplit/>
        </w:trPr>
        <w:tc>
          <w:tcPr>
            <w:tcW w:type="dxa" w:w="1587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规范卡</w:t>
            </w:r>
          </w:p>
        </w:tc>
        <w:tc>
          <w:tcPr>
            <w:tcW w:type="dxa" w:w="464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法条、效力、解释、案例适用、争议。</w:t>
            </w:r>
          </w:p>
        </w:tc>
        <w:tc>
          <w:tcPr>
            <w:tcW w:type="dxa" w:w="2835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规范分析。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问题卡</w:t>
            </w:r>
          </w:p>
        </w:tc>
        <w:tc>
          <w:tcPr>
            <w:tcW w:type="dxa" w:w="464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问题来源、材料缺口、检索方向、状态。</w:t>
            </w:r>
          </w:p>
        </w:tc>
        <w:tc>
          <w:tcPr>
            <w:tcW w:type="dxa" w:w="283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后续研究。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9.3 提纲联动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卡片可以拖入一个或多个提纲节点。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每次关联必须选择用途：支持、反对、背景、案例、定义或待讨论。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显示是否已核验、是否已写入正文、是否存在相反材料。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提纲节点可显示材料覆盖度和明显缺口。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9.4 项目级观点矩阵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1871"/>
        <w:gridCol w:w="1871"/>
        <w:gridCol w:w="1814"/>
        <w:gridCol w:w="1417"/>
      </w:tblGrid>
      <w:tr>
        <w:trPr>
          <w:tblHeader w:val="true"/>
          <w:cantSplit/>
        </w:trPr>
        <w:tc>
          <w:tcPr>
            <w:tcW w:type="dxa" w:w="199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争议命题</w:t>
            </w:r>
          </w:p>
        </w:tc>
        <w:tc>
          <w:tcPr>
            <w:tcW w:type="dxa" w:w="199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支持观点</w:t>
            </w:r>
          </w:p>
        </w:tc>
        <w:tc>
          <w:tcPr>
            <w:tcW w:type="dxa" w:w="199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反对观点</w:t>
            </w:r>
          </w:p>
        </w:tc>
        <w:tc>
          <w:tcPr>
            <w:tcW w:type="dxa" w:w="199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条件性观点</w:t>
            </w:r>
          </w:p>
        </w:tc>
        <w:tc>
          <w:tcPr>
            <w:tcW w:type="dxa" w:w="199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未解决问题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示例：算法控制是否构成人格从属性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强调监督、评价、惩戒功能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强调上线自由、可拒单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达到实质控制强度时认定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控制强度的可操作指标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10  多轴标注与信息展示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10.1 后台标注轴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标注轴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篇章功能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问题提出、概念界定、学说梳理、规范分析、作者方案。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命题归属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作者、其他学者、法院、立法机关。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作者态度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赞同、中立转述、有保留、批判。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论证角色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核心结论、理由、反对、回应、限定、例外。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法律方法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文义、体系、目的、历史、类推、衡量、类型化。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材料类型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法条、案例、文献、比较法、数据、政策、历史材料。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命题性质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实然、应然、事实、规范、价值、因果、假设。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研究用途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引用、综述、支持、反对、案例、待核验、提纲。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10.2 前台渐进式展示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显示内容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原文默认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材料类型背景色、篇章功能细线、重要论证角色标签。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悬停/点击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观点归属、作者态度、简要解释、来源。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右侧面板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完整标签、论证关系、批判提示、研究用途。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高级模式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展示所有标签并允许批量校正。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D9770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FF4E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视觉规则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不要让一句话同时显示七种颜色。颜色只承担材料类型；结构功能使用左侧细线；论证角色使用小标签；AI推断使用虚线或专门图标。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11  核心用户流程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11.1 论文精读流程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创建或选择研究项目，输入核心问题和阅读目的。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上传论文，完成OCR、目录和脚注校对。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查看读前分析卡，决定精读/略读章节。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进入三栏阅读器，PDF滚动与论证导航同步。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确认、修改或隐藏AI节点和标注。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在节点结束时标记已理解、存疑或不同意。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保存观点、引用、反对意见或待核验问题。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关联到提纲，生成结构化阅读报告和后续检索任务。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11.2 裁判文书流程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上传裁判文书并校对案件结构。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查看案情、请求、核心争点和裁判结果总览。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沿裁判推理导航阅读主张、事实、证据、法律和说理。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确认争点、关键事实及证据关联。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保存案例卡，提取裁判规则和关键区分事实。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关联研究问题或与其他案例比较。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11.3 临时阅读流程</w:t>
      </w:r>
    </w:p>
    <w:p>
      <w:pPr>
        <w:keepNext w:val="0"/>
        <w:spacing w:before="0" w:after="100" w:line="324" w:lineRule="auto"/>
      </w:pP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临时阅读不要求创建项目。用户上传文档后可直接获得总览和阅读器；当用户首次保存卡片或加入提纲时，再引导创建或选择研究项目。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12  状态、权限与异常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12.1 文档任务状态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402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允许操作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已上传</w:t>
            </w:r>
          </w:p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文件已保存，尚未解析。</w:t>
            </w:r>
          </w:p>
        </w:tc>
        <w:tc>
          <w:tcPr>
            <w:tcW w:type="dxa" w:w="34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删除、开始解析。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解析中</w:t>
            </w:r>
          </w:p>
        </w:tc>
        <w:tc>
          <w:tcPr>
            <w:tcW w:type="dxa" w:w="39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提取文字、版面和目录。</w:t>
            </w:r>
          </w:p>
        </w:tc>
        <w:tc>
          <w:tcPr>
            <w:tcW w:type="dxa" w:w="340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查看进度、取消。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待校对</w:t>
            </w:r>
          </w:p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存在低置信页面或目录问题。</w:t>
            </w:r>
          </w:p>
        </w:tc>
        <w:tc>
          <w:tcPr>
            <w:tcW w:type="dxa" w:w="34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校对、局部重识别。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分析中</w:t>
            </w:r>
          </w:p>
        </w:tc>
        <w:tc>
          <w:tcPr>
            <w:tcW w:type="dxa" w:w="39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生成结构、节点和标签。</w:t>
            </w:r>
          </w:p>
        </w:tc>
        <w:tc>
          <w:tcPr>
            <w:tcW w:type="dxa" w:w="340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先阅读已完成章节。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可阅读</w:t>
            </w:r>
          </w:p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核心分析完成。</w:t>
            </w:r>
          </w:p>
        </w:tc>
        <w:tc>
          <w:tcPr>
            <w:tcW w:type="dxa" w:w="34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进入阅读器。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分析失败</w:t>
            </w:r>
          </w:p>
        </w:tc>
        <w:tc>
          <w:tcPr>
            <w:tcW w:type="dxa" w:w="39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部分或全部任务失败。</w:t>
            </w:r>
          </w:p>
        </w:tc>
        <w:tc>
          <w:tcPr>
            <w:tcW w:type="dxa" w:w="340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查看错误、重试。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12.2 阅读节点状态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5669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未读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系统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尚未进入节点区域。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已经过</w:t>
            </w:r>
          </w:p>
        </w:tc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自动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滚动经过，但未确认阅读。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已阅读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用户/行为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有有效停留或交互。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已理解</w:t>
            </w:r>
          </w:p>
        </w:tc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用户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用户明确确认。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存疑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用户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需要核验或进一步阅读。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不同意</w:t>
            </w:r>
          </w:p>
        </w:tc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用户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用户形成反对判断。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已纳入研究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用户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已保存卡片或关联提纲。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12.3 权限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MVP默认个人空间，文档仅本人可见。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在线分享仅分享报告，不默认分享原PDF全文。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团队协作和角色权限进入P2。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用户删除文档时应说明卡片与报告的处理方式。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13  文档解析与原文锚定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13.1 底层结构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正确架构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原始PDF → 文本提取/OCR → 页面与版面分析 → 结构化文档JSON → PDF视觉层 + Markdown阅读层 + 标注层。Markdown是展示和导出格式，不是唯一底稿。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13.2 文本块字段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block_id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稳定标识文本块。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page / bbox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PDF页码和页面坐标。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reading_order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双栏和复杂版面的阅读顺序。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section_path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所在目录路径。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block_type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标题、正文、脚注、表格、页眉页脚等。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text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标准化文本。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ocr_confidence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识别置信度。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footnote_refs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正文与脚注关联。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13.3 多重锚定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页码和页面坐标。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文本块编号及字符起止位置。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被标注的精确原文。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前后文，用于文本修正后的重新定位。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文档版本和OCR版本。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13.4 法律文档OCR后处理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法条名称和中文条号。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案号、文件编号和裁判金额。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脚注编号、书名号和引号。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作者、刊名、法院名称。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英文、德文、日文和拉丁文术语。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14  AI分析流水线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输入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输出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1 文档解析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PDF页面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结构化文本块、目录、脚注、参考文献。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2 文档分类</w:t>
            </w:r>
          </w:p>
        </w:tc>
        <w:tc>
          <w:tcPr>
            <w:tcW w:type="dxa" w:w="28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全文和元数据</w:t>
            </w:r>
          </w:p>
        </w:tc>
        <w:tc>
          <w:tcPr>
            <w:tcW w:type="dxa" w:w="45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论文/裁判文书、研究范式/文书类型。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3 篇章识别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章节和段落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论文功能段或裁判结构段。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4 命题切分</w:t>
            </w:r>
          </w:p>
        </w:tc>
        <w:tc>
          <w:tcPr>
            <w:tcW w:type="dxa" w:w="28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句子/段落</w:t>
            </w:r>
          </w:p>
        </w:tc>
        <w:tc>
          <w:tcPr>
            <w:tcW w:type="dxa" w:w="45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可独立判断的命题。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5 归属与态度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命题和上下文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作者/他人/法院，赞同/批判/中立。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6 角色分类</w:t>
            </w:r>
          </w:p>
        </w:tc>
        <w:tc>
          <w:tcPr>
            <w:tcW w:type="dxa" w:w="28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命题集合</w:t>
            </w:r>
          </w:p>
        </w:tc>
        <w:tc>
          <w:tcPr>
            <w:tcW w:type="dxa" w:w="45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结论、理由、反对、回应、限定。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7 关系抽取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命题与来源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支持、反对、补强、例外、事实—要件。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8 文档级组装</w:t>
            </w:r>
          </w:p>
        </w:tc>
        <w:tc>
          <w:tcPr>
            <w:tcW w:type="dxa" w:w="28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关系图</w:t>
            </w:r>
          </w:p>
        </w:tc>
        <w:tc>
          <w:tcPr>
            <w:tcW w:type="dxa" w:w="45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论证主线/裁判推理图、跨章节关系。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9 项目相关性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用户研究问题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支持、反对、背景、方法或低相关。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10 核验器</w:t>
            </w:r>
          </w:p>
        </w:tc>
        <w:tc>
          <w:tcPr>
            <w:tcW w:type="dxa" w:w="28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全部输出</w:t>
            </w:r>
          </w:p>
        </w:tc>
        <w:tc>
          <w:tcPr>
            <w:tcW w:type="dxa" w:w="45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来源覆盖、越界概括、低置信提示。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14.1 模型策略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0B8F8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F7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建议组合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确定性规则 + 版面/结构模型 + 小型分类器 + 大模型结构化抽取 + 图谱组装规则 + 核验模型 + 用户确认。首版不应依赖一个长Prompt一次生成所有结果。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14.2 分析粒度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篇章层：章节和段落功能。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命题层：一句中可拆分多个独立命题。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关系层：支持、反对、限定、例外等。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文档层：核心问题、主线和结论边界。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项目层：与用户问题、提纲和既有观点的关系。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15  可信度与法律专业控制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15.1 三类内容标识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402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界面规则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原文明示</w:t>
            </w:r>
          </w:p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作者或法院直接写明。</w:t>
            </w:r>
          </w:p>
        </w:tc>
        <w:tc>
          <w:tcPr>
            <w:tcW w:type="dxa" w:w="34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实线、最高可信权重。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AI归纳</w:t>
            </w:r>
          </w:p>
        </w:tc>
        <w:tc>
          <w:tcPr>
            <w:tcW w:type="dxa" w:w="39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由一处或多处原文概括。</w:t>
            </w:r>
          </w:p>
        </w:tc>
        <w:tc>
          <w:tcPr>
            <w:tcW w:type="dxa" w:w="340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显示全部依据入口。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AI推断</w:t>
            </w:r>
          </w:p>
        </w:tc>
        <w:tc>
          <w:tcPr>
            <w:tcW w:type="dxa" w:w="39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隐含前提、潜在反例、未明确争点。</w:t>
            </w:r>
          </w:p>
        </w:tc>
        <w:tc>
          <w:tcPr>
            <w:tcW w:type="dxa" w:w="34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虚线/专门图标，默认低权重。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15.2 无来源不输出</w:t>
      </w:r>
    </w:p>
    <w:p>
      <w:pPr>
        <w:keepNext w:val="0"/>
        <w:spacing w:before="0" w:after="100" w:line="324" w:lineRule="auto"/>
      </w:pP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核心问题、核心结论、论证节点、裁判规则和批判意见均必须绑定原文。找不到依据时显示“文中未明确说明”，不得自行补全。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15.3 用户修改优先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用户修改的OCR文本、目录、标签、观点归属和节点不被重新分析覆盖。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重分析时显示差异并请求用户选择。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人工确认结果用于评估，但未经明确授权不用于训练。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15.4 隐私与版权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用户文件默认私有并加密存储。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支持主动删除和保存期限设置。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裁判材料支持姓名、地址、联系方式等脱敏。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不建立跨用户全文共享库。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分享报告默认不包含原PDF全文。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16  数据模型与接口建议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16.1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实体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核心字段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Document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id、类型、标题、作者/法院、原文件、页数、版本、解析状态。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Page</w:t>
            </w:r>
          </w:p>
        </w:tc>
        <w:tc>
          <w:tcPr>
            <w:tcW w:type="dxa" w:w="6803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页码、尺寸、图像、文字层、OCR状态。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Block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页码、坐标、阅读顺序、类型、文本、置信度。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Annotation</w:t>
            </w:r>
          </w:p>
        </w:tc>
        <w:tc>
          <w:tcPr>
            <w:tcW w:type="dxa" w:w="6803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原文范围、标注轴、标签、来源、置信度、用户状态。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Proposition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命题、归属、态度、性质、原文范围。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ArgumentNode</w:t>
            </w:r>
          </w:p>
        </w:tc>
        <w:tc>
          <w:tcPr>
            <w:tcW w:type="dxa" w:w="6803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标题、摘要、类型、父子关系、锚点、顺序、置信度。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ArgumentRelation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源节点、目标节点、关系类型、证据。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ResearchProject</w:t>
            </w:r>
          </w:p>
        </w:tc>
        <w:tc>
          <w:tcPr>
            <w:tcW w:type="dxa" w:w="6803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研究问题、当前立场、文档、卡片、提纲。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ResearchCard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类型、内容、来源、页码、用途、核验状态。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ReadingSession</w:t>
            </w:r>
          </w:p>
        </w:tc>
        <w:tc>
          <w:tcPr>
            <w:tcW w:type="dxa" w:w="6803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当前页、当前块、当前节点、滚动位置、时间。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NodeProgress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状态、首次进入、停留时间、用户确认。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16.2 MVP接口建议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接口组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示例能力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文件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上传、分片、状态、删除、版本。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解析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开始解析、局部重识别、目录更新、进度查询。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分析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论文分析、判决分析、节点更新、重新分析。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阅读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获取页面、文本块、标注、阅读会话和节点进度。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项目、问题树、提纲、卡片和关联。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成果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报告生成、导出、分享配置。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17  技术架构与性能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17.1 推荐架构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建议职责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前端Web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PDF渲染、文字层、标注层、三栏布局、同步导航、卡片操作。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文件服务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上传、对象存储、版本和访问控制。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解析服务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原生文本提取、OCR、版面、目录、脚注。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AI任务服务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命题、关系、节点、报告和核验。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任务队列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长文档异步处理、失败重试、分阶段结果。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数据层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关系数据库 + 对象存储；向量能力可用数据库扩展起步。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17.2 前端关键点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PDF视觉层、文字层、AI/用户标注层相互独立。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虚拟滚动和按页加载，避免长文档卡顿。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通过可视文本块、中心权重、停留时间和滚动方向计算当前节点。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快速滚动期间暂停频繁节点切换。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页面、节点和卡片间使用稳定锚点跳转。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17.3 性能目标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内部目标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文档规模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稳定处理100页以内文档；更长文档进入异步队列。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首屏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阅读器先显示第一页和基础目录，不等待全部AI分析。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懒加载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页面图像、文本块和标注按可视范围加载。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局部重算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OCR或目录局部修改仅重算受影响章节。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容错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单页失败不阻断全篇，支持从失败点继续。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18  指标、测试与验收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18.1 北极星指标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每周完成研究转化闭环的文档数量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闭环定义：查看读前分析 → 阅读至少一半核心节点 → 确认或修改至少3项分析 → 保存至少1张研究卡 → 关联项目或提纲。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18.2 Go / No-Go指标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268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定位</w:t>
            </w:r>
          </w:p>
        </w:tc>
        <w:tc>
          <w:tcPr>
            <w:tcW w:type="dxa" w:w="51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Markdown/节点跳转到正确PDF位置</w:t>
            </w:r>
          </w:p>
        </w:tc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≥95%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论文</w:t>
            </w:r>
          </w:p>
        </w:tc>
        <w:tc>
          <w:tcPr>
            <w:tcW w:type="dxa" w:w="510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核心问题/核心结论专家认可率</w:t>
            </w:r>
          </w:p>
        </w:tc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≥85%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论文</w:t>
            </w:r>
          </w:p>
        </w:tc>
        <w:tc>
          <w:tcPr>
            <w:tcW w:type="dxa" w:w="51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主要论证节点覆盖率</w:t>
            </w:r>
          </w:p>
        </w:tc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≥80%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归属</w:t>
            </w:r>
          </w:p>
        </w:tc>
        <w:tc>
          <w:tcPr>
            <w:tcW w:type="dxa" w:w="510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作者与他人观点混淆率</w:t>
            </w:r>
          </w:p>
        </w:tc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&lt;10%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导航</w:t>
            </w:r>
          </w:p>
        </w:tc>
        <w:tc>
          <w:tcPr>
            <w:tcW w:type="dxa" w:w="51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当前节点同步准确率</w:t>
            </w:r>
          </w:p>
        </w:tc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≥90%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可信</w:t>
            </w:r>
          </w:p>
        </w:tc>
        <w:tc>
          <w:tcPr>
            <w:tcW w:type="dxa" w:w="510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核心结论可溯源率</w:t>
            </w:r>
          </w:p>
        </w:tc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100%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可信</w:t>
            </w:r>
          </w:p>
        </w:tc>
        <w:tc>
          <w:tcPr>
            <w:tcW w:type="dxa" w:w="51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严重无依据生成率</w:t>
            </w:r>
          </w:p>
        </w:tc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&lt;1%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用户</w:t>
            </w:r>
          </w:p>
        </w:tc>
        <w:tc>
          <w:tcPr>
            <w:tcW w:type="dxa" w:w="5102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封闭测试用户愿意再次使用</w:t>
            </w:r>
          </w:p>
        </w:tc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≥60%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研究转化</w:t>
            </w:r>
          </w:p>
        </w:tc>
        <w:tc>
          <w:tcPr>
            <w:tcW w:type="dxa" w:w="5102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用户保存卡片或关联提纲</w:t>
            </w:r>
          </w:p>
        </w:tc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≥50%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18.3 测试集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至少30篇中文法学论文，覆盖教义学、比较法、实证和立法论。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至少30份裁判文书，覆盖一审、二审及不同案由。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原生PDF、扫描件、双栏、脚注密集文档均需覆盖。</w:t>
      </w:r>
    </w:p>
    <w:p>
      <w:pPr>
        <w:keepNext w:val="0"/>
        <w:spacing w:before="0" w:after="50" w:line="307" w:lineRule="auto"/>
        <w:ind w:left="312" w:hanging="198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两名法律标注员独立标注，争议由第三名高水平人员复核。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18.4 用户任务测试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准确说出论文真实问题或案件核心争点。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还原主要论证/裁判推理路线。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找到关键依据、事实或证据。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指出一个具体且有影响的薄弱点或区分事实。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将至少一项材料保存到自己的研究项目。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19  开发路线与团队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19.1 阶段计划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5669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周期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交付物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技术原型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4-6周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上传、解析、原文双向定位、5-10个节点、滚动同步。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封闭测试版</w:t>
            </w:r>
          </w:p>
        </w:tc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6-10周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论文阅读器、裁判阅读器、研究卡片、基础项目。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可用MVP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3-5个月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7个核心页面、成果导出、质量评估和安全能力。</w:t>
            </w:r>
          </w:p>
        </w:tc>
      </w:tr>
      <w:tr>
        <w:trPr>
          <w:cantSplit/>
          <w:cantSplit/>
        </w:trPr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商业化增强</w:t>
            </w:r>
          </w:p>
        </w:tc>
        <w:tc>
          <w:tcPr>
            <w:tcW w:type="dxa" w:w="1701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6个月后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多文档综合、数据库接入、协作和专项规则包。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19.2 最小团队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5669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人数建议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产品/法律产品</w:t>
            </w:r>
          </w:p>
        </w:tc>
        <w:tc>
          <w:tcPr>
            <w:tcW w:type="dxa" w:w="141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1-2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产品范围、页面PRD、法律分析规则。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UI/UX</w:t>
            </w:r>
          </w:p>
        </w:tc>
        <w:tc>
          <w:tcPr>
            <w:tcW w:type="dxa" w:w="1417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1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三栏阅读器、信息层级和设计系统。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前端</w:t>
            </w:r>
          </w:p>
        </w:tc>
        <w:tc>
          <w:tcPr>
            <w:tcW w:type="dxa" w:w="141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1-2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PDF、标注、导航、项目和材料库。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后端</w:t>
            </w:r>
          </w:p>
        </w:tc>
        <w:tc>
          <w:tcPr>
            <w:tcW w:type="dxa" w:w="1417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1-2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文件、任务、数据、导出和权限。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AI/NLP</w:t>
            </w:r>
          </w:p>
        </w:tc>
        <w:tc>
          <w:tcPr>
            <w:tcW w:type="dxa" w:w="141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1-2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结构抽取、论证关系、核验和评估。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法律专家/标注</w:t>
            </w:r>
          </w:p>
        </w:tc>
        <w:tc>
          <w:tcPr>
            <w:tcW w:type="dxa" w:w="1417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2-4兼职或全职</w:t>
            </w:r>
          </w:p>
        </w:tc>
        <w:tc>
          <w:tcPr>
            <w:tcW w:type="dxa" w:w="5669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金标准、错误分析和专业验收。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测试/运维</w:t>
            </w:r>
          </w:p>
        </w:tc>
        <w:tc>
          <w:tcPr>
            <w:tcW w:type="dxa" w:w="141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1</w:t>
            </w:r>
          </w:p>
        </w:tc>
        <w:tc>
          <w:tcPr>
            <w:tcW w:type="dxa" w:w="5669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自动化测试、性能和上线保障。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19.3 首个原型只做什么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一篇论文和一份裁判文书的上传与解析。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PDF与Markdown双向定位。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论文5-10个论证节点、判决基础推理节点。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PDF滚动与节点同步。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用户修改节点并保存观点/案例卡。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20  主要风险与产品决策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4252"/>
      </w:tblGrid>
      <w:tr>
        <w:trPr>
          <w:tblHeader w:val="true"/>
          <w:cantSplit/>
        </w:trPr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3324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控制措施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OCR链式错误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污染命题、节点和报告。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低置信校对、局部重识别、原图对照。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导航退化为目录</w:t>
            </w:r>
          </w:p>
        </w:tc>
        <w:tc>
          <w:tcPr>
            <w:tcW w:type="dxa" w:w="28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缺乏真正差异化。</w:t>
            </w:r>
          </w:p>
        </w:tc>
        <w:tc>
          <w:tcPr>
            <w:tcW w:type="dxa" w:w="4252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有效节点必须包含命题、功能、关系和原文锚点。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AI路线误导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用户把重构当成唯一解释。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作者目录与AI路线分开，允许关闭和修改。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信息过载</w:t>
            </w:r>
          </w:p>
        </w:tc>
        <w:tc>
          <w:tcPr>
            <w:tcW w:type="dxa" w:w="28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原文难以阅读。</w:t>
            </w:r>
          </w:p>
        </w:tc>
        <w:tc>
          <w:tcPr>
            <w:tcW w:type="dxa" w:w="4252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渐进展示、阅读模式、默认少标签。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模板化批判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看似专业但无价值。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强制绑定命题、依据、替代解释和影响。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虚假进度</w:t>
            </w:r>
          </w:p>
        </w:tc>
        <w:tc>
          <w:tcPr>
            <w:tcW w:type="dxa" w:w="28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滚动被误认为理解。</w:t>
            </w:r>
          </w:p>
        </w:tc>
        <w:tc>
          <w:tcPr>
            <w:tcW w:type="dxa" w:w="4252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位置、推理、认知三进度分离。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版权/隐私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法律和商业风险。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私有存储、不共享全文、脱敏、可删除。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范围失控</w:t>
            </w:r>
          </w:p>
        </w:tc>
        <w:tc>
          <w:tcPr>
            <w:tcW w:type="dxa" w:w="2835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MVP无法按期完成。</w:t>
            </w:r>
          </w:p>
        </w:tc>
        <w:tc>
          <w:tcPr>
            <w:tcW w:type="dxa" w:w="4252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7"/>
              </w:rPr>
              <w:t>P0聚焦单篇阅读闭环，P1/P2严格后置。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20.1 当前需立即决策的事项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首个验证场景优先选择论文还是裁判文书，或以一篇论文+一份判决双样本验证。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原型阶段采用哪套OCR和版面解析组合，并建立中文法学测试集。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论文论证节点由AI全自动生成，还是引导用户用一键确认方式快速校正。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MVP是否支持项目级提纲拖拽，还是先仅支持“关联提纲节点”。</w:t>
      </w:r>
    </w:p>
    <w:p>
      <w:pPr>
        <w:keepNext w:val="0"/>
        <w:spacing w:before="0" w:after="60" w:line="312" w:lineRule="auto"/>
        <w:ind w:left="397" w:hanging="312"/>
      </w:pPr>
      <w:r>
        <w:rPr>
          <w:rFonts w:ascii="Noto Sans CJK SC" w:hAnsi="Noto Sans CJK SC" w:eastAsia="Noto Sans CJK SC"/>
          <w:b/>
          <w:i w:val="0"/>
          <w:color w:val="245BDB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用户文档的保存期限、第三方模型调用和本地部署路线。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0B8F8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F7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最终产品判断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项目技术上可行，桌面网站是最合适的首发形态。真正决定成败的不是OCR或摘要，而是论证/裁判推理导航能否准确、稳定、可核验，并帮助用户形成可复用研究材料。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附录A  标签字典（MVP默认）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A.1 论文默认标签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标签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篇章功能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问题提出、概念界定、学说梳理、规范分析、作者方案、案例检验、结论。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观点归属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作者观点、他人观点、法院观点、直接引用、批判性转述。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论证角色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核心结论、理由、反对意见、回应、限定条件。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材料类型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法律规范、案例、学术文献、比较法材料。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命题性质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实然、应然、假设推演。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82033"/>
          <w:sz w:val="28"/>
        </w:rPr>
        <w:t>A.2 裁判文书默认标签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标签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程序与主张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诉讼请求、答辩、程序争议。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事实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一方主张、无争议、法院认定、关键事实。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证据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证据、证明目的、质证、采信、不采信。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法律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请求权基础、法律规范、构成要件、免责/减责。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说理与结果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争议焦点、法院理由、裁量因素、裁判结果。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附录B  核心数据状态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4986"/>
            <w:shd w:fill="245BD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bottom w:val="single" w:sz="6" w:color="245BDB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核验状态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未核验、已核验、存疑、来源缺失、已修改/已废止。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观点关系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支持用户观点、反对、条件性、背景、方法、低相关。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卡片使用状态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未使用、已关联提纲、已写入正文、已弃用。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AI置信度</w:t>
            </w:r>
          </w:p>
        </w:tc>
        <w:tc>
          <w:tcPr>
            <w:tcW w:type="dxa" w:w="6803"/>
            <w:shd w:fill="FAFBFD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高、中、低；低置信必须显示来源和校正入口。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报告版本</w:t>
            </w:r>
          </w:p>
        </w:tc>
        <w:tc>
          <w:tcPr>
            <w:tcW w:type="dxa" w:w="680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tcBorders>
              <w:bottom w:val="single" w:sz="3" w:color="E6EAF0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18"/>
              </w:rPr>
              <w:t>草稿、用户已确认、已导出、已归档。</w:t>
            </w:r>
          </w:p>
        </w:tc>
      </w:tr>
    </w:tbl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附录C  MVP上线清单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原生PDF、扫描PDF和双栏PDF均可进入校对流程。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PDF与Markdown双向跳转达到验收标准。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作者目录和AI论证路线明确分开。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页面、论证和认知三种进度均已实现。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用户可以修改节点、标签和OCR文本。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所有核心结论具有原文来源。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裁判文书不混淆一方主张和法院认定事实。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卡片可以返回原文并关联研究项目。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用户可以删除文档，分享报告不默认包含全文。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i w:val="0"/>
          <w:color w:val="245BDB"/>
          <w:sz w:val="22"/>
        </w:rPr>
        <w:t xml:space="preserve">□  </w:t>
      </w:r>
      <w:r>
        <w:rPr>
          <w:rFonts w:ascii="Noto Sans CJK SC" w:hAnsi="Noto Sans CJK SC" w:eastAsia="Noto Sans CJK SC"/>
          <w:b w:val="0"/>
          <w:i w:val="0"/>
          <w:color w:val="182033"/>
          <w:sz w:val="20"/>
        </w:rPr>
        <w:t>质量测试集、错误分级和Go/No-Go评审已完成。</w:t>
      </w:r>
    </w:p>
    <w:p>
      <w:pPr>
        <w:pStyle w:val="Heading1"/>
        <w:keepNext/>
        <w:pageBreakBefore w:val="0"/>
        <w:spacing w:before="0" w:after="160"/>
      </w:pPr>
      <w:r>
        <w:rPr>
          <w:rFonts w:ascii="Noto Sans CJK SC" w:hAnsi="Noto Sans CJK SC" w:eastAsia="Noto Sans CJK SC"/>
          <w:b/>
          <w:color w:val="182033"/>
          <w:sz w:val="40"/>
        </w:rPr>
        <w:t>结语  产品基线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8ECF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01"/>
      </w:tblGrid>
      <w:tr>
        <w:trPr>
          <w:cantSplit/>
        </w:trPr>
        <w:tc>
          <w:tcPr>
            <w:tcW w:type="dxa" w:w="4986"/>
            <w:shd w:fill="245BD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2033"/>
                <w:sz w:val="22"/>
              </w:rPr>
              <w:t>LexRead MVP的判断标准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82033"/>
                <w:sz w:val="20"/>
              </w:rPr>
              <w:t>用户在阅读任何一段论文或裁判文书时，都能知道：这是谁的观点或事实，这一段在整体推理中做什么，它支持什么、依赖什么、存在哪些边界，以及如何转化为自己的研究材料。</w:t>
            </w:r>
          </w:p>
        </w:tc>
      </w:tr>
    </w:tbl>
    <w:p>
      <w:pPr>
        <w:keepNext w:val="0"/>
        <w:spacing w:before="0" w:after="100" w:line="324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0"/>
        </w:rPr>
        <w:t>本手册已覆盖产品目标、页面结构、交互规则、专业分析模型、数据和AI架构、测试验收及开发路线。下一阶段应以本手册为基线制作可点击低保真原型，并同步启动PDF定位与论证导航的技术验证。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pPr>
            <w:jc w:val="left"/>
          </w:pPr>
          <w:r>
            <w:rPr>
              <w:rFonts w:ascii="Noto Sans CJK SC" w:hAnsi="Noto Sans CJK SC" w:eastAsia="Noto Sans CJK SC"/>
              <w:b w:val="0"/>
              <w:i w:val="0"/>
              <w:color w:val="667085"/>
              <w:sz w:val="16"/>
            </w:rPr>
            <w:t>内部产品与实施手册</w:t>
          </w:r>
        </w:p>
      </w:tc>
      <w:tc>
        <w:tcPr>
          <w:tcW w:type="dxa" w:w="3213"/>
        </w:tcPr>
        <w:p>
          <w:pPr>
            <w:jc w:val="center"/>
          </w:pPr>
          <w:r>
            <w:fldChar w:fldCharType="begin"/>
            <w:instrText xml:space="preserve">PAGE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rFonts w:ascii="Noto Sans CJK SC" w:hAnsi="Noto Sans CJK SC" w:eastAsia="Noto Sans CJK SC"/>
              <w:b w:val="0"/>
              <w:i w:val="0"/>
              <w:color w:val="667085"/>
              <w:sz w:val="16"/>
            </w:rPr>
            <w:t>2026-07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7085"/>
        <w:sz w:val="17"/>
      </w:rPr>
      <w:t>LexRead｜法学智能阅读助手 MVP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Noto Sans CJK SC" w:hAnsi="Noto Sans CJK SC" w:eastAsia="Noto Sans CJK SC"/>
      <w:color w:val="18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0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18203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