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Arial Unicode MS" w:hAnsi="Arial Unicode MS" w:eastAsia="Arial Unicode MS" w:cs="Arial Unicode MS"/>
          <w:color w:val="666666"/>
          <w:sz w:val="32"/>
        </w:rPr>
        <w:t>《法律检索》课程作业</w:t>
      </w:r>
    </w:p>
    <w:p>
      <w:pPr>
        <w:spacing w:after="240"/>
        <w:jc w:val="center"/>
      </w:pPr>
      <w:r>
        <w:rPr>
          <w:rFonts w:ascii="Arial Unicode MS" w:hAnsi="Arial Unicode MS" w:eastAsia="Arial Unicode MS" w:cs="Arial Unicode MS"/>
          <w:b/>
          <w:color w:val="17365D"/>
          <w:sz w:val="50"/>
        </w:rPr>
        <w:t>LexRead 法学智能阅读与</w:t>
        <w:br/>
        <w:t>研究检索工作台</w:t>
      </w:r>
    </w:p>
    <w:p>
      <w:pPr>
        <w:spacing w:after="680"/>
        <w:jc w:val="center"/>
      </w:pPr>
      <w:r>
        <w:rPr>
          <w:rFonts w:ascii="Arial Unicode MS" w:hAnsi="Arial Unicode MS" w:eastAsia="Arial Unicode MS" w:cs="Arial Unicode MS"/>
          <w:color w:val="2E74B5"/>
          <w:sz w:val="32"/>
        </w:rPr>
        <w:t>产品需求文档（PRD）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课程名称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sz w:val="20"/>
              </w:rPr>
              <w:t>法律检索（请填写）</w:t>
            </w:r>
          </w:p>
        </w:tc>
      </w:tr>
      <w:t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任课教师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sz w:val="20"/>
              </w:rPr>
              <w:t>请填写</w:t>
            </w:r>
          </w:p>
        </w:tc>
      </w:tr>
      <w:t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学生姓名 / 学号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sz w:val="20"/>
              </w:rPr>
              <w:t>请填写</w:t>
            </w:r>
          </w:p>
        </w:tc>
      </w:tr>
      <w:t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20"/>
              </w:rPr>
              <w:t>提交日期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sz w:val="20"/>
              </w:rPr>
              <w:t>2026 年 __ 月 __ 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摘要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sz w:val="21"/>
        </w:rPr>
        <w:t>法律检索的目标不应止于“找到一份资料”，而应形成从研究问题、检索路径、原始文献阅读、证据摘录到写作引用的可复核链条。LexRead 是一款面向法学学习者和研究者的本地研究工作台，现已实现 PDF 论文与裁判文书的导入、文本解析、按需 OCR、原文标注、研究卡片、脚注转换、写作引用和项目成果导出。产品以“原文可追溯、检索过程可说明、研究判断可校正”为设计原则。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sz w:val="21"/>
        </w:rPr>
        <w:t>本 PRD 在核对现有前后端实现的基础上，区分已实现功能、近期迭代与概念方案；同时补足法律检索课程作业所需要的需求分析、检索方法设计、功能规格、数据规则、风险控制、测试方案和开发计划。核心结论是：LexRead 不应把大模型定位为替代法律研究判断的“答案生成器”，而应定位为围绕用户选定材料提供 OCR、解释、结构化与比较建议的辅助工具。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关键词：</w:t>
      </w:r>
      <w:r>
        <w:rPr>
          <w:rFonts w:ascii="Arial Unicode MS" w:hAnsi="Arial Unicode MS" w:eastAsia="Arial Unicode MS" w:cs="Arial Unicode MS"/>
          <w:sz w:val="21"/>
        </w:rPr>
        <w:t>法律检索；法学研究；裁判文书；原文溯源；研究卡片；人工智能辅助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一、项目背景与问题定义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1.1 课程问题意识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sz w:val="21"/>
        </w:rPr>
        <w:t>法律检索课程训练的不是机械输入关键词，而是围绕法律问题选择资料类型、构建检索式、判断来源权威性、核验版本与效力，并将检索所得材料转化为可用于论证的证据。以课程论文为例，学生经常经历如下断裂：</w:t>
      </w:r>
    </w:p>
    <w:p>
      <w:pPr>
        <w:pStyle w:val="ListNumber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在多个数据库、网页和本地文件夹中找到论文、规范或裁判文书；</w:t>
      </w:r>
    </w:p>
    <w:p>
      <w:pPr>
        <w:pStyle w:val="ListNumber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阅读时用高亮和零散笔记记录信息；</w:t>
      </w:r>
    </w:p>
    <w:p>
      <w:pPr>
        <w:pStyle w:val="ListNumber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写作时找不到原页、混淆作者观点与自己的评价，或遗漏反对材料；</w:t>
      </w:r>
    </w:p>
    <w:p>
      <w:pPr>
        <w:pStyle w:val="ListNumber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最后才发现引注字段不全、页码不准，难以说明材料的来源和检索过程。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sz w:val="21"/>
        </w:rPr>
        <w:t>LexRead 解决的是其中的“</w:t>
      </w:r>
      <w:r>
        <w:rPr>
          <w:rFonts w:ascii="Arial Unicode MS" w:hAnsi="Arial Unicode MS" w:eastAsia="Arial Unicode MS" w:cs="Arial Unicode MS"/>
          <w:b/>
          <w:color w:val="17365D"/>
          <w:sz w:val="21"/>
        </w:rPr>
        <w:t>检索结果进入研究后的管理与再利用</w:t>
      </w:r>
      <w:r>
        <w:rPr>
          <w:rFonts w:ascii="Arial Unicode MS" w:hAnsi="Arial Unicode MS" w:eastAsia="Arial Unicode MS" w:cs="Arial Unicode MS"/>
          <w:sz w:val="21"/>
        </w:rPr>
        <w:t>”问题。它不代替权威法律数据库，而是承接经合法渠道获取的 PDF、裁判文书和用户记录，使研究结论能沿“写作段落 → 研究卡片 → 标注 → 原文页码”反向追溯。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1.2 现有痛点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2700"/>
        <w:gridCol w:w="264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痛点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常见表现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对研究质量的影响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LexRead 的应对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检索材料碎片化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文件散落在下载目录、微信、浏览器与不同数据库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无法按课题统一管理，重复下载、重复阅读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以“项目”为材料一级容器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原文定位丢失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只保留截图或摘录，未记录页码与上下文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不能核验、难以准确引注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标注绑定页码、文本块、偏移与上下文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 结论不可审计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直接引用模型总结，未区分原文与推断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误读作者立场、形成无依据结论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 输出必须带范围、锚点和风险提示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脚注整理成本高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手动转写作者、刊名、页码、案号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格式错误、字段遗漏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识别脚注并生成“待核对”的引注草稿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写作与阅读脱节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写作时重新翻 PDF、复制粘贴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引用不完整，反对材料被忽略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卡片、章节、立场与写作草稿关联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1.3 产品机会与边界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sz w:val="21"/>
        </w:rPr>
        <w:t>本产品适合做成“研究过程层”，连接外部权威检索渠道和用户的论文写作环境。其边界必须明确：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不替代</w:t>
      </w:r>
      <w:r>
        <w:rPr>
          <w:rFonts w:ascii="Arial Unicode MS" w:hAnsi="Arial Unicode MS" w:eastAsia="Arial Unicode MS" w:cs="Arial Unicode MS"/>
          <w:sz w:val="21"/>
        </w:rPr>
        <w:t>北大法宝、威科先行、无讼、人民法院案例库、国家法律法规数据库、知网等权威或专业数据源；后续如接入，须基于授权与来源标识。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不承诺</w:t>
      </w:r>
      <w:r>
        <w:rPr>
          <w:rFonts w:ascii="Arial Unicode MS" w:hAnsi="Arial Unicode MS" w:eastAsia="Arial Unicode MS" w:cs="Arial Unicode MS"/>
          <w:sz w:val="21"/>
        </w:rPr>
        <w:t>自动判断法条是否现行有效、裁判是否具有指导性、观点是否正确；这些均须有可靠数据源与人工核验。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不生成</w:t>
      </w:r>
      <w:r>
        <w:rPr>
          <w:rFonts w:ascii="Arial Unicode MS" w:hAnsi="Arial Unicode MS" w:eastAsia="Arial Unicode MS" w:cs="Arial Unicode MS"/>
          <w:sz w:val="21"/>
        </w:rPr>
        <w:t>可直接提交的整篇论文；AI 只能对用户指定的原文范围提供辅助性产物。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不上传</w:t>
      </w:r>
      <w:r>
        <w:rPr>
          <w:rFonts w:ascii="Arial Unicode MS" w:hAnsi="Arial Unicode MS" w:eastAsia="Arial Unicode MS" w:cs="Arial Unicode MS"/>
          <w:sz w:val="21"/>
        </w:rPr>
        <w:t>完整原始 PDF 到第三方模型服务；仅在用户明确启动 OCR 或 AI 问答时发送必要的页面图片或选区文本。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二、产品概述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2.1 产品定位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一句话定义：</w:t>
      </w:r>
      <w:r>
        <w:rPr>
          <w:rFonts w:ascii="Arial Unicode MS" w:hAnsi="Arial Unicode MS" w:eastAsia="Arial Unicode MS" w:cs="Arial Unicode MS"/>
          <w:sz w:val="21"/>
        </w:rPr>
        <w:t>LexRead 是一个以原文为中心、服务法律检索成果管理与法学写作的本地智能阅读工作台。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价值主张：</w:t>
      </w:r>
      <w:r>
        <w:rPr>
          <w:rFonts w:ascii="Arial Unicode MS" w:hAnsi="Arial Unicode MS" w:eastAsia="Arial Unicode MS" w:cs="Arial Unicode MS"/>
          <w:sz w:val="21"/>
        </w:rPr>
        <w:t>让用户不仅“找到并读过”材料，还能清楚说明“材料从何而来、原文在何处、为何用于此处论证、是否经过核验”。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2.2 目标用户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2700"/>
        <w:gridCol w:w="264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用户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主要任务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核心需求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当前优先级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法学本科生/研究生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写课程论文、学位论文、案例评析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快速整理文献、准确引注、避免丢失原文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高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教师/科研助理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围绕课题比较多篇论文与裁判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观点聚合、证据回链、发现材料缺口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高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律师/法务研究人员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阅读裁判、规则与业务材料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区分事实、规范、理由与结论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中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法律检索课程教师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指导检索与写作训练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观察学生的检索路径和引用可核验性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后续探索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2.3 使用场景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场景 A：课程论文文献阅读。</w:t>
      </w:r>
      <w:r>
        <w:rPr>
          <w:rFonts w:ascii="Arial Unicode MS" w:hAnsi="Arial Unicode MS" w:eastAsia="Arial Unicode MS" w:cs="Arial Unicode MS"/>
          <w:sz w:val="21"/>
        </w:rPr>
        <w:t xml:space="preserve"> 学生围绕“平台用工中劳动关系认定标准”从数据库下载论文 PDF，建立项目后上传；在阅读中对“人格从属性”“经济从属性”等段落做标签和笔记，形成观点卡；写作时选择“支持/反对/条件性”并插入带页码的引文。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场景 B：裁判文书分析。</w:t>
      </w:r>
      <w:r>
        <w:rPr>
          <w:rFonts w:ascii="Arial Unicode MS" w:hAnsi="Arial Unicode MS" w:eastAsia="Arial Unicode MS" w:cs="Arial Unicode MS"/>
          <w:sz w:val="21"/>
        </w:rPr>
        <w:t xml:space="preserve"> 用户导入裁判文书，系统将当事人主张、法院认定事实、证据、法律依据、说理和结论拆分为可回到原文的节点；用户把关键事实和裁判理由保存为案例卡。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场景 C：检索过程留痕（规划）。</w:t>
      </w:r>
      <w:r>
        <w:rPr>
          <w:rFonts w:ascii="Arial Unicode MS" w:hAnsi="Arial Unicode MS" w:eastAsia="Arial Unicode MS" w:cs="Arial Unicode MS"/>
          <w:sz w:val="21"/>
        </w:rPr>
        <w:t xml:space="preserve"> 用户记录检索平台、检索日期、检索式、筛选条件、收录结果与排除理由，将下载文献或链接关联至研究问题。该能力是法律检索课程场景的关键补强，列为 P1。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2.4 关键成功指标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指标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定义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目标值（稳定版本）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原文回链成功率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从卡片/引注跳转到正确文档与页码的比例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≥ 98%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有锚点材料占比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含文档、页码和文本锚点的卡片占比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≥ 95%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阅读沉淀率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每篇完成阅读文档产生的标注或卡片数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≥ 3 条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写作引用效率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打开项目至插入一条含页码引文的中位时长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≤ 3 分钟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可降级率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AI/OCR 未配置或失败时仍能完成阅读与标注的比例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100%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三、研究方法与检索流程设计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3.1 法律检索的资料层级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sz w:val="21"/>
        </w:rPr>
        <w:t>为避免将不同效力和用途的材料混为一谈，LexRead 将材料在研究层面区分如下：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2700"/>
        <w:gridCol w:w="264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层级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材料示例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研究用途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系统处理原则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规范性资料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法律、行政法规、司法解释、部门规章、地方规范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规范依据与效力判断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保存来源、版本/发布日期、条文定位；有效性须外部权威源核验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裁判资料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裁判文书、指导性案例、典型案例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事实、裁判规则、说理路径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区分法院认定与当事人主张，保留案号/法院/日期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学理资料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期刊论文、专著、学位论文、报告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理论脉络、观点支持或批评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保留作者、出处、页码、作者立场与适用边界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辅助资料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新闻、网页、课堂材料、研究笔记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线索或背景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明确非权威性，不与规范依据等同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3.2 标准检索工作流（P1 设计）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 w:cs="Menlo"/>
                <w:color w:val="17365D"/>
                <w:sz w:val="17"/>
              </w:rPr>
              <w:t>界定法律问题</w:t>
              <w:br/>
              <w:t xml:space="preserve">  → 拆分概念、主体、行为、时间和地域</w:t>
              <w:br/>
              <w:t xml:space="preserve">  → 形成同义词、近义词、上位词/下位词与排除词</w:t>
              <w:br/>
              <w:t xml:space="preserve">  → 选择资料库和资料类型</w:t>
              <w:br/>
              <w:t xml:space="preserve">  → 构建检索式并记录筛选条件</w:t>
              <w:br/>
              <w:t xml:space="preserve">  → 筛选、去重、评估权威性与时效性</w:t>
              <w:br/>
              <w:t xml:space="preserve">  → 导入 LexRead 阅读与标注</w:t>
              <w:br/>
              <w:t xml:space="preserve">  → 形成可回链卡片、引注与写作材料</w:t>
            </w:r>
          </w:p>
        </w:tc>
      </w:tr>
    </w:tbl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检索式记录示例：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字段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示例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研究问题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平台骑手是否构成劳动关系，以及从属性如何认定？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检索库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中国知网/国家法律法规数据库/人民法院案例库（由用户选择）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检索式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（平台用工 OR 网约配送） AND （劳动关系 OR 从属性）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限定条件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2019—2026 年；法学类；核心期刊优先；裁判地域为中国大陆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排除理由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无全文、与劳动法主题无关、重复版本、缺少可核验来源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3.3 来源评价规则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sz w:val="21"/>
        </w:rPr>
        <w:t>产品应提示用户，但不替代其判断。建议提供“来源评价清单”：权威性、原始性、时效性、相关性、完整性、可复核性六项。对法规、司法解释、裁判、学术论文和二次转载资料采用不同提示语，防止“搜索排名靠前”等同于“法律上可靠”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四、现有产品基线（经代码核对）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4.1 已实现功能清单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功能模块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已实现能力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用户价值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项目管理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项目承载研究问题、文档、卡片、提纲和草稿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防止跨课题材料混用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文档导入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本地 PDF 上传，区分论文与裁判文书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接住外部检索得到的材料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解析与 OCR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文字层提取、低置信页识别、按页或全文 OCR、任务进度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扩大扫描件可读范围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论文阅读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连续提取文本、目录/页码跳转、全文搜索、阅读位置恢复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让用户无需等待 AI 即可开始读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自由标注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高亮、笔记、收藏、颜色、自由标签、编辑/删除、原文回跳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沉淀阅读过程与问题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锚点恢复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保存文本块、偏移、上下文和页码；更新后尝试恢复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降低 OCR/解析变化导致的标注丢失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 辅助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选区问答、翻译、论文论证辅助、裁判结构化分析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降低理解和结构整理成本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研究卡片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观点、案例、规范、引用、问题五类卡片及核验状态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让阅读材料进入写作准备状态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引注校对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识别脚注、转换法学引注草稿、提示风险、回到原页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减少转写错误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写作工作台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章节草稿、直接引语/转述插入、带页码脚注草稿复制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打通阅读与写作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成果导出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汇总已分析文档和已核验卡片，导出 Markdown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输出阶段性研究成果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4.2 当前实现的限制</w:t>
      </w:r>
    </w:p>
    <w:p>
      <w:pPr>
        <w:pStyle w:val="ListNumber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阅读器当前以连续提取文本为主；虽然服务端可以提供原 PDF 页面图像，但尚未完成稳定的“原页—文本”双栏同步体验。</w:t>
      </w:r>
    </w:p>
    <w:p>
      <w:pPr>
        <w:pStyle w:val="ListNumber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项目标签的重命名、合并、删除已有服务端能力，前端尚未形成完整管理界面。</w:t>
      </w:r>
    </w:p>
    <w:p>
      <w:pPr>
        <w:pStyle w:val="ListNumber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跨论文观点矩阵已有数据模型与页面雏形，但当前正式导航展示的是“引注校对”，矩阵未作为可交付功能开放。</w:t>
      </w:r>
    </w:p>
    <w:p>
      <w:pPr>
        <w:pStyle w:val="ListNumber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目前不直接连接外部法律数据库，因此不具备法规有效性校验、案例状态校验和一站式在线检索能力。</w:t>
      </w:r>
    </w:p>
    <w:p>
      <w:pPr>
        <w:pStyle w:val="ListNumber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本地数据采用 JSON 持久化与浏览器状态协同保存，仍需补充备份、恢复、迁移和删除回收站。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五、信息架构与核心业务流程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5.1 信息架构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 w:cs="Menlo"/>
                <w:color w:val="17365D"/>
                <w:sz w:val="17"/>
              </w:rPr>
              <w:t>LexRead</w:t>
              <w:br/>
              <w:t>├─ 项目概览</w:t>
              <w:br/>
              <w:t>│  ├─ 主/子研究问题（P1）</w:t>
              <w:br/>
              <w:t>│  ├─ 文档进度与任务</w:t>
              <w:br/>
              <w:t>│  └─ 研究问题材料覆盖（P1）</w:t>
              <w:br/>
              <w:t>├─ 项目资料库</w:t>
              <w:br/>
              <w:t>│  ├─ 论文与裁判文书</w:t>
              <w:br/>
              <w:t>│  ├─ 标注中心（P0）</w:t>
              <w:br/>
              <w:t>│  ├─ 研究卡片</w:t>
              <w:br/>
              <w:t>│  └─ 标签治理（P0）</w:t>
              <w:br/>
              <w:t>├─ 引注校对</w:t>
              <w:br/>
              <w:t>│  ├─ 原始脚注</w:t>
              <w:br/>
              <w:t>│  ├─ 格式化草稿</w:t>
              <w:br/>
              <w:t>│  └─ 风险与字段编辑（P1）</w:t>
              <w:br/>
              <w:t>├─ 写作工作台</w:t>
              <w:br/>
              <w:t>│  ├─ 提纲与章节</w:t>
              <w:br/>
              <w:t>│  ├─ 引文插入</w:t>
              <w:br/>
              <w:t>│  └─ 段落/脚注复制</w:t>
              <w:br/>
              <w:t>└─ 检索日志（P1）</w:t>
              <w:br/>
              <w:t xml:space="preserve">   ├─ 检索平台与检索式</w:t>
              <w:br/>
              <w:t xml:space="preserve">   ├─ 筛选与排除理由</w:t>
              <w:br/>
              <w:t xml:space="preserve">   └─ 检索结果关联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5.2 主业务流程：从检索到写作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2700"/>
        <w:gridCol w:w="264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用户动作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系统行为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输出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1. 建项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输入课题与核心问题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新建项目和默认提纲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项目空间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2. 检索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在授权数据库检索并记录策略（P1）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保存平台、检索式、日期、筛选条件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可说明的检索日志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3. 导入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上传合法获取的 PDF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解析文字层、目录和低置信页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可阅读文档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4. 阅读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翻阅、搜索、选中文本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保存标注、标签、笔记和位置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可定位阅读记录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5. 整理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把重要标注转为卡片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绑定来源、立场、核验状态与章节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研究材料库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6. 写作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插入直接引语或转述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附加页码和脚注草稿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可核验段落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7. 复核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点击卡片/引文回原文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打开文档、页码和文本锚点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可提交前核验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5.3 异常与降级流程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未配置 AI：允许导入、解析、阅读、标注、转卡、写作和导出；AI 按钮显示配置入口。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OCR 失败：保留原文字层和已成功页，提示用户选择重试页或手工阅读原页。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AI 分析失败：保留文档、标注和卡片，不阻塞阅读；显示可重试原因。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锚点失效：标记为“需修复”，保留原摘录但不得宣称精确定位或标记为已核验。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引注字段缺失：输出风险提示，不虚构作者、刊期、页码、案号等信息。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六、功能需求规格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6.1 项目与研究问题（FR-01）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目标：</w:t>
      </w:r>
      <w:r>
        <w:rPr>
          <w:rFonts w:ascii="Arial Unicode MS" w:hAnsi="Arial Unicode MS" w:eastAsia="Arial Unicode MS" w:cs="Arial Unicode MS"/>
          <w:sz w:val="21"/>
        </w:rPr>
        <w:t>以项目隔离不同课程论文或研究课题的材料。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2700"/>
        <w:gridCol w:w="264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需求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优先级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验收标准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FR-01-01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新建、选择、编辑项目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项目切换后只显示该项目的文档、卡片和草稿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FR-01-02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设置主问题和多个子问题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每条材料可关联至少一个问题；项目概览显示覆盖情况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FR-01-03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记录检索策略与来源渠道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每条检索日志含平台、日期、检索式、筛选条件和关联问题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FR-01-04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项目包导出/导入与备份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可恢复文档元数据、标注、卡片、草稿；原 PDF 可选包含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6.2 文档导入、解析与 OCR（FR-02）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2700"/>
        <w:gridCol w:w="264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需求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优先级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验收标准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FR-02-01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上传论文或裁判文书 PDF 并保存原文件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解析完成后可回到原文件和页码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FR-02-02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文字层解析、页面结构与目录提取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文本可阅读、目录可跳转；无目录时正常降级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FR-02-03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低置信页检测与按页 OCR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OCR 逐页显示状态；成功页可立即使用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FR-02-04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原页与文本同步查看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点击标注/搜索/脚注可定位文本与原页同一页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FR-02-05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解析版本比较与受影响标注提示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P2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重新 OCR/解析后列出变化页面和可能受影响锚点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6.3 原文阅读与标注（FR-03）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2700"/>
        <w:gridCol w:w="264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需求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优先级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验收标准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FR-03-01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不依赖 AI 的原文阅读、目录、搜索和位置恢复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未配置 AI 时可完整阅读文字型 PDF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FR-03-02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高亮、笔记、收藏、标签和颜色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两次主要操作内完成一条带标签标注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FR-03-03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保存多重定位信息并恢复锚点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标注至少包含文档、页码、摘录和文本定位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FR-03-04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项目级标注中心和批量操作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可按文档/标签/时间/类型筛选，支持批量标签和转卡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FR-03-05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标签重命名、合并、删除的可视化管理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操作前显示影响数；合并后无重复标签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6.4 AI 阅读辅助（FR-04）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产品规则：</w:t>
      </w:r>
      <w:r>
        <w:rPr>
          <w:rFonts w:ascii="Arial Unicode MS" w:hAnsi="Arial Unicode MS" w:eastAsia="Arial Unicode MS" w:cs="Arial Unicode MS"/>
          <w:sz w:val="21"/>
        </w:rPr>
        <w:t>AI 是可选工具，默认不在进入阅读器时自动调用。所有 AI 输出以独立“AI 产物”保存，不自动写入用户标签、笔记和卡片。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2700"/>
        <w:gridCol w:w="264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需求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优先级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验收标准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FR-04-01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选区解释、问答与翻译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回答基于选区及有限上下文，区分原文与推断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FR-04-02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论文论证与裁判说理辅助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输出展示来源锚点、状态与失败信息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FR-04-03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用户主动选择选区/页/章/全文 AI 范围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点击阅读入口不产生第三方 AI 请求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FR-04-04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保存模型、时间、输入范围、锚点和接受状态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P0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任何 AI 结果均可追溯、编辑、忽略或删除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FR-04-05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基于已选材料的观点比较草稿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输出只引用用户选定材料，并逐项列出来源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6.5 研究卡片、观点矩阵与写作（FR-05）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2700"/>
        <w:gridCol w:w="264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需求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优先级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验收标准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FR-05-01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五类研究卡片及原文回链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无来源锚点的卡片不得标记“已核验”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FR-05-02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按支持、反对、条件性、背景分类材料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已实现基础/P1 交付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用户可查看不同立场材料并回到来源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FR-05-03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正式观点矩阵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至少支持 3 份材料横向比较，导出 Markdown/CSV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FR-05-04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提纲、段落草稿、直接引语/转述插入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插入内容携带页码和对应卡片 ID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FR-05-05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标出章节的支持材料、反对材料与缺口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每个章节显示材料数量及未核验/待补充提示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6.6 引注校对与法律检索日志（FR-06）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2700"/>
        <w:gridCol w:w="264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需求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优先级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验收标准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FR-06-01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PDF 脚注识别、引注草稿、风险提示和原页回跳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已实现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缺失字段被标记，系统不虚构补全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FR-06-02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常用法学脚注预设与字段编辑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输出明确为草稿，用户可修改作者、刊期、页码等字段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FR-06-03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正文脚注标记与脚注块双向跳转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任意一端可跳转至另一端和原页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FR-06-04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检索日志、结果去重与排除理由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P1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可导出附录式检索记录，支撑课程作业方法说明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七、核心页面说明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7.1 项目概览页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展示项目标题、主问题、材料数量、处理进度、已核验卡片和待办事项。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P1 增加“研究问题—材料覆盖”图，提示某子问题尚无规范、裁判或反对意见材料。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主要操作：上传论文、上传裁判文书、查看资料库、进入写作、记录检索日志。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7.2 论文阅读器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左侧：目录、页面、标签、论证结构（AI 可选）。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中间：P0 前为连续提取文本；P0 后可切换/并排查看原始页面。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右侧：当前/全文标注、AI 助手、文献信息。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选区浮动工具条：写作引用、高亮、标签、笔记、询问 AI、翻译。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底部：当前页、阅读位置、标注数量和任务状态。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7.3 项目资料库与标注中心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文档视图：类型、状态、阅读进度、卡片数、最后更新时间。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卡片视图：类型、核验状态、来源、页码、标签、立场、写作章节。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P0 标注视图：按标签、文档、时间、笔记、是否转卡筛选；支持批量处理。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7.4 引注校对与写作页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引注校对页并列展示原脚注、转换草稿、缺失字段/风险、原文定位。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写作页左侧为章节提纲，中间为段落草稿，右侧为可用卡片；插入分为直接引语、转述和脚注三种动作。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明示“直接引语必须对照原文；转述应先写自己的判断；引注草稿提交前须核对”。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7.5 当前实现界面截图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sz w:val="21"/>
        </w:rPr>
        <w:t>以下截图直接取自本地运行的 LexRead 网页，用于说明本文“已实现”功能的实际界面，而非概念原型。截图中的研究项目与材料为产品内置演示数据。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50992" cy="3180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ject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18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i/>
          <w:color w:val="666666"/>
          <w:sz w:val="18"/>
        </w:rPr>
        <w:t>图 1 项目概览：研究问题、文档进度与待核验任务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50992" cy="3180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per-rea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18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i/>
          <w:color w:val="666666"/>
          <w:sz w:val="18"/>
        </w:rPr>
        <w:t>图 2 论文阅读器：连续文本、目录、原文阅读辅助与标注入口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50992" cy="3178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terials-libr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178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i/>
          <w:color w:val="666666"/>
          <w:sz w:val="18"/>
        </w:rPr>
        <w:t>图 3 项目资料库：论文、裁判文书、处理状态与阅读入口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50992" cy="3178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riting-workben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178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i/>
          <w:color w:val="666666"/>
          <w:sz w:val="18"/>
        </w:rPr>
        <w:t>图 4 写作工作台：章节提纲、段落草稿与可回链研究卡片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八、数据模型与可追溯规则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实体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核心字段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Project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标题、主/子问题、提纲、创建/更新时间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项目是数据隔离边界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Document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类型、来源、作者、原 PDF、页数、解析/OCR/AI 状态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enlo" w:hAnsi="Menlo" w:eastAsia="Menlo" w:cs="Menlo"/>
                <w:color w:val="17365D"/>
                <w:sz w:val="16"/>
              </w:rPr>
              <w:t>readable</w:t>
            </w:r>
            <w:r>
              <w:rPr>
                <w:rFonts w:ascii="Arial Unicode MS" w:hAnsi="Arial Unicode MS" w:eastAsia="Arial Unicode MS" w:cs="Arial Unicode MS"/>
                <w:sz w:val="17"/>
              </w:rPr>
              <w:t xml:space="preserve"> 不依赖 AI 成功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Annotation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原文、页码、块 ID、偏移、上下文、矩形、标签、笔记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 xml:space="preserve">记录 </w:t>
            </w:r>
            <w:r>
              <w:rPr>
                <w:rFonts w:ascii="Menlo" w:hAnsi="Menlo" w:eastAsia="Menlo" w:cs="Menlo"/>
                <w:color w:val="17365D"/>
                <w:sz w:val="16"/>
              </w:rPr>
              <w:t>exact/recovered/orphaned</w:t>
            </w:r>
            <w:r>
              <w:rPr>
                <w:rFonts w:ascii="Arial Unicode MS" w:hAnsi="Arial Unicode MS" w:eastAsia="Arial Unicode MS" w:cs="Arial Unicode MS"/>
                <w:sz w:val="17"/>
              </w:rPr>
              <w:t xml:space="preserve"> 锚点状态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ResearchCard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类型、摘录、释义、来源、页码、关系、核验状态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无可靠原文定位不得标为已核验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AIArtifact（P0）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范围、输入锚点、模型、时间、输出、接受状态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与用户标注/卡片分离保存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Citation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原脚注、格式化草稿、字段、风险、页码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仅为草稿，不自动补写事实字段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SearchLog（P1）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平台、日期、检索式、筛选、排除理由、关联问题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记录检索过程，不保存未经授权的数据库全文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b/>
          <w:color w:val="17365D"/>
          <w:sz w:val="21"/>
        </w:rPr>
        <w:t>追溯链要求：</w:t>
      </w:r>
      <w:r>
        <w:rPr>
          <w:rFonts w:ascii="Arial Unicode MS" w:hAnsi="Arial Unicode MS" w:eastAsia="Arial Unicode MS" w:cs="Arial Unicode MS"/>
          <w:sz w:val="21"/>
        </w:rPr>
        <w:t xml:space="preserve">任何进入写作或项目成果的材料，至少应存在 </w:t>
      </w:r>
      <w:r>
        <w:rPr>
          <w:rFonts w:ascii="Menlo" w:hAnsi="Menlo" w:eastAsia="Menlo" w:cs="Menlo"/>
          <w:color w:val="17365D"/>
          <w:sz w:val="20"/>
        </w:rPr>
        <w:t>项目 → 文档 → 页码 → 原文摘录 → 卡片/引文 → 写作章节</w:t>
      </w:r>
      <w:r>
        <w:rPr>
          <w:rFonts w:ascii="Arial Unicode MS" w:hAnsi="Arial Unicode MS" w:eastAsia="Arial Unicode MS" w:cs="Arial Unicode MS"/>
          <w:sz w:val="21"/>
        </w:rPr>
        <w:t xml:space="preserve"> 中的可访问路径。对 AI 生成内容，还应加上 </w:t>
      </w:r>
      <w:r>
        <w:rPr>
          <w:rFonts w:ascii="Menlo" w:hAnsi="Menlo" w:eastAsia="Menlo" w:cs="Menlo"/>
          <w:color w:val="17365D"/>
          <w:sz w:val="20"/>
        </w:rPr>
        <w:t>AI 输入范围 → 模型/时间 → 用户接受状态</w:t>
      </w:r>
      <w:r>
        <w:rPr>
          <w:rFonts w:ascii="Arial Unicode MS" w:hAnsi="Arial Unicode MS" w:eastAsia="Arial Unicode MS" w:cs="Arial Unicode MS"/>
          <w:sz w:val="21"/>
        </w:rPr>
        <w:t>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九、非功能需求与法律伦理要求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9.1 可靠性与性能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基础解析成功后优先开放阅读；OCR 和 AI 使用可恢复后台任务。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长文搜索、标注列表和目录应采取懒加载/限量返回，避免阻塞阅读器。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写入采用原子化保存；P0 建立自动备份、手工导出与恢复机制。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9.2 隐私、数据与著作权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API 密钥仅保存在本机配置，不回显到前端、不写入代码库。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对接第三方模型前告知发送范围；默认不上传整份 PDF。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用户仅应导入其有权访问、用于学习研究的材料；系统不提供绕过数据库访问控制、批量抓取或传播受限全文的能力。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导出必须由用户显式发起；诊断日志默认关闭且不得含原文、标注正文或密钥。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9.3 AI 使用边界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页面明确提示：AI 输出用于建立阅读路径和提出待验证问题，不构成法律意见、规范有效性判断或学术结论。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AI 产物需区分“原文摘录”“作者明确主张”“模型推断”“用户判断”。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对无锚点或低置信内容显示醒目风险提示，不允许直接进入“已核验成果”。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十、优先级、里程碑与测试方案</w:t>
      </w: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10.1 迭代路线图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2700"/>
        <w:gridCol w:w="264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版本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时间建议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目标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主要交付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V4.1（当前）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已完成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单用户本地研究闭环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导入、解析、阅读、标注、卡片、引注草稿、写作、成果导出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V4.2（P0）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2—4 周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提升可靠性与可控性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原页/文本双视图、主动 AI、标注中心、标签治理、备份恢复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V4.3（P1）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4—8 周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回应法律检索课程需求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检索日志、来源评价、观点矩阵、研究问题覆盖、引注字段编辑</w:t>
            </w:r>
          </w:p>
        </w:tc>
      </w:tr>
      <w:tr>
        <w:tc>
          <w:tcPr>
            <w:tcW w:type="dxa" w:w="1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V5.0（P2）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视授权与资源而定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扩展外部知识与协作</w:t>
            </w:r>
          </w:p>
        </w:tc>
        <w:tc>
          <w:tcPr>
            <w:tcW w:type="dxa" w:w="2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权威数据源接入、语义检索、版本比较、多端协作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10.2 核心验收用例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测试场景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预期结果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TC-01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未配置 AI，上传文字型 PDF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可解析、阅读、搜索、标注、转卡与写作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TC-02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上传扫描型 PDF，部分页 OCR 失败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已解析页正常阅读；失败页可重试且不丢失数据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TC-03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选中一段原文，添加标签和笔记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两次主要操作内保存；包含页码和原文定位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TC-04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将标注转为研究卡片并在写作页插入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原标注保留；插入内容带来源和页码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TC-05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点击卡片或引注“回到原文”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跳转到正确文档、页码和对应文本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TC-06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 返回无来源结论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显示推断提示，不能标为已核验材料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TC-07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标签合并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显示影响数，替换后无重复标签，标注不丢失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TC-08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导出项目包后重新导入（P0）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卡片、标注、草稿和关联关系可恢复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TC-09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记录一次检索日志（P1）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含检索库、日期、检索式、筛选和排除理由，并能关联材料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sz w:val="26"/>
        </w:rPr>
        <w:t>10.3 发布门槛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不存在“AI 未配置即无法阅读”的阻断路径。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所有已核验卡片均具有可访问的原文来源和页码。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OCR/AI 失败不会造成 PDF、解析文本、标注、卡片或草稿丢失。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所有外发给 AI 的操作都有明确触发、范围说明和错误反馈。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删除项目、文档或批量标注前显示影响范围，并有 P0 回收/恢复方案。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十一、风险分析与应对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风险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可能后果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应对措施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OCR 误识别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原文摘录或页码对应错误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保存原页；标注绑定上下文；低置信页提示与人工复核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 幻觉或过度概括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误把模型推断当作者观点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 产物独立保存、来源锚点、显著风险提示、人工核验门槛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数据库/格式变化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外部检索来源或引注格式失效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不把第三方页面结构写死；格式化规则配置化；保留原始脚注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本地数据损坏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标注、卡片和草稿丢失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原子写入、版本备份、项目包导出/恢复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著作权与数据合规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不当传播受限全文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仅处理用户合法导入材料；不提供绕过访问控制功能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需求膨胀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产品变成低质量“万能法律助手”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坚持原文追溯、研究整理与写作辅助的核心边界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十二、结论</w:t>
      </w:r>
    </w:p>
    <w:p>
      <w:pPr>
        <w:spacing w:after="120" w:line="300" w:lineRule="auto"/>
        <w:ind w:firstLine="317"/>
        <w:jc w:val="both"/>
      </w:pPr>
      <w:r>
        <w:rPr>
          <w:rFonts w:ascii="Arial Unicode MS" w:hAnsi="Arial Unicode MS" w:eastAsia="Arial Unicode MS" w:cs="Arial Unicode MS"/>
          <w:sz w:val="21"/>
        </w:rPr>
        <w:t>LexRead 的创新点不在于用 AI 替用户回答法律问题，而在于将法律检索成果转化为可复核的研究过程。现有 MVP 已经打通“本地材料导入—解析阅读—自由标注—研究卡片—引注草稿—写作引用”的基本链路。下一阶段最应优先完成的并非增加更多模型能力，而是完善原页与文本对照、标注中心、标签治理、数据备份和主动 AI 控制；在此基础上，再建设检索日志、来源评价和观点矩阵，才能真正契合法律检索课程所强调的检索方法、资料评价与论证可验证性。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附录 A：术语表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术语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含义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原文锚点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将摘录定位回文档、页码、文本块和字符位置的信息集合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研究卡片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将重要摘录与用户释义、用途、标签、核验状态结合的研究单元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引注草稿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系统依据原脚注转换的候选格式，仍需用户核对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检索日志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对检索库、日期、检索式、筛选条件、结果与排除理由的记录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已核验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用户已回到原文确认材料与定位；不代表观点在实体法上必然正确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 产物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 w:cs="Arial Unicode MS"/>
                <w:sz w:val="17"/>
              </w:rPr>
              <w:t>由模型基于指定范围生成的辅助性内容，不等同于用户研究结论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 w:cs="Arial Unicode MS"/>
          <w:sz w:val="32"/>
        </w:rPr>
        <w:t>附录 B：提交前自检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[ ] 填写课程名称、教师、姓名、学号和提交日期。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[ ] 根据实际演示情况，保留“已实现”与“P0/P1/P2”的区分，不把规划功能写成已完成。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[ ] 如课程要求附原型截图，可依次放入：项目概览、阅读器标注、引注校对、写作工作台四张截图。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[ ] 如课程要求说明检索方法，可用第三章的检索式记录表填写一次真实检索过程作为附录。</w:t>
      </w:r>
    </w:p>
    <w:p>
      <w:pPr>
        <w:pStyle w:val="ListBullet"/>
        <w:spacing w:after="60" w:line="288" w:lineRule="auto"/>
        <w:ind w:left="403" w:hanging="259"/>
      </w:pPr>
      <w:r>
        <w:rPr>
          <w:rFonts w:ascii="Arial Unicode MS" w:hAnsi="Arial Unicode MS" w:eastAsia="Arial Unicode MS" w:cs="Arial Unicode MS"/>
          <w:sz w:val="21"/>
        </w:rPr>
        <w:t>[ ] 最终提交前，对直接引语、页码、脚注草稿和 AI 生成内容逐项回到原文核验。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123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6666"/>
        <w:sz w:val="18"/>
      </w:rPr>
      <w:t xml:space="preserve">第 </w:t>
    </w:r>
    <w:fldSimple w:instr="PAGE"/>
    <w:r>
      <w:rPr>
        <w:rFonts w:ascii="Arial Unicode MS" w:hAnsi="Arial Unicode MS" w:eastAsia="Arial Unicode MS" w:cs="Arial Unicode MS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 w:cs="Arial Unicode MS"/>
        <w:color w:val="666666"/>
        <w:sz w:val="17"/>
      </w:rPr>
      <w:t>LexRead 法学智能阅读与研究检索工作台｜产品需求文档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