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 w:val="0"/>
          <w:i w:val="0"/>
        </w:rPr>
        <w:t>Дисциплина: САиМИС (системный анализ и моделирование информационных систем)</w:t>
      </w:r>
    </w:p>
    <w:p>
      <w:pPr>
        <w:jc w:val="center"/>
      </w:pPr>
      <w:r>
        <w:rPr>
          <w:b/>
          <w:i w:val="0"/>
          <w:sz w:val="32"/>
        </w:rPr>
        <w:t>Отчёт по лабораторной работе «Лр пример 1 САиМИС»</w:t>
      </w:r>
    </w:p>
    <w:p>
      <w:pPr>
        <w:jc w:val="right"/>
      </w:pPr>
      <w:r>
        <w:rPr>
          <w:b w:val="0"/>
          <w:i w:val="0"/>
        </w:rPr>
        <w:t>Выполнил(а): [ФИО], гр. [группа]</w:t>
      </w:r>
    </w:p>
    <w:p>
      <w:pPr>
        <w:jc w:val="right"/>
      </w:pPr>
      <w:r>
        <w:rPr>
          <w:b w:val="0"/>
          <w:i w:val="0"/>
        </w:rPr>
        <w:t>Проверил(а): [ФИО преподавателя]</w:t>
      </w:r>
    </w:p>
    <w:p/>
    <w:p>
      <w:pPr>
        <w:jc w:val="center"/>
      </w:pPr>
      <w:r>
        <w:rPr>
          <w:b w:val="0"/>
          <w:i/>
        </w:rPr>
        <w:t>Тема: Модель Q-схемы (системы массового обслуживания) с очередью типа D/D/1 в среде MATLAB/Simulink</w:t>
      </w:r>
    </w:p>
    <w:p>
      <w:pPr>
        <w:pStyle w:val="Heading1"/>
      </w:pPr>
      <w:r>
        <w:t>1. Цель работы</w:t>
      </w:r>
    </w:p>
    <w:p>
      <w:r>
        <w:rPr>
          <w:b w:val="0"/>
          <w:i w:val="0"/>
        </w:rPr>
        <w:t>Построить в среде MATLAB/Simulink (библиотека SimEvents) простейшую систему массового обслуживания D/D/1, выполнить прогон модели и по результатам моделирования получить статистику работы системы: интервалы между заявками, времена обслуживания, времена ожидания в очереди и загрузку обслуживающего прибора.</w:t>
      </w:r>
    </w:p>
    <w:p>
      <w:pPr>
        <w:pStyle w:val="Heading1"/>
      </w:pPr>
      <w:r>
        <w:t>2. Описание моделируемого реального объекта и его настройки</w:t>
      </w:r>
    </w:p>
    <w:p>
      <w:r>
        <w:rPr>
          <w:b w:val="0"/>
          <w:i w:val="0"/>
        </w:rPr>
        <w:t>Моделируемый реальный объект — сервер (узел обработки запросов), к которому с постоянным темпом поступают заявки на обслуживание. Заявки обслуживаются единственным сервером в порядке поступления (дисциплина FIFO). Такой тип системы обозначается нотацией Кепдалла как D/D/1: первое D — детерминированное время поступления заявок, второе D — время обслуживания с фиксированным (детерминированным) законом распределения, 1 — один обслуживающий прибор.</w:t>
      </w:r>
    </w:p>
    <w:p>
      <w:r>
        <w:rPr>
          <w:b w:val="0"/>
          <w:i w:val="0"/>
        </w:rPr>
        <w:t>Параметры реального объекта, принятые в модели (выявлены из описания модели):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3685"/>
          </w:tcPr>
          <w:p>
            <w:r/>
            <w:r>
              <w:rPr>
                <w:rFonts w:ascii="Times New Roman" w:hAnsi="Times New Roman"/>
                <w:b/>
                <w:sz w:val="24"/>
              </w:rPr>
              <w:t>Параметр объекта</w:t>
            </w:r>
          </w:p>
        </w:tc>
        <w:tc>
          <w:tcPr>
            <w:tcW w:type="dxa" w:w="5102"/>
          </w:tcPr>
          <w:p>
            <w:r/>
            <w:r>
              <w:rPr>
                <w:rFonts w:ascii="Times New Roman" w:hAnsi="Times New Roman"/>
                <w:b/>
                <w:sz w:val="24"/>
              </w:rPr>
              <w:t>Значение в модели</w:t>
            </w:r>
          </w:p>
        </w:tc>
      </w:tr>
      <w:tr>
        <w:tc>
          <w:tcPr>
            <w:tcW w:type="dxa" w:w="3685"/>
          </w:tcPr>
          <w:p>
            <w:r/>
            <w:r>
              <w:rPr>
                <w:rFonts w:ascii="Times New Roman" w:hAnsi="Times New Roman"/>
                <w:sz w:val="24"/>
              </w:rPr>
              <w:t>Темп поступления заявок (период)</w:t>
            </w:r>
          </w:p>
        </w:tc>
        <w:tc>
          <w:tcPr>
            <w:tcW w:type="dxa" w:w="5102"/>
          </w:tcPr>
          <w:p>
            <w:r/>
            <w:r>
              <w:rPr>
                <w:rFonts w:ascii="Times New Roman" w:hAnsi="Times New Roman"/>
                <w:sz w:val="24"/>
              </w:rPr>
              <w:t>2 с, детерминированно (заявка ровно каждые 2 с)</w:t>
            </w:r>
          </w:p>
        </w:tc>
      </w:tr>
      <w:tr>
        <w:tc>
          <w:tcPr>
            <w:tcW w:type="dxa" w:w="3685"/>
          </w:tcPr>
          <w:p>
            <w:r/>
            <w:r>
              <w:rPr>
                <w:rFonts w:ascii="Times New Roman" w:hAnsi="Times New Roman"/>
                <w:sz w:val="24"/>
              </w:rPr>
              <w:t>Время обслуживания заявки</w:t>
            </w:r>
          </w:p>
        </w:tc>
        <w:tc>
          <w:tcPr>
            <w:tcW w:type="dxa" w:w="5102"/>
          </w:tcPr>
          <w:p>
            <w:r/>
            <w:r>
              <w:rPr>
                <w:rFonts w:ascii="Times New Roman" w:hAnsi="Times New Roman"/>
                <w:sz w:val="24"/>
              </w:rPr>
              <w:t>случайное, равномерное распределение на отрезке 1,5…2,5 с (среднее 2 с)</w:t>
            </w:r>
          </w:p>
        </w:tc>
      </w:tr>
      <w:tr>
        <w:tc>
          <w:tcPr>
            <w:tcW w:type="dxa" w:w="3685"/>
          </w:tcPr>
          <w:p>
            <w:r/>
            <w:r>
              <w:rPr>
                <w:rFonts w:ascii="Times New Roman" w:hAnsi="Times New Roman"/>
                <w:sz w:val="24"/>
              </w:rPr>
              <w:t>Число обслуживающих приборов</w:t>
            </w:r>
          </w:p>
        </w:tc>
        <w:tc>
          <w:tcPr>
            <w:tcW w:type="dxa" w:w="5102"/>
          </w:tcPr>
          <w:p>
            <w:r/>
            <w:r>
              <w:rPr>
                <w:rFonts w:ascii="Times New Roman" w:hAnsi="Times New Roman"/>
                <w:sz w:val="24"/>
              </w:rPr>
              <w:t>1 сервер</w:t>
            </w:r>
          </w:p>
        </w:tc>
      </w:tr>
      <w:tr>
        <w:tc>
          <w:tcPr>
            <w:tcW w:type="dxa" w:w="3685"/>
          </w:tcPr>
          <w:p>
            <w:r/>
            <w:r>
              <w:rPr>
                <w:rFonts w:ascii="Times New Roman" w:hAnsi="Times New Roman"/>
                <w:sz w:val="24"/>
              </w:rPr>
              <w:t>Дисциплина обслуживания</w:t>
            </w:r>
          </w:p>
        </w:tc>
        <w:tc>
          <w:tcPr>
            <w:tcW w:type="dxa" w:w="5102"/>
          </w:tcPr>
          <w:p>
            <w:r/>
            <w:r>
              <w:rPr>
                <w:rFonts w:ascii="Times New Roman" w:hAnsi="Times New Roman"/>
                <w:sz w:val="24"/>
              </w:rPr>
              <w:t>FIFO — «первый пришёл, первый обслужен» (блок FIFO Queue)</w:t>
            </w:r>
          </w:p>
        </w:tc>
      </w:tr>
      <w:tr>
        <w:tc>
          <w:tcPr>
            <w:tcW w:type="dxa" w:w="3685"/>
          </w:tcPr>
          <w:p>
            <w:r/>
            <w:r>
              <w:rPr>
                <w:rFonts w:ascii="Times New Roman" w:hAnsi="Times New Roman"/>
                <w:sz w:val="24"/>
              </w:rPr>
              <w:t>Вместимость очереди (буфера)</w:t>
            </w:r>
          </w:p>
        </w:tc>
        <w:tc>
          <w:tcPr>
            <w:tcW w:type="dxa" w:w="5102"/>
          </w:tcPr>
          <w:p>
            <w:r/>
            <w:r>
              <w:rPr>
                <w:rFonts w:ascii="Times New Roman" w:hAnsi="Times New Roman"/>
                <w:sz w:val="24"/>
              </w:rPr>
              <w:t>25 заявок</w:t>
            </w:r>
          </w:p>
        </w:tc>
      </w:tr>
      <w:tr>
        <w:tc>
          <w:tcPr>
            <w:tcW w:type="dxa" w:w="3685"/>
          </w:tcPr>
          <w:p>
            <w:r/>
            <w:r>
              <w:rPr>
                <w:rFonts w:ascii="Times New Roman" w:hAnsi="Times New Roman"/>
                <w:sz w:val="24"/>
              </w:rPr>
              <w:t>Режим работы</w:t>
            </w:r>
          </w:p>
        </w:tc>
        <w:tc>
          <w:tcPr>
            <w:tcW w:type="dxa" w:w="5102"/>
          </w:tcPr>
          <w:p>
            <w:r/>
            <w:r>
              <w:rPr>
                <w:rFonts w:ascii="Times New Roman" w:hAnsi="Times New Roman"/>
                <w:sz w:val="24"/>
              </w:rPr>
              <w:t>λ = 0,5 заявки/с, E[S] = 2 с ⇒ коэффициент загрузки ρ = λ·E[S] = 1 — граница устойчивости</w:t>
            </w:r>
          </w:p>
        </w:tc>
      </w:tr>
      <w:tr>
        <w:tc>
          <w:tcPr>
            <w:tcW w:type="dxa" w:w="3685"/>
          </w:tcPr>
          <w:p>
            <w:r/>
            <w:r>
              <w:rPr>
                <w:rFonts w:ascii="Times New Roman" w:hAnsi="Times New Roman"/>
                <w:sz w:val="24"/>
              </w:rPr>
              <w:t>Масштаб времени модели</w:t>
            </w:r>
          </w:p>
        </w:tc>
        <w:tc>
          <w:tcPr>
            <w:tcW w:type="dxa" w:w="5102"/>
          </w:tcPr>
          <w:p>
            <w:r/>
            <w:r>
              <w:rPr>
                <w:rFonts w:ascii="Times New Roman" w:hAnsi="Times New Roman"/>
                <w:sz w:val="24"/>
              </w:rPr>
              <w:t>1 с модели = 1 с реального времени; время прогона — 50 с</w:t>
            </w:r>
          </w:p>
        </w:tc>
      </w:tr>
    </w:tbl>
    <w:p>
      <w:r>
        <w:rPr>
          <w:b w:val="0"/>
          <w:i w:val="0"/>
        </w:rPr>
        <w:t>Реальный аналог: web-сервер, касса или оператор, обрабатывающие запросы, приходящие с фиксированным интервалом; интервал поступления равен среднему времени обработки — система работает на пределе своей пропускной способности.</w:t>
      </w:r>
    </w:p>
    <w:p>
      <w:pPr>
        <w:pStyle w:val="Heading1"/>
      </w:pPr>
      <w:r>
        <w:t>3. Цель создания модели и получаемая при прогоне статистические данные</w:t>
      </w:r>
    </w:p>
    <w:p>
      <w:r>
        <w:rPr>
          <w:b w:val="0"/>
          <w:i w:val="0"/>
        </w:rPr>
        <w:t>Цель создания модели: проверить на простейшей Q-схеме поведение СМО в критическом режиме (темп поступления равен среднему темпу обслуживания) и получить наглядные показатели её работы.</w:t>
      </w:r>
    </w:p>
    <w:p>
      <w:r>
        <w:rPr>
          <w:b w:val="0"/>
          <w:i w:val="0"/>
        </w:rPr>
        <w:t>При прогоне модели регистрируются следующие статистические данные: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3118"/>
          </w:tcPr>
          <w:p>
            <w:r/>
            <w:r>
              <w:rPr>
                <w:rFonts w:ascii="Times New Roman" w:hAnsi="Times New Roman"/>
                <w:b/>
                <w:sz w:val="24"/>
              </w:rPr>
              <w:t>Блок визуализации</w:t>
            </w:r>
          </w:p>
        </w:tc>
        <w:tc>
          <w:tcPr>
            <w:tcW w:type="dxa" w:w="5669"/>
          </w:tcPr>
          <w:p>
            <w:r/>
            <w:r>
              <w:rPr>
                <w:rFonts w:ascii="Times New Roman" w:hAnsi="Times New Roman"/>
                <w:b/>
                <w:sz w:val="24"/>
              </w:rPr>
              <w:t>Что показывает (статистика)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Times New Roman" w:hAnsi="Times New Roman"/>
                <w:sz w:val="24"/>
              </w:rPr>
              <w:t>Signal Scope «InterTime»</w:t>
            </w:r>
          </w:p>
        </w:tc>
        <w:tc>
          <w:tcPr>
            <w:tcW w:type="dxa" w:w="5669"/>
          </w:tcPr>
          <w:p>
            <w:r/>
            <w:r>
              <w:rPr>
                <w:rFonts w:ascii="Times New Roman" w:hAnsi="Times New Roman"/>
                <w:sz w:val="24"/>
              </w:rPr>
              <w:t>интервалы времени между поступающими заявками (по оси X — время, по оси Y — интервал)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Times New Roman" w:hAnsi="Times New Roman"/>
                <w:sz w:val="24"/>
              </w:rPr>
              <w:t>Signal Scope «Service Time»</w:t>
            </w:r>
          </w:p>
        </w:tc>
        <w:tc>
          <w:tcPr>
            <w:tcW w:type="dxa" w:w="5669"/>
          </w:tcPr>
          <w:p>
            <w:r/>
            <w:r>
              <w:rPr>
                <w:rFonts w:ascii="Times New Roman" w:hAnsi="Times New Roman"/>
                <w:sz w:val="24"/>
              </w:rPr>
              <w:t>последовательность псевдослучайных времён обслуживания заявок сервером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Times New Roman" w:hAnsi="Times New Roman"/>
                <w:sz w:val="24"/>
              </w:rPr>
              <w:t>Signal Scope «Wait Time»</w:t>
            </w:r>
          </w:p>
        </w:tc>
        <w:tc>
          <w:tcPr>
            <w:tcW w:type="dxa" w:w="5669"/>
          </w:tcPr>
          <w:p>
            <w:r/>
            <w:r>
              <w:rPr>
                <w:rFonts w:ascii="Times New Roman" w:hAnsi="Times New Roman"/>
                <w:sz w:val="24"/>
              </w:rPr>
              <w:t>время ожидания каждой заявки в очереди перед обслуживающим прибором (ось X — заявка, ось Y — время ожидания)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Times New Roman" w:hAnsi="Times New Roman"/>
                <w:sz w:val="24"/>
              </w:rPr>
              <w:t>Signal Scope «Utilization»</w:t>
            </w:r>
          </w:p>
        </w:tc>
        <w:tc>
          <w:tcPr>
            <w:tcW w:type="dxa" w:w="5669"/>
          </w:tcPr>
          <w:p>
            <w:r/>
            <w:r>
              <w:rPr>
                <w:rFonts w:ascii="Times New Roman" w:hAnsi="Times New Roman"/>
                <w:sz w:val="24"/>
              </w:rPr>
              <w:t>загрузка сервера при обслуживании каждой заявки (ось X — номер заявки, ось Y — загрузка 0…1)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Times New Roman" w:hAnsi="Times New Roman"/>
                <w:sz w:val="24"/>
              </w:rPr>
              <w:t>Display</w:t>
            </w:r>
          </w:p>
        </w:tc>
        <w:tc>
          <w:tcPr>
            <w:tcW w:type="dxa" w:w="5669"/>
          </w:tcPr>
          <w:p>
            <w:r/>
            <w:r>
              <w:rPr>
                <w:rFonts w:ascii="Times New Roman" w:hAnsi="Times New Roman"/>
                <w:sz w:val="24"/>
              </w:rPr>
              <w:t>количество сформированных заявок на обслуживание (статистика #d генератора)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Times New Roman" w:hAnsi="Times New Roman"/>
                <w:sz w:val="24"/>
              </w:rPr>
              <w:t>Статистика генератора</w:t>
            </w:r>
          </w:p>
        </w:tc>
        <w:tc>
          <w:tcPr>
            <w:tcW w:type="dxa" w:w="5669"/>
          </w:tcPr>
          <w:p>
            <w:r/>
            <w:r>
              <w:rPr>
                <w:rFonts w:ascii="Times New Roman" w:hAnsi="Times New Roman"/>
                <w:sz w:val="24"/>
              </w:rPr>
              <w:t>среднее время между генерациями заявок (Average intergeneration time)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Times New Roman" w:hAnsi="Times New Roman"/>
                <w:sz w:val="24"/>
              </w:rPr>
              <w:t>Статистика очереди</w:t>
            </w:r>
          </w:p>
        </w:tc>
        <w:tc>
          <w:tcPr>
            <w:tcW w:type="dxa" w:w="5669"/>
          </w:tcPr>
          <w:p>
            <w:r/>
            <w:r>
              <w:rPr>
                <w:rFonts w:ascii="Times New Roman" w:hAnsi="Times New Roman"/>
                <w:sz w:val="24"/>
              </w:rPr>
              <w:t>среднее время ожидания заявки в очереди (Average wait)</w:t>
            </w:r>
          </w:p>
        </w:tc>
      </w:tr>
    </w:tbl>
    <w:p>
      <w:r>
        <w:rPr>
          <w:b w:val="0"/>
          <w:i w:val="0"/>
        </w:rPr>
        <w:t>Эти данные позволяют судить о пропускной способности системы, загрузке сервера и накоплении задержек в очереди.</w:t>
      </w:r>
    </w:p>
    <w:p>
      <w:pPr>
        <w:pStyle w:val="Heading1"/>
      </w:pPr>
      <w:r>
        <w:t>4. Обоснование времени прогона модели</w:t>
      </w:r>
    </w:p>
    <w:p>
      <w:r>
        <w:rPr>
          <w:b w:val="0"/>
          <w:i w:val="0"/>
        </w:rPr>
        <w:t>Время прогона обосновывается свойствами реального объекта (см. п. 2):</w:t>
      </w:r>
    </w:p>
    <w:p>
      <w:pPr>
        <w:pStyle w:val="ListBullet"/>
      </w:pPr>
      <w:r>
        <w:t>период поступления заявок равен 2 с, поэтому за время прогона 50 с в систему поступает 25 заявок, т.е. выполняется 25 циклов обслуживания — этого достаточно, чтобы наблюдать установившийся режим и обе характерные ситуации: обслуживание быстрее 2 с (очередь рассасывается) и медленнее 2 с (очередь растёт);</w:t>
      </w:r>
    </w:p>
    <w:p>
      <w:pPr>
        <w:pStyle w:val="ListBullet"/>
      </w:pPr>
      <w:r>
        <w:t>для получения наглядной статистики необходимо не менее 20–30 наблюдений (циклов обслуживания): 30 циклов × 2 с = 60 с, принятое значение 50 с (25 заявок) близко к этому минимуму; для строгой статистики рекомендуется 300–500 с (150–250 заявок);</w:t>
      </w:r>
    </w:p>
    <w:p>
      <w:pPr>
        <w:pStyle w:val="ListBullet"/>
      </w:pPr>
      <w:r>
        <w:t>реальный объект: пиковая нагрузка на сервер длится минуты; 50 с модели соответствуют ≈ 1 минуте наблюдения за напряжённой работой сервера — типичному «эпизоду» измерений на реальном узле.</w:t>
      </w:r>
    </w:p>
    <w:p>
      <w:r>
        <w:rPr>
          <w:b w:val="0"/>
          <w:i w:val="0"/>
        </w:rPr>
        <w:t>Вывод: время прогона 50 с обосновано периодом поступления заявок (2 с) и необходимостью наблюдать не менее 20–30 циклов обслуживания; при этом в систему поступает 25 заявок — статистически значимая для учебного эксперимента выборка.</w:t>
      </w:r>
    </w:p>
    <w:p>
      <w:pPr>
        <w:pStyle w:val="Heading1"/>
      </w:pPr>
      <w:r>
        <w:t>5. Состав модели и конфигурирование блоков</w:t>
      </w:r>
    </w:p>
    <w:p>
      <w:r>
        <w:rPr>
          <w:b w:val="0"/>
          <w:i w:val="0"/>
        </w:rPr>
        <w:t>Для построения модели использованы блоки библиотеки SimEvents: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2835"/>
          </w:tcPr>
          <w:p>
            <w:r/>
            <w:r>
              <w:rPr>
                <w:rFonts w:ascii="Times New Roman" w:hAnsi="Times New Roman"/>
                <w:b/>
                <w:sz w:val="24"/>
              </w:rPr>
              <w:t>Блок</w:t>
            </w:r>
          </w:p>
        </w:tc>
        <w:tc>
          <w:tcPr>
            <w:tcW w:type="dxa" w:w="3118"/>
          </w:tcPr>
          <w:p>
            <w:r/>
            <w:r>
              <w:rPr>
                <w:rFonts w:ascii="Times New Roman" w:hAnsi="Times New Roman"/>
                <w:b/>
                <w:sz w:val="24"/>
              </w:rPr>
              <w:t>Назначение</w:t>
            </w:r>
          </w:p>
        </w:tc>
        <w:tc>
          <w:tcPr>
            <w:tcW w:type="dxa" w:w="2835"/>
          </w:tcPr>
          <w:p>
            <w:r/>
            <w:r>
              <w:rPr>
                <w:rFonts w:ascii="Times New Roman" w:hAnsi="Times New Roman"/>
                <w:b/>
                <w:sz w:val="24"/>
              </w:rPr>
              <w:t>Ключевые параметры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Times New Roman" w:hAnsi="Times New Roman"/>
                <w:sz w:val="24"/>
              </w:rPr>
              <w:t>Time-Based Entity Generator</w:t>
            </w:r>
          </w:p>
        </w:tc>
        <w:tc>
          <w:tcPr>
            <w:tcW w:type="dxa" w:w="3118"/>
          </w:tcPr>
          <w:p>
            <w:r/>
            <w:r>
              <w:rPr>
                <w:rFonts w:ascii="Times New Roman" w:hAnsi="Times New Roman"/>
                <w:sz w:val="24"/>
              </w:rPr>
              <w:t>формирование потока заявок (запросов на обслуживание)</w:t>
            </w:r>
          </w:p>
        </w:tc>
        <w:tc>
          <w:tcPr>
            <w:tcW w:type="dxa" w:w="2835"/>
          </w:tcPr>
          <w:p>
            <w:r/>
            <w:r>
              <w:rPr>
                <w:rFonts w:ascii="Times New Roman" w:hAnsi="Times New Roman"/>
                <w:sz w:val="24"/>
              </w:rPr>
              <w:t>Period = 2; статистики: Number of entities departed (#d), Average intergeneration time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Times New Roman" w:hAnsi="Times New Roman"/>
                <w:sz w:val="24"/>
              </w:rPr>
              <w:t>FIFO Queue</w:t>
            </w:r>
          </w:p>
        </w:tc>
        <w:tc>
          <w:tcPr>
            <w:tcW w:type="dxa" w:w="3118"/>
          </w:tcPr>
          <w:p>
            <w:r/>
            <w:r>
              <w:rPr>
                <w:rFonts w:ascii="Times New Roman" w:hAnsi="Times New Roman"/>
                <w:sz w:val="24"/>
              </w:rPr>
              <w:t>очередь с дисциплиной FIFO</w:t>
            </w:r>
          </w:p>
        </w:tc>
        <w:tc>
          <w:tcPr>
            <w:tcW w:type="dxa" w:w="2835"/>
          </w:tcPr>
          <w:p>
            <w:r/>
            <w:r>
              <w:rPr>
                <w:rFonts w:ascii="Times New Roman" w:hAnsi="Times New Roman"/>
                <w:sz w:val="24"/>
              </w:rPr>
              <w:t>Capacity = 25; статистика: Average wait (среднее время ожидания)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Times New Roman" w:hAnsi="Times New Roman"/>
                <w:sz w:val="24"/>
              </w:rPr>
              <w:t>Event-Based Random Number</w:t>
            </w:r>
          </w:p>
        </w:tc>
        <w:tc>
          <w:tcPr>
            <w:tcW w:type="dxa" w:w="3118"/>
          </w:tcPr>
          <w:p>
            <w:r/>
            <w:r>
              <w:rPr>
                <w:rFonts w:ascii="Times New Roman" w:hAnsi="Times New Roman"/>
                <w:sz w:val="24"/>
              </w:rPr>
              <w:t>генерация времени обслуживания заявок</w:t>
            </w:r>
          </w:p>
        </w:tc>
        <w:tc>
          <w:tcPr>
            <w:tcW w:type="dxa" w:w="2835"/>
          </w:tcPr>
          <w:p>
            <w:r/>
            <w:r>
              <w:rPr>
                <w:rFonts w:ascii="Times New Roman" w:hAnsi="Times New Roman"/>
                <w:sz w:val="24"/>
              </w:rPr>
              <w:t>Distribution = Uniform; Minimum = 1,5; Maximum = 2,5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Times New Roman" w:hAnsi="Times New Roman"/>
                <w:sz w:val="24"/>
              </w:rPr>
              <w:t>Single Server</w:t>
            </w:r>
          </w:p>
        </w:tc>
        <w:tc>
          <w:tcPr>
            <w:tcW w:type="dxa" w:w="3118"/>
          </w:tcPr>
          <w:p>
            <w:r/>
            <w:r>
              <w:rPr>
                <w:rFonts w:ascii="Times New Roman" w:hAnsi="Times New Roman"/>
                <w:sz w:val="24"/>
              </w:rPr>
              <w:t>обслуживающий прибор</w:t>
            </w:r>
          </w:p>
        </w:tc>
        <w:tc>
          <w:tcPr>
            <w:tcW w:type="dxa" w:w="2835"/>
          </w:tcPr>
          <w:p>
            <w:r/>
            <w:r>
              <w:rPr>
                <w:rFonts w:ascii="Times New Roman" w:hAnsi="Times New Roman"/>
                <w:sz w:val="24"/>
              </w:rPr>
              <w:t>Service time from = Signal port t; статистика: Utilization (util)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Times New Roman" w:hAnsi="Times New Roman"/>
                <w:sz w:val="24"/>
              </w:rPr>
              <w:t>Entity Sink</w:t>
            </w:r>
          </w:p>
        </w:tc>
        <w:tc>
          <w:tcPr>
            <w:tcW w:type="dxa" w:w="3118"/>
          </w:tcPr>
          <w:p>
            <w:r/>
            <w:r>
              <w:rPr>
                <w:rFonts w:ascii="Times New Roman" w:hAnsi="Times New Roman"/>
                <w:sz w:val="24"/>
              </w:rPr>
              <w:t>приёмник обслуженных заявок</w:t>
            </w:r>
          </w:p>
        </w:tc>
        <w:tc>
          <w:tcPr>
            <w:tcW w:type="dxa" w:w="2835"/>
          </w:tcPr>
          <w:p>
            <w:r/>
            <w:r>
              <w:rPr>
                <w:rFonts w:ascii="Times New Roman" w:hAnsi="Times New Roman"/>
                <w:sz w:val="24"/>
              </w:rPr>
              <w:t>—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Times New Roman" w:hAnsi="Times New Roman"/>
                <w:sz w:val="24"/>
              </w:rPr>
              <w:t>Signal Scope × 4</w:t>
            </w:r>
          </w:p>
        </w:tc>
        <w:tc>
          <w:tcPr>
            <w:tcW w:type="dxa" w:w="3118"/>
          </w:tcPr>
          <w:p>
            <w:r/>
            <w:r>
              <w:rPr>
                <w:rFonts w:ascii="Times New Roman" w:hAnsi="Times New Roman"/>
                <w:sz w:val="24"/>
              </w:rPr>
              <w:t>визуализация: InterTime, Service Time, Wait Time, Utilization</w:t>
            </w:r>
          </w:p>
        </w:tc>
        <w:tc>
          <w:tcPr>
            <w:tcW w:type="dxa" w:w="2835"/>
          </w:tcPr>
          <w:p>
            <w:r/>
            <w:r>
              <w:rPr>
                <w:rFonts w:ascii="Times New Roman" w:hAnsi="Times New Roman"/>
                <w:sz w:val="24"/>
              </w:rPr>
              <w:t>—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Times New Roman" w:hAnsi="Times New Roman"/>
                <w:sz w:val="24"/>
              </w:rPr>
              <w:t>Display</w:t>
            </w:r>
          </w:p>
        </w:tc>
        <w:tc>
          <w:tcPr>
            <w:tcW w:type="dxa" w:w="3118"/>
          </w:tcPr>
          <w:p>
            <w:r/>
            <w:r>
              <w:rPr>
                <w:rFonts w:ascii="Times New Roman" w:hAnsi="Times New Roman"/>
                <w:sz w:val="24"/>
              </w:rPr>
              <w:t>отображение числа сформированных заявок</w:t>
            </w:r>
          </w:p>
        </w:tc>
        <w:tc>
          <w:tcPr>
            <w:tcW w:type="dxa" w:w="2835"/>
          </w:tcPr>
          <w:p>
            <w:r/>
            <w:r>
              <w:rPr>
                <w:rFonts w:ascii="Times New Roman" w:hAnsi="Times New Roman"/>
                <w:sz w:val="24"/>
              </w:rPr>
              <w:t>—</w:t>
            </w:r>
          </w:p>
        </w:tc>
      </w:tr>
    </w:tbl>
    <w:p>
      <w:r>
        <w:rPr>
          <w:b w:val="0"/>
          <w:i w:val="0"/>
        </w:rPr>
        <w:t>Структура соединений: Time-Based Entity Generator → FIFO Queue → Single Server → Entity Sink; выход Event-Based Random Number подключён к порту t (Signal port t) сервера; сигналы статистики подключены к блокам Signal Scope и Display.</w:t>
      </w:r>
    </w:p>
    <w:p>
      <w:pPr>
        <w:pStyle w:val="Heading1"/>
      </w:pPr>
      <w:r>
        <w:t>6. Проведение эксперимента и результаты</w:t>
      </w:r>
    </w:p>
    <w:p>
      <w:r>
        <w:rPr>
          <w:b w:val="0"/>
          <w:i w:val="0"/>
        </w:rPr>
        <w:t>В меню окна модели установлено время моделирования (Stop time) = 50, после чего нажата кнопка Start. По завершении моделирования блоки Signal Scope открыли окна с графиками (рис. 1).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13875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b1 primer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138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i/>
          <w:sz w:val="24"/>
        </w:rPr>
        <w:t>Рис. 1. Результаты прогона модели: окна InterTime, Service Time, Utilization, Wait Time (и схема модели)</w:t>
      </w:r>
    </w:p>
    <w:p>
      <w:r>
        <w:rPr>
          <w:b w:val="0"/>
          <w:i w:val="0"/>
        </w:rPr>
        <w:t>Анализ полученных графиков:</w:t>
      </w:r>
    </w:p>
    <w:p>
      <w:pPr>
        <w:pStyle w:val="ListBullet"/>
      </w:pPr>
      <w:r>
        <w:t>InterTime — точки лежат на постоянном уровне 2 с: интервал между заявками строго детерминированный, что подтверждает корректность настройки генератора (Period = 2);</w:t>
      </w:r>
    </w:p>
    <w:p>
      <w:pPr>
        <w:pStyle w:val="ListBullet"/>
      </w:pPr>
      <w:r>
        <w:t>Service Time — последовательность псевдослучайных чисел в диапазоне ≈ 1,5…2,5 с (равномерное распределение, среднее ≈ 2 с) — каждое значение используется как время обслуживания очередной заявки;</w:t>
      </w:r>
    </w:p>
    <w:p>
      <w:pPr>
        <w:pStyle w:val="ListBullet"/>
      </w:pPr>
      <w:r>
        <w:t>Wait Time — время ожидания заявок в очереди близко к нулю (единичные всплески до ≈ 0,5 с): при поступлении заявок каждые 2 с и среднем времени обслуживания 2 с очередь почти не накапливается, задержки возникают только когда время обслуживания превышает 2 с;</w:t>
      </w:r>
    </w:p>
    <w:p>
      <w:pPr>
        <w:pStyle w:val="ListBullet"/>
      </w:pPr>
      <w:r>
        <w:t>Utilization — загрузка сервера по заявкам близка к 1 (≈ 0,8…1,0): сервер практически не простаивает, система работает на границе своих возможностей (ρ = 1);</w:t>
      </w:r>
    </w:p>
    <w:p>
      <w:pPr>
        <w:pStyle w:val="ListBullet"/>
      </w:pPr>
      <w:r>
        <w:t>Display — количество сформированных заявок за 50 с ≈ 25 (точное значение — на дисплейном блоке).</w:t>
      </w:r>
    </w:p>
    <w:p>
      <w:pPr>
        <w:pStyle w:val="Heading1"/>
      </w:pPr>
      <w:r>
        <w:t>7. Выводы</w:t>
      </w:r>
    </w:p>
    <w:p>
      <w:pPr>
        <w:pStyle w:val="ListBullet"/>
      </w:pPr>
      <w:r>
        <w:t>модель СМО D/D/1 в среде Simulink (SimEvents) построена и работоспособна: поток заявок, очередь, сервер и приёмник соединены в единую Q-схему;</w:t>
      </w:r>
    </w:p>
    <w:p>
      <w:pPr>
        <w:pStyle w:val="ListBullet"/>
      </w:pPr>
      <w:r>
        <w:t>получена статистика по всем интересующим показателям: интервалы поступления, времена обслуживания, времена ожидания в очереди, загрузка сервера и число заявок;</w:t>
      </w:r>
    </w:p>
    <w:p>
      <w:pPr>
        <w:pStyle w:val="ListBullet"/>
      </w:pPr>
      <w:r>
        <w:t>эксперимент подтверждает теорию: при равенстве темпа поступления (2 с) и среднего времени обслуживания (2 с) система находится на границе устойчивости — сервер загружен почти на 100 %, а любой выброс времени обслуживания выше 2 с приводит к росту очереди;</w:t>
      </w:r>
    </w:p>
    <w:p>
      <w:pPr>
        <w:pStyle w:val="ListBullet"/>
      </w:pPr>
      <w:r>
        <w:t>для устойчивой работы реального объекта необходимо, чтобы среднее время обслуживания было меньше периода поступления заявок (E[S] &lt; 2 с) либо темп поступления снижён.</w:t>
      </w:r>
    </w:p>
    <w:p>
      <w:r>
        <w:rPr>
          <w:b w:val="0"/>
          <w:i w:val="0"/>
          <w:sz w:val="22"/>
        </w:rPr>
        <w:t>Использованные источники: matlab.exponenta.ru/simulink/book1; e10-bmstu.ru/file/file297.pdf; model.exponenta.ru.</w:t>
      </w:r>
    </w:p>
    <w:sectPr w:rsidR="00FC693F" w:rsidRPr="0006063C" w:rsidSect="00034616">
      <w:pgSz w:w="12240" w:h="15840"/>
      <w:pgMar w:top="1134" w:right="850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Times New Roman" w:hAnsi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 w:eastAsia="Times New Roman"/>
      <w:b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