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Top-K 유사 설계 검색을 위한 벡터 DB 생성 모듈 및 30D 특징 벡터 상세 규격</w:t>
      </w:r>
    </w:p>
    <w:p>
      <w:pPr>
        <w:pStyle w:val="Heading1"/>
      </w:pPr>
      <w:r>
        <w:t>1. 벡터 DB 생성 모듈 개발 개요</w:t>
      </w:r>
    </w:p>
    <w:p>
      <w:r>
        <w:t>Top-K 유사설계 검색의 핵심은 기설계된 수만 개의 배관 경로 중에서 현재 라우터가 설계하고자 하는 시작점/끝점 조건 및 위상 패턴과 가장 유사한 경로들을 고속으로 찾는 것입니다. 이를 위해 다음과 같은 모듈식 파이프라인을 구축했습니다.</w:t>
      </w:r>
    </w:p>
    <w:p>
      <w:pPr>
        <w:pStyle w:val="Heading2"/>
      </w:pPr>
      <w:r>
        <w:t>① 파이프라인 구동 주체</w:t>
      </w:r>
    </w:p>
    <w:p>
      <w:r>
        <w:t>- VectorDBGen (C# WPF UI): 사용자로부터 PostgreSQL 데이터베이스 연결 설정을 입력받아 스키마 초기화(DDL 실행), 스냅샷 뷰 등을 수행하고 비동기 프로세스로 파이썬 빌더를 기동합니다.</w:t>
        <w:br/>
        <w:t>- learn_design_features.py (Python): 실제 데이터베이스로부터 배관 데이터를 로드하고, 기하 보정 및 30D 특징 벡터 연산을 수행하여 PostgreSQL 내의 벡터 테이블에 벌크 적재(Upsert)합니다.</w:t>
      </w:r>
    </w:p>
    <w:p>
      <w:pPr>
        <w:pStyle w:val="Heading2"/>
      </w:pPr>
      <w:r>
        <w:t>② 데이터베이스 스펙 (TB_ROUTE_FEATURE_VECTOR)</w:t>
      </w:r>
    </w:p>
    <w:p>
      <w:r>
        <w:t>특징 벡터를 적재하기 위한 테이블 정의 및 pgvector HNSW 인덱스는 다음과 같이 정의됩니다:</w:t>
        <w:br/>
        <w:t>- 테이블명: TB_ROUTE_FEATURE_VECTOR</w:t>
        <w:br/>
        <w:t>- 컬럼 구성: ROUTE_PATH_GUID (PK), PROCESS_NAME, EQUIPMENT_NAME, UTILITY_GROUP, UTILITY, SIZE, DIRECTION_PATTERN, TOTAL_LENGTH_MM, STEP_COUNT, START_POSX/Y/Z, END_POSX/Y/Z, FEATURE_VECTOR (vector(30))</w:t>
        <w:br/>
        <w:t>- 코사인 거리 인덱스: CREATE INDEX IF NOT EXISTS "IX_TRFV_HNWS" ON "TB_ROUTE_FEATURE_VECTOR" USING hnsw ("FEATURE_VECTOR" vector_cosine_ops);</w:t>
      </w:r>
    </w:p>
    <w:p>
      <w:pPr>
        <w:pStyle w:val="Heading1"/>
      </w:pPr>
      <w:r>
        <w:t>2. 30D 특징 벡터(30D Feature Vector) 세부 명세</w:t>
      </w:r>
    </w:p>
    <w:p>
      <w:r>
        <w:t>30차원 특징 벡터는 경로의 기하학적 형태(시점/종점 진입 방향, 공간 변위, Bounding Box 범위, 3구간 분할 주행 형태, 전체 길이 등)를 인코딩하여 코사인 거리 공간 상에서 직관적으로 형태 비교가 가능하게 설계되었습니다.</w:t>
      </w:r>
    </w:p>
    <w:p>
      <w:pPr>
        <w:pStyle w:val="Heading2"/>
      </w:pPr>
      <w:r>
        <w:t>① 30D 차원 분할 구성 (Dimension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Index 범위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피처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계산 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의미 및 인코딩 목표</w:t>
            </w:r>
          </w:p>
        </w:tc>
      </w:tr>
      <w:tr>
        <w:tc>
          <w:tcPr>
            <w:tcW w:type="dxa" w:w="2160"/>
          </w:tcPr>
          <w:p>
            <w:r>
              <w:t>0 ~ 2</w:t>
            </w:r>
          </w:p>
        </w:tc>
        <w:tc>
          <w:tcPr>
            <w:tcW w:type="dxa" w:w="2160"/>
          </w:tcPr>
          <w:p>
            <w:r>
              <w:t>Start Direction</w:t>
            </w:r>
          </w:p>
        </w:tc>
        <w:tc>
          <w:tcPr>
            <w:tcW w:type="dxa" w:w="2160"/>
          </w:tcPr>
          <w:p>
            <w:r>
              <w:t>v = (p1 - p0) / ||p1 - p0||</w:t>
            </w:r>
          </w:p>
        </w:tc>
        <w:tc>
          <w:tcPr>
            <w:tcW w:type="dxa" w:w="2160"/>
          </w:tcPr>
          <w:p>
            <w:r>
              <w:t>배관 시작 부분의 3D 단위 방향 벡터</w:t>
            </w:r>
          </w:p>
        </w:tc>
      </w:tr>
      <w:tr>
        <w:tc>
          <w:tcPr>
            <w:tcW w:type="dxa" w:w="2160"/>
          </w:tcPr>
          <w:p>
            <w:r>
              <w:t>3 ~ 5</w:t>
            </w:r>
          </w:p>
        </w:tc>
        <w:tc>
          <w:tcPr>
            <w:tcW w:type="dxa" w:w="2160"/>
          </w:tcPr>
          <w:p>
            <w:r>
              <w:t>End Direction</w:t>
            </w:r>
          </w:p>
        </w:tc>
        <w:tc>
          <w:tcPr>
            <w:tcW w:type="dxa" w:w="2160"/>
          </w:tcPr>
          <w:p>
            <w:r>
              <w:t>v = (pn-1 - pn) / ||pn-1 - pn||</w:t>
            </w:r>
          </w:p>
        </w:tc>
        <w:tc>
          <w:tcPr>
            <w:tcW w:type="dxa" w:w="2160"/>
          </w:tcPr>
          <w:p>
            <w:r>
              <w:t>배관 종료 부분의 3D 단위 방향 벡터</w:t>
            </w:r>
          </w:p>
        </w:tc>
      </w:tr>
      <w:tr>
        <w:tc>
          <w:tcPr>
            <w:tcW w:type="dxa" w:w="2160"/>
          </w:tcPr>
          <w:p>
            <w:r>
              <w:t>6 ~ 8</w:t>
            </w:r>
          </w:p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d = Clamp((pn - p0)/DISPLACEMENT_MAX)</w:t>
            </w:r>
          </w:p>
        </w:tc>
        <w:tc>
          <w:tcPr>
            <w:tcW w:type="dxa" w:w="2160"/>
          </w:tcPr>
          <w:p>
            <w:r>
              <w:t>시작점에서 종료점까지의 X, Y, Z 총 변위 (스케일 정규화)</w:t>
            </w:r>
          </w:p>
        </w:tc>
      </w:tr>
      <w:tr>
        <w:tc>
          <w:tcPr>
            <w:tcW w:type="dxa" w:w="2160"/>
          </w:tcPr>
          <w:p>
            <w:r>
              <w:t>9 ~ 11</w:t>
            </w:r>
          </w:p>
        </w:tc>
        <w:tc>
          <w:tcPr>
            <w:tcW w:type="dxa" w:w="2160"/>
          </w:tcPr>
          <w:p>
            <w:r>
              <w:t>Bounding Box</w:t>
            </w:r>
          </w:p>
        </w:tc>
        <w:tc>
          <w:tcPr>
            <w:tcW w:type="dxa" w:w="2160"/>
          </w:tcPr>
          <w:p>
            <w:r>
              <w:t>b = Clamp(abs(pn - p0)/BBOX_MAX)</w:t>
            </w:r>
          </w:p>
        </w:tc>
        <w:tc>
          <w:tcPr>
            <w:tcW w:type="dxa" w:w="2160"/>
          </w:tcPr>
          <w:p>
            <w:r>
              <w:t>전체 경로가 차지하는 Bounding Box 크기 비율 (부호 없음)</w:t>
            </w:r>
          </w:p>
        </w:tc>
      </w:tr>
      <w:tr>
        <w:tc>
          <w:tcPr>
            <w:tcW w:type="dxa" w:w="2160"/>
          </w:tcPr>
          <w:p>
            <w:r>
              <w:t>12 ~ 14</w:t>
            </w:r>
          </w:p>
        </w:tc>
        <w:tc>
          <w:tcPr>
            <w:tcW w:type="dxa" w:w="2160"/>
          </w:tcPr>
          <w:p>
            <w:r>
              <w:t>Segment 1</w:t>
            </w:r>
          </w:p>
        </w:tc>
        <w:tc>
          <w:tcPr>
            <w:tcW w:type="dxa" w:w="2160"/>
          </w:tcPr>
          <w:p>
            <w:r>
              <w:t>s1 = (r1 - r0) / ||r1 - r0||</w:t>
            </w:r>
          </w:p>
        </w:tc>
        <w:tc>
          <w:tcPr>
            <w:tcW w:type="dxa" w:w="2160"/>
          </w:tcPr>
          <w:p>
            <w:r>
              <w:t>경로를 3구간 리샘플링 시 첫 번째 구간 방향 벡터</w:t>
            </w:r>
          </w:p>
        </w:tc>
      </w:tr>
      <w:tr>
        <w:tc>
          <w:tcPr>
            <w:tcW w:type="dxa" w:w="2160"/>
          </w:tcPr>
          <w:p>
            <w:r>
              <w:t>15 ~ 17</w:t>
            </w:r>
          </w:p>
        </w:tc>
        <w:tc>
          <w:tcPr>
            <w:tcW w:type="dxa" w:w="2160"/>
          </w:tcPr>
          <w:p>
            <w:r>
              <w:t>Segment 2</w:t>
            </w:r>
          </w:p>
        </w:tc>
        <w:tc>
          <w:tcPr>
            <w:tcW w:type="dxa" w:w="2160"/>
          </w:tcPr>
          <w:p>
            <w:r>
              <w:t>s2 = (r2 - r1) / ||r2 - r1||</w:t>
            </w:r>
          </w:p>
        </w:tc>
        <w:tc>
          <w:tcPr>
            <w:tcW w:type="dxa" w:w="2160"/>
          </w:tcPr>
          <w:p>
            <w:r>
              <w:t>경로를 3구간 리샘플링 시 두 번째(중앙) 구간 방향 벡터</w:t>
            </w:r>
          </w:p>
        </w:tc>
      </w:tr>
      <w:tr>
        <w:tc>
          <w:tcPr>
            <w:tcW w:type="dxa" w:w="2160"/>
          </w:tcPr>
          <w:p>
            <w:r>
              <w:t>18 ~ 20</w:t>
            </w:r>
          </w:p>
        </w:tc>
        <w:tc>
          <w:tcPr>
            <w:tcW w:type="dxa" w:w="2160"/>
          </w:tcPr>
          <w:p>
            <w:r>
              <w:t>Segment 3</w:t>
            </w:r>
          </w:p>
        </w:tc>
        <w:tc>
          <w:tcPr>
            <w:tcW w:type="dxa" w:w="2160"/>
          </w:tcPr>
          <w:p>
            <w:r>
              <w:t>s3 = (r3 - r2) / ||r3 - r2||</w:t>
            </w:r>
          </w:p>
        </w:tc>
        <w:tc>
          <w:tcPr>
            <w:tcW w:type="dxa" w:w="2160"/>
          </w:tcPr>
          <w:p>
            <w:r>
              <w:t>경로를 3구간 리샘플링 시 세 번째 구간 방향 벡터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Total Length</w:t>
            </w:r>
          </w:p>
        </w:tc>
        <w:tc>
          <w:tcPr>
            <w:tcW w:type="dxa" w:w="2160"/>
          </w:tcPr>
          <w:p>
            <w:r>
              <w:t>l = Clamp(L_total / TOTAL_LENGTH_MAX)</w:t>
            </w:r>
          </w:p>
        </w:tc>
        <w:tc>
          <w:tcPr>
            <w:tcW w:type="dxa" w:w="2160"/>
          </w:tcPr>
          <w:p>
            <w:r>
              <w:t>배관 전체 주행 경로의 총 정규화 길이</w:t>
            </w:r>
          </w:p>
        </w:tc>
      </w:tr>
      <w:tr>
        <w:tc>
          <w:tcPr>
            <w:tcW w:type="dxa" w:w="2160"/>
          </w:tcPr>
          <w:p>
            <w:r>
              <w:t>22 ~ 24</w:t>
            </w:r>
          </w:p>
        </w:tc>
        <w:tc>
          <w:tcPr>
            <w:tcW w:type="dxa" w:w="2160"/>
          </w:tcPr>
          <w:p>
            <w:r>
              <w:t>Env Cost</w:t>
            </w:r>
          </w:p>
        </w:tc>
        <w:tc>
          <w:tcPr>
            <w:tcW w:type="dxa" w:w="2160"/>
          </w:tcPr>
          <w:p>
            <w:r>
              <w:t>0.0 패딩</w:t>
            </w:r>
          </w:p>
        </w:tc>
        <w:tc>
          <w:tcPr>
            <w:tcW w:type="dxa" w:w="2160"/>
          </w:tcPr>
          <w:p>
            <w:r>
              <w:t>장애물 회피 비용 등 환경 특성 요약 피처 영역</w:t>
            </w:r>
          </w:p>
        </w:tc>
      </w:tr>
      <w:tr>
        <w:tc>
          <w:tcPr>
            <w:tcW w:type="dxa" w:w="2160"/>
          </w:tcPr>
          <w:p>
            <w:r>
              <w:t>25 ~ 29</w:t>
            </w:r>
          </w:p>
        </w:tc>
        <w:tc>
          <w:tcPr>
            <w:tcW w:type="dxa" w:w="2160"/>
          </w:tcPr>
          <w:p>
            <w:r>
              <w:t>Arrow Pattern</w:t>
            </w:r>
          </w:p>
        </w:tc>
        <w:tc>
          <w:tcPr>
            <w:tcW w:type="dxa" w:w="2160"/>
          </w:tcPr>
          <w:p>
            <w:r>
              <w:t>0.0 패딩</w:t>
            </w:r>
          </w:p>
        </w:tc>
        <w:tc>
          <w:tcPr>
            <w:tcW w:type="dxa" w:w="2160"/>
          </w:tcPr>
          <w:p>
            <w:r>
              <w:t>방향성 RLE 부호화 통계 특징 영역</w:t>
            </w:r>
          </w:p>
        </w:tc>
      </w:tr>
    </w:tbl>
    <w:p/>
    <w:p>
      <w:pPr>
        <w:pStyle w:val="Heading2"/>
      </w:pPr>
      <w:r>
        <w:t>② 가중치 적용 맵 (WEIGHT_MAP) 및 동적 스케일</w:t>
      </w:r>
    </w:p>
    <w:p>
      <w:r>
        <w:t>피처 성격에 따른 중요도를 맞추기 위해 WEIGHT_MAP을 적용하여 동적으로 스케일 팩터를 곱합니다:</w:t>
        <w:br/>
        <w:t>- 가중치 배분: start_topology (0.20), end_topology (0.20), displacement (0.15), bounding_box (0.15), segment_1/2/3 (각 0.06), env_cost (0.12), arrow_pattern (0.15)</w:t>
        <w:br/>
        <w:t>- 스케일 팩터 산출 공식: S = sqrt(W_sub * 30.0 / D_sub)</w:t>
        <w:br/>
        <w:t>- 가중치가 적용된 벡터에 크기를 1로 조절하는 L2 정규화를 거쳐 최종 데이터베이스에 적재합니다.</w:t>
      </w:r>
    </w:p>
    <w:p>
      <w:pPr>
        <w:pStyle w:val="Heading1"/>
      </w:pPr>
      <w:r>
        <w:t>3. 쿼리 벡터 생성 (Query Vector Construction)</w:t>
      </w:r>
    </w:p>
    <w:p>
      <w:r>
        <w:t>사용자가 라우팅 에디터 상에서 시작점과 종료점을 클릭하면, TopKSearchStandalone.cs의 BuildQueryVector30D 함수가 작동하여 동일한 가중치와 정규화 기준을 가지는 30차원 쿼리 벡터를 실시간으로 조립합니다. 꺾임 세그먼트 및 통계 데이터는 알 수 없으므로 0.0으로 패딩하고 L2 정규화를 적용합니다.</w:t>
      </w:r>
    </w:p>
    <w:p>
      <w:pPr>
        <w:pStyle w:val="Heading1"/>
      </w:pPr>
      <w:r>
        <w:t>4. 하이브리드 재정렬 (Hybrid Reranking) 알고리즘</w:t>
      </w:r>
    </w:p>
    <w:p>
      <w:r>
        <w:t>pgvector 코사인 거리 검색을 통해 1차로 걸러진 N개의 후보군을 대상으로 3대 유사도 점수의 가중합으로 최종 점수를 산출해 재정렬합니다:</w:t>
        <w:br/>
        <w:t>1. 상대위치 유사도 (Position Score - 50%): 쿼리 변위와 후보 변위 간의 물리적 거리 차이 정규화 점수</w:t>
        <w:br/>
        <w:t>2. 패턴 유사도 (Pattern Score - 30%): 쿼리 패턴과 후보의 방향 RLE 패턴 문자열 간의 Levenshtein 편집거리 점수</w:t>
        <w:br/>
        <w:t>3. 벡터 유사도 (Vector Score - 20%): 코사인 유사도 점수 (1.0 - CosineDistance)</w:t>
        <w:br/>
        <w:t>최종 수식: Score = 0.5 * Score_pos + 0.3 * Score_pattern + 0.2 * Score_vector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