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0CF" w:rsidRDefault="00DC40CF" w:rsidP="00DC40CF">
      <w:pPr>
        <w:pStyle w:val="Ttulo2"/>
      </w:pPr>
      <w:r w:rsidRPr="00DC40CF">
        <w:t>Viabilidad de proyectos</w:t>
      </w:r>
    </w:p>
    <w:p w:rsidR="00DC40CF" w:rsidRPr="00DC40CF" w:rsidRDefault="00DC40CF" w:rsidP="00DC40CF"/>
    <w:p w:rsidR="00DC40CF" w:rsidRPr="00DC40CF" w:rsidRDefault="00DC40CF" w:rsidP="00DC40CF">
      <w:pPr>
        <w:spacing w:line="240" w:lineRule="auto"/>
      </w:pPr>
      <m:oMathPara>
        <m:oMathParaPr>
          <m:jc m:val="left"/>
        </m:oMathParaPr>
        <m:oMath>
          <m:r>
            <w:rPr>
              <w:rFonts w:ascii="Cambria Math" w:hAnsi="Cambria Math"/>
            </w:rPr>
            <m:t xml:space="preserve">Valor actual= </m:t>
          </m:r>
          <m:f>
            <m:fPr>
              <m:ctrlPr>
                <w:rPr>
                  <w:rFonts w:ascii="Cambria Math" w:hAnsi="Cambria Math"/>
                  <w:i/>
                </w:rPr>
              </m:ctrlPr>
            </m:fPr>
            <m:num>
              <m:r>
                <w:rPr>
                  <w:rFonts w:ascii="Cambria Math" w:hAnsi="Cambria Math"/>
                </w:rPr>
                <m:t>Valor final</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t</m:t>
                          </m:r>
                        </m:num>
                        <m:den>
                          <m:r>
                            <w:rPr>
                              <w:rFonts w:ascii="Cambria Math" w:hAnsi="Cambria Math"/>
                            </w:rPr>
                            <m:t>100</m:t>
                          </m:r>
                        </m:den>
                      </m:f>
                    </m:e>
                  </m:d>
                </m:e>
                <m:sup>
                  <m:r>
                    <w:rPr>
                      <w:rFonts w:ascii="Cambria Math" w:hAnsi="Cambria Math"/>
                    </w:rPr>
                    <m:t>n-1</m:t>
                  </m:r>
                </m:sup>
              </m:sSup>
            </m:den>
          </m:f>
        </m:oMath>
      </m:oMathPara>
    </w:p>
    <w:p w:rsidR="00DC40CF" w:rsidRDefault="00DC40CF" w:rsidP="00DC40CF">
      <w:pPr>
        <w:spacing w:line="240" w:lineRule="auto"/>
      </w:pPr>
      <w:r>
        <w:t xml:space="preserve">Donde </w:t>
      </w:r>
      <w:r w:rsidRPr="00DC40CF">
        <w:rPr>
          <w:b/>
        </w:rPr>
        <w:t>t</w:t>
      </w:r>
      <w:r>
        <w:t xml:space="preserve"> es la tasa de inflación y </w:t>
      </w:r>
      <w:r w:rsidRPr="00DC40CF">
        <w:rPr>
          <w:b/>
        </w:rPr>
        <w:t>n</w:t>
      </w:r>
      <w:r>
        <w:t xml:space="preserve"> es el año para el que se desea calcular</w:t>
      </w:r>
    </w:p>
    <w:p w:rsidR="00DC40CF" w:rsidRDefault="00DC40CF">
      <w:pPr>
        <w:rPr>
          <w:b/>
        </w:rPr>
      </w:pPr>
    </w:p>
    <w:p w:rsidR="00DC40CF" w:rsidRDefault="00DC40CF" w:rsidP="00DC40CF">
      <w:pPr>
        <w:pStyle w:val="Ttulo2"/>
      </w:pPr>
      <w:r w:rsidRPr="00DC40CF">
        <w:t>Ejercicio 1</w:t>
      </w:r>
    </w:p>
    <w:p w:rsidR="00DC40CF" w:rsidRDefault="00DC40CF" w:rsidP="00DC40CF">
      <w:pPr>
        <w:spacing w:line="240" w:lineRule="auto"/>
        <w:jc w:val="both"/>
      </w:pPr>
      <w:r w:rsidRPr="00DC40CF">
        <w:t>Para  el  desarrollo  de  un  proyecto  se  estima  en  1  año  el  tiempo  que  debe transcurrir hasta que dicho proyecto pueda entrar en explotación. La aplicación tendrá  una  vida  de  6  años  (incluido  el  tiempo  de    desarrollo).  El  coste  de desarrollo por año se ha estimado en 3000 UM y el coste de mantenimiento se ha estimado de 150 UM para el resto de los años. El beneficio de dicho proyecto se  estima  en  600  UM,  con  un  incremento  del  beneficio  del  20%  cada  año. Calcule el beneficio neto anual y el acumulado si se aplica una tasa de inflación anual del 10%.</w:t>
      </w:r>
    </w:p>
    <w:p w:rsidR="00DC40CF" w:rsidRDefault="00DC40CF" w:rsidP="00DC40CF">
      <w:pPr>
        <w:spacing w:line="240" w:lineRule="auto"/>
      </w:pPr>
      <w:r>
        <w:rPr>
          <w:noProof/>
        </w:rPr>
        <w:drawing>
          <wp:inline distT="0" distB="0" distL="0" distR="0" wp14:anchorId="791C233B" wp14:editId="79E4F998">
            <wp:extent cx="6020884" cy="1038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22928" cy="1038578"/>
                    </a:xfrm>
                    <a:prstGeom prst="rect">
                      <a:avLst/>
                    </a:prstGeom>
                  </pic:spPr>
                </pic:pic>
              </a:graphicData>
            </a:graphic>
          </wp:inline>
        </w:drawing>
      </w:r>
    </w:p>
    <w:p w:rsidR="00DC40CF" w:rsidRDefault="00DC40CF">
      <w:pPr>
        <w:rPr>
          <w:b/>
        </w:rPr>
      </w:pPr>
      <w:r>
        <w:rPr>
          <w:b/>
        </w:rPr>
        <w:br w:type="page"/>
      </w:r>
    </w:p>
    <w:p w:rsidR="00DC40CF" w:rsidRPr="00DC40CF" w:rsidRDefault="00DC40CF" w:rsidP="00DC40CF">
      <w:pPr>
        <w:pStyle w:val="Ttulo2"/>
      </w:pPr>
      <w:r w:rsidRPr="00DC40CF">
        <w:lastRenderedPageBreak/>
        <w:t>Ejercicio 2</w:t>
      </w:r>
    </w:p>
    <w:p w:rsidR="00DC40CF" w:rsidRDefault="00DC40CF" w:rsidP="00DC40CF">
      <w:pPr>
        <w:jc w:val="both"/>
        <w:rPr>
          <w:b/>
        </w:rPr>
      </w:pPr>
      <w:r>
        <w:t xml:space="preserve">Una empresa quiere valorar el beneficio de implantar una nueva aplicación para su empresa. Esta empresa recibe dos ofertas de dos compañías: </w:t>
      </w:r>
    </w:p>
    <w:p w:rsidR="00DC40CF" w:rsidRDefault="00DC40CF" w:rsidP="00DC40CF">
      <w:pPr>
        <w:jc w:val="both"/>
        <w:rPr>
          <w:b/>
        </w:rPr>
      </w:pPr>
      <w:r>
        <w:t xml:space="preserve">Con la primera oferta se invierte en software por un valor de 2000 € y un mantenimiento de 200 € anuales. Además es necesario comprar  3 ordenadores con una valor de 3000 € total y un ordenador que haga de servidor con un valor de 1500  €. Para desarrollar el proyecto se va a tardar 6 meses. En estos 6 meses el gasto del personal de desarrollo será de 45.000 €. Una vez implante el proyecto la empresa tendrá unos beneficios anuales de 20.000 €. </w:t>
      </w:r>
    </w:p>
    <w:p w:rsidR="00DC40CF" w:rsidRPr="00D65EC7" w:rsidRDefault="00DC40CF" w:rsidP="00DC40CF">
      <w:pPr>
        <w:jc w:val="both"/>
        <w:rPr>
          <w:b/>
        </w:rPr>
      </w:pPr>
      <w:r>
        <w:t>Con la segunda oferta el software con el que se desarrolla es de libre distribución por lo que sólo hay que pagar una licencia anual de mantenimiento de 100 €, los equipos a comprar son dos equipos por 2000 € y un servidor por 1500 €. El personal de desarrollo va a ser de dos personas y tardarán en desarrollar el proyecto 1 año cobrando cómo salario 30.000 € anuales cada uno. Suponiendo que el beneficio es igual que en la oferta anterior.</w:t>
      </w:r>
    </w:p>
    <w:p w:rsidR="00DC40CF" w:rsidRDefault="00DC40CF" w:rsidP="00DC40CF">
      <w:pPr>
        <w:numPr>
          <w:ilvl w:val="0"/>
          <w:numId w:val="1"/>
        </w:numPr>
        <w:spacing w:after="0" w:line="240" w:lineRule="auto"/>
        <w:jc w:val="both"/>
      </w:pPr>
      <w:r>
        <w:t xml:space="preserve">Calcular cual es el beneficio total neto de cada año y el beneficio acumulado de cada oferta suponiendo que la aplicación tiene un tiempo de vida de 5 años (incluido el desarrollo). (1,25 puntos) </w:t>
      </w:r>
    </w:p>
    <w:p w:rsidR="00DC40CF" w:rsidRDefault="00DC40CF" w:rsidP="00DC40CF">
      <w:pPr>
        <w:numPr>
          <w:ilvl w:val="0"/>
          <w:numId w:val="1"/>
        </w:numPr>
        <w:spacing w:after="0" w:line="240" w:lineRule="auto"/>
        <w:jc w:val="both"/>
      </w:pPr>
      <w:r>
        <w:t>¿Con qué oferta se quedaría la empresa? Razonar la respuesta. (0,25 puntos)</w:t>
      </w:r>
    </w:p>
    <w:p w:rsidR="00DC40CF" w:rsidRDefault="00DC40CF" w:rsidP="00DC40CF">
      <w:pPr>
        <w:spacing w:after="0" w:line="240" w:lineRule="auto"/>
        <w:jc w:val="both"/>
      </w:pPr>
    </w:p>
    <w:p w:rsidR="00DC40CF" w:rsidRDefault="00DC40CF" w:rsidP="00DC40CF">
      <w:pPr>
        <w:spacing w:after="0" w:line="240" w:lineRule="auto"/>
        <w:jc w:val="both"/>
      </w:pPr>
    </w:p>
    <w:p w:rsidR="00DC40CF" w:rsidRDefault="00DC40CF" w:rsidP="00DC40CF">
      <w:pPr>
        <w:spacing w:after="0" w:line="240" w:lineRule="auto"/>
        <w:ind w:left="360"/>
        <w:jc w:val="both"/>
      </w:pPr>
    </w:p>
    <w:tbl>
      <w:tblPr>
        <w:tblW w:w="8420" w:type="dxa"/>
        <w:tblInd w:w="55" w:type="dxa"/>
        <w:tblCellMar>
          <w:left w:w="70" w:type="dxa"/>
          <w:right w:w="70" w:type="dxa"/>
        </w:tblCellMar>
        <w:tblLook w:val="0000" w:firstRow="0" w:lastRow="0" w:firstColumn="0" w:lastColumn="0" w:noHBand="0" w:noVBand="0"/>
      </w:tblPr>
      <w:tblGrid>
        <w:gridCol w:w="2535"/>
        <w:gridCol w:w="1085"/>
        <w:gridCol w:w="1200"/>
        <w:gridCol w:w="1200"/>
        <w:gridCol w:w="1200"/>
        <w:gridCol w:w="1200"/>
      </w:tblGrid>
      <w:tr w:rsidR="00DC40CF" w:rsidTr="0022092D">
        <w:trPr>
          <w:trHeight w:val="255"/>
        </w:trPr>
        <w:tc>
          <w:tcPr>
            <w:tcW w:w="2535" w:type="dxa"/>
            <w:tcBorders>
              <w:top w:val="single" w:sz="8" w:space="0" w:color="auto"/>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EMPRESA PRIMERA</w:t>
            </w:r>
          </w:p>
        </w:tc>
        <w:tc>
          <w:tcPr>
            <w:tcW w:w="1085"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3</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4</w:t>
            </w:r>
          </w:p>
        </w:tc>
        <w:tc>
          <w:tcPr>
            <w:tcW w:w="1200" w:type="dxa"/>
            <w:tcBorders>
              <w:top w:val="single" w:sz="8" w:space="0" w:color="auto"/>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5</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INGRESOS</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software</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hardware</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4.500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personal</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45.000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GASTOS</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E02626">
            <w:pPr>
              <w:spacing w:after="0" w:line="240" w:lineRule="auto"/>
              <w:jc w:val="right"/>
              <w:rPr>
                <w:rFonts w:ascii="Arial" w:hAnsi="Arial" w:cs="Arial"/>
                <w:sz w:val="20"/>
                <w:szCs w:val="20"/>
              </w:rPr>
            </w:pPr>
            <w:r>
              <w:rPr>
                <w:rFonts w:ascii="Arial" w:hAnsi="Arial" w:cs="Arial"/>
                <w:sz w:val="20"/>
                <w:szCs w:val="20"/>
              </w:rPr>
              <w:t>51.</w:t>
            </w:r>
            <w:r w:rsidR="00E02626">
              <w:rPr>
                <w:rFonts w:ascii="Arial" w:hAnsi="Arial" w:cs="Arial"/>
                <w:sz w:val="20"/>
                <w:szCs w:val="20"/>
              </w:rPr>
              <w:t>6</w:t>
            </w:r>
            <w:r>
              <w:rPr>
                <w:rFonts w:ascii="Arial" w:hAnsi="Arial" w:cs="Arial"/>
                <w:sz w:val="20"/>
                <w:szCs w:val="20"/>
              </w:rPr>
              <w:t>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Beneficio Neto</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E02626">
            <w:pPr>
              <w:spacing w:after="0" w:line="240" w:lineRule="auto"/>
              <w:jc w:val="right"/>
              <w:rPr>
                <w:rFonts w:ascii="Arial" w:hAnsi="Arial" w:cs="Arial"/>
                <w:sz w:val="20"/>
                <w:szCs w:val="20"/>
              </w:rPr>
            </w:pPr>
            <w:r>
              <w:rPr>
                <w:rFonts w:ascii="Arial" w:hAnsi="Arial" w:cs="Arial"/>
                <w:sz w:val="20"/>
                <w:szCs w:val="20"/>
              </w:rPr>
              <w:t>-41.</w:t>
            </w:r>
            <w:r w:rsidR="00E02626">
              <w:rPr>
                <w:rFonts w:ascii="Arial" w:hAnsi="Arial" w:cs="Arial"/>
                <w:sz w:val="20"/>
                <w:szCs w:val="20"/>
              </w:rPr>
              <w:t>6</w:t>
            </w:r>
            <w:r>
              <w:rPr>
                <w:rFonts w:ascii="Arial" w:hAnsi="Arial" w:cs="Arial"/>
                <w:sz w:val="20"/>
                <w:szCs w:val="20"/>
              </w:rPr>
              <w:t>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19.800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19.800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19.800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19.800</w:t>
            </w:r>
          </w:p>
        </w:tc>
      </w:tr>
      <w:tr w:rsidR="00DC40CF" w:rsidTr="0022092D">
        <w:trPr>
          <w:trHeight w:val="270"/>
        </w:trPr>
        <w:tc>
          <w:tcPr>
            <w:tcW w:w="2535" w:type="dxa"/>
            <w:tcBorders>
              <w:top w:val="nil"/>
              <w:left w:val="single" w:sz="8" w:space="0" w:color="auto"/>
              <w:bottom w:val="single" w:sz="8"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Beneficio Neto Acumulado</w:t>
            </w:r>
          </w:p>
        </w:tc>
        <w:tc>
          <w:tcPr>
            <w:tcW w:w="1085" w:type="dxa"/>
            <w:tcBorders>
              <w:top w:val="nil"/>
              <w:left w:val="nil"/>
              <w:bottom w:val="single" w:sz="8" w:space="0" w:color="auto"/>
              <w:right w:val="single" w:sz="4" w:space="0" w:color="auto"/>
            </w:tcBorders>
            <w:shd w:val="clear" w:color="auto" w:fill="auto"/>
            <w:noWrap/>
            <w:vAlign w:val="bottom"/>
          </w:tcPr>
          <w:p w:rsidR="00DC40CF" w:rsidRDefault="00DC40CF" w:rsidP="00E02626">
            <w:pPr>
              <w:spacing w:after="0" w:line="240" w:lineRule="auto"/>
              <w:jc w:val="right"/>
              <w:rPr>
                <w:rFonts w:ascii="Arial" w:hAnsi="Arial" w:cs="Arial"/>
                <w:sz w:val="20"/>
                <w:szCs w:val="20"/>
              </w:rPr>
            </w:pPr>
            <w:r>
              <w:rPr>
                <w:rFonts w:ascii="Arial" w:hAnsi="Arial" w:cs="Arial"/>
                <w:sz w:val="20"/>
                <w:szCs w:val="20"/>
              </w:rPr>
              <w:t>-41.</w:t>
            </w:r>
            <w:r w:rsidR="00E02626">
              <w:rPr>
                <w:rFonts w:ascii="Arial" w:hAnsi="Arial" w:cs="Arial"/>
                <w:sz w:val="20"/>
                <w:szCs w:val="20"/>
              </w:rPr>
              <w:t>6</w:t>
            </w:r>
            <w:r>
              <w:rPr>
                <w:rFonts w:ascii="Arial" w:hAnsi="Arial" w:cs="Arial"/>
                <w:sz w:val="20"/>
                <w:szCs w:val="20"/>
              </w:rPr>
              <w:t>00</w:t>
            </w:r>
          </w:p>
        </w:tc>
        <w:tc>
          <w:tcPr>
            <w:tcW w:w="1200" w:type="dxa"/>
            <w:tcBorders>
              <w:top w:val="nil"/>
              <w:left w:val="nil"/>
              <w:bottom w:val="single" w:sz="8" w:space="0" w:color="auto"/>
              <w:right w:val="single" w:sz="4" w:space="0" w:color="auto"/>
            </w:tcBorders>
            <w:shd w:val="clear" w:color="auto" w:fill="auto"/>
            <w:noWrap/>
            <w:vAlign w:val="bottom"/>
          </w:tcPr>
          <w:p w:rsidR="00DC40CF" w:rsidRDefault="00DC40CF" w:rsidP="00E02626">
            <w:pPr>
              <w:spacing w:after="0" w:line="240" w:lineRule="auto"/>
              <w:jc w:val="right"/>
              <w:rPr>
                <w:rFonts w:ascii="Arial" w:hAnsi="Arial" w:cs="Arial"/>
                <w:sz w:val="20"/>
                <w:szCs w:val="20"/>
              </w:rPr>
            </w:pPr>
            <w:r>
              <w:rPr>
                <w:rFonts w:ascii="Arial" w:hAnsi="Arial" w:cs="Arial"/>
                <w:sz w:val="20"/>
                <w:szCs w:val="20"/>
              </w:rPr>
              <w:t>-21.</w:t>
            </w:r>
            <w:r w:rsidR="00E02626">
              <w:rPr>
                <w:rFonts w:ascii="Arial" w:hAnsi="Arial" w:cs="Arial"/>
                <w:sz w:val="20"/>
                <w:szCs w:val="20"/>
              </w:rPr>
              <w:t>8</w:t>
            </w:r>
            <w:r>
              <w:rPr>
                <w:rFonts w:ascii="Arial" w:hAnsi="Arial" w:cs="Arial"/>
                <w:sz w:val="20"/>
                <w:szCs w:val="20"/>
              </w:rPr>
              <w:t>00</w:t>
            </w:r>
          </w:p>
        </w:tc>
        <w:tc>
          <w:tcPr>
            <w:tcW w:w="1200" w:type="dxa"/>
            <w:tcBorders>
              <w:top w:val="nil"/>
              <w:left w:val="nil"/>
              <w:bottom w:val="single" w:sz="8" w:space="0" w:color="auto"/>
              <w:right w:val="single" w:sz="4" w:space="0" w:color="auto"/>
            </w:tcBorders>
            <w:shd w:val="clear" w:color="auto" w:fill="auto"/>
            <w:noWrap/>
            <w:vAlign w:val="bottom"/>
          </w:tcPr>
          <w:p w:rsidR="00DC40CF" w:rsidRDefault="00DC40CF" w:rsidP="00E02626">
            <w:pPr>
              <w:spacing w:after="0" w:line="240" w:lineRule="auto"/>
              <w:jc w:val="right"/>
              <w:rPr>
                <w:rFonts w:ascii="Arial" w:hAnsi="Arial" w:cs="Arial"/>
                <w:sz w:val="20"/>
                <w:szCs w:val="20"/>
              </w:rPr>
            </w:pPr>
            <w:r>
              <w:rPr>
                <w:rFonts w:ascii="Arial" w:hAnsi="Arial" w:cs="Arial"/>
                <w:sz w:val="20"/>
                <w:szCs w:val="20"/>
              </w:rPr>
              <w:t>-</w:t>
            </w:r>
            <w:r w:rsidR="00E02626">
              <w:rPr>
                <w:rFonts w:ascii="Arial" w:hAnsi="Arial" w:cs="Arial"/>
                <w:sz w:val="20"/>
                <w:szCs w:val="20"/>
              </w:rPr>
              <w:t>2</w:t>
            </w:r>
            <w:r>
              <w:rPr>
                <w:rFonts w:ascii="Arial" w:hAnsi="Arial" w:cs="Arial"/>
                <w:sz w:val="20"/>
                <w:szCs w:val="20"/>
              </w:rPr>
              <w:t>.</w:t>
            </w:r>
            <w:r w:rsidR="00E02626">
              <w:rPr>
                <w:rFonts w:ascii="Arial" w:hAnsi="Arial" w:cs="Arial"/>
                <w:sz w:val="20"/>
                <w:szCs w:val="20"/>
              </w:rPr>
              <w:t>0</w:t>
            </w:r>
            <w:r>
              <w:rPr>
                <w:rFonts w:ascii="Arial" w:hAnsi="Arial" w:cs="Arial"/>
                <w:sz w:val="20"/>
                <w:szCs w:val="20"/>
              </w:rPr>
              <w:t>00</w:t>
            </w:r>
          </w:p>
        </w:tc>
        <w:tc>
          <w:tcPr>
            <w:tcW w:w="1200" w:type="dxa"/>
            <w:tcBorders>
              <w:top w:val="nil"/>
              <w:left w:val="nil"/>
              <w:bottom w:val="single" w:sz="8" w:space="0" w:color="auto"/>
              <w:right w:val="single" w:sz="4" w:space="0" w:color="auto"/>
            </w:tcBorders>
            <w:shd w:val="clear" w:color="auto" w:fill="auto"/>
            <w:noWrap/>
            <w:vAlign w:val="bottom"/>
          </w:tcPr>
          <w:p w:rsidR="00DC40CF" w:rsidRDefault="00DC40CF" w:rsidP="00E02626">
            <w:pPr>
              <w:spacing w:after="0" w:line="240" w:lineRule="auto"/>
              <w:jc w:val="right"/>
              <w:rPr>
                <w:rFonts w:ascii="Arial" w:hAnsi="Arial" w:cs="Arial"/>
                <w:sz w:val="20"/>
                <w:szCs w:val="20"/>
              </w:rPr>
            </w:pPr>
            <w:r>
              <w:rPr>
                <w:rFonts w:ascii="Arial" w:hAnsi="Arial" w:cs="Arial"/>
                <w:sz w:val="20"/>
                <w:szCs w:val="20"/>
              </w:rPr>
              <w:t>17.</w:t>
            </w:r>
            <w:r w:rsidR="00E02626">
              <w:rPr>
                <w:rFonts w:ascii="Arial" w:hAnsi="Arial" w:cs="Arial"/>
                <w:sz w:val="20"/>
                <w:szCs w:val="20"/>
              </w:rPr>
              <w:t>8</w:t>
            </w:r>
            <w:r>
              <w:rPr>
                <w:rFonts w:ascii="Arial" w:hAnsi="Arial" w:cs="Arial"/>
                <w:sz w:val="20"/>
                <w:szCs w:val="20"/>
              </w:rPr>
              <w:t>00</w:t>
            </w:r>
          </w:p>
        </w:tc>
        <w:tc>
          <w:tcPr>
            <w:tcW w:w="1200" w:type="dxa"/>
            <w:tcBorders>
              <w:top w:val="nil"/>
              <w:left w:val="nil"/>
              <w:bottom w:val="single" w:sz="8" w:space="0" w:color="auto"/>
              <w:right w:val="single" w:sz="8" w:space="0" w:color="auto"/>
            </w:tcBorders>
            <w:shd w:val="clear" w:color="auto" w:fill="auto"/>
            <w:noWrap/>
            <w:vAlign w:val="bottom"/>
          </w:tcPr>
          <w:p w:rsidR="00DC40CF" w:rsidRDefault="00DC40CF" w:rsidP="00E02626">
            <w:pPr>
              <w:spacing w:after="0" w:line="240" w:lineRule="auto"/>
              <w:jc w:val="right"/>
              <w:rPr>
                <w:rFonts w:ascii="Arial" w:hAnsi="Arial" w:cs="Arial"/>
                <w:sz w:val="20"/>
                <w:szCs w:val="20"/>
              </w:rPr>
            </w:pPr>
            <w:r>
              <w:rPr>
                <w:rFonts w:ascii="Arial" w:hAnsi="Arial" w:cs="Arial"/>
                <w:sz w:val="20"/>
                <w:szCs w:val="20"/>
              </w:rPr>
              <w:t>37.</w:t>
            </w:r>
            <w:r w:rsidR="00E02626">
              <w:rPr>
                <w:rFonts w:ascii="Arial" w:hAnsi="Arial" w:cs="Arial"/>
                <w:sz w:val="20"/>
                <w:szCs w:val="20"/>
              </w:rPr>
              <w:t>6</w:t>
            </w:r>
            <w:bookmarkStart w:id="0" w:name="_GoBack"/>
            <w:bookmarkEnd w:id="0"/>
            <w:r>
              <w:rPr>
                <w:rFonts w:ascii="Arial" w:hAnsi="Arial" w:cs="Arial"/>
                <w:sz w:val="20"/>
                <w:szCs w:val="20"/>
              </w:rPr>
              <w:t>00</w:t>
            </w:r>
          </w:p>
        </w:tc>
      </w:tr>
    </w:tbl>
    <w:p w:rsidR="00DC40CF" w:rsidRDefault="00DC40CF" w:rsidP="00DC40CF">
      <w:pPr>
        <w:spacing w:after="0" w:line="240" w:lineRule="auto"/>
      </w:pPr>
    </w:p>
    <w:tbl>
      <w:tblPr>
        <w:tblW w:w="8420" w:type="dxa"/>
        <w:tblInd w:w="55" w:type="dxa"/>
        <w:tblCellMar>
          <w:left w:w="70" w:type="dxa"/>
          <w:right w:w="70" w:type="dxa"/>
        </w:tblCellMar>
        <w:tblLook w:val="0000" w:firstRow="0" w:lastRow="0" w:firstColumn="0" w:lastColumn="0" w:noHBand="0" w:noVBand="0"/>
      </w:tblPr>
      <w:tblGrid>
        <w:gridCol w:w="2535"/>
        <w:gridCol w:w="1085"/>
        <w:gridCol w:w="1200"/>
        <w:gridCol w:w="1200"/>
        <w:gridCol w:w="1200"/>
        <w:gridCol w:w="1200"/>
      </w:tblGrid>
      <w:tr w:rsidR="00DC40CF" w:rsidTr="0022092D">
        <w:trPr>
          <w:trHeight w:val="255"/>
        </w:trPr>
        <w:tc>
          <w:tcPr>
            <w:tcW w:w="2535" w:type="dxa"/>
            <w:tcBorders>
              <w:top w:val="single" w:sz="8" w:space="0" w:color="auto"/>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EMPRESA SEGUNDA</w:t>
            </w:r>
          </w:p>
        </w:tc>
        <w:tc>
          <w:tcPr>
            <w:tcW w:w="1085"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3</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4</w:t>
            </w:r>
          </w:p>
        </w:tc>
        <w:tc>
          <w:tcPr>
            <w:tcW w:w="1200" w:type="dxa"/>
            <w:tcBorders>
              <w:top w:val="single" w:sz="8" w:space="0" w:color="auto"/>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5</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INGRESOS</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20.000</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software</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hardware</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3.500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personal</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60.000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 </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GASTOS</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63.600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100</w:t>
            </w:r>
          </w:p>
        </w:tc>
      </w:tr>
      <w:tr w:rsidR="00DC40CF" w:rsidTr="0022092D">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Beneficio Neto</w:t>
            </w:r>
          </w:p>
        </w:tc>
        <w:tc>
          <w:tcPr>
            <w:tcW w:w="1085"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-63.600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19.900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19.900</w:t>
            </w:r>
          </w:p>
        </w:tc>
        <w:tc>
          <w:tcPr>
            <w:tcW w:w="1200" w:type="dxa"/>
            <w:tcBorders>
              <w:top w:val="nil"/>
              <w:left w:val="nil"/>
              <w:bottom w:val="single" w:sz="4"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19.900</w:t>
            </w:r>
          </w:p>
        </w:tc>
        <w:tc>
          <w:tcPr>
            <w:tcW w:w="1200" w:type="dxa"/>
            <w:tcBorders>
              <w:top w:val="nil"/>
              <w:left w:val="nil"/>
              <w:bottom w:val="single" w:sz="4"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19.900</w:t>
            </w:r>
          </w:p>
        </w:tc>
      </w:tr>
      <w:tr w:rsidR="00DC40CF" w:rsidTr="0022092D">
        <w:trPr>
          <w:trHeight w:val="270"/>
        </w:trPr>
        <w:tc>
          <w:tcPr>
            <w:tcW w:w="2535" w:type="dxa"/>
            <w:tcBorders>
              <w:top w:val="nil"/>
              <w:left w:val="single" w:sz="8" w:space="0" w:color="auto"/>
              <w:bottom w:val="single" w:sz="8" w:space="0" w:color="auto"/>
              <w:right w:val="single" w:sz="4" w:space="0" w:color="auto"/>
            </w:tcBorders>
            <w:shd w:val="clear" w:color="auto" w:fill="auto"/>
            <w:noWrap/>
            <w:vAlign w:val="bottom"/>
          </w:tcPr>
          <w:p w:rsidR="00DC40CF" w:rsidRDefault="00DC40CF" w:rsidP="00DC40CF">
            <w:pPr>
              <w:spacing w:after="0" w:line="240" w:lineRule="auto"/>
              <w:rPr>
                <w:rFonts w:ascii="Arial" w:hAnsi="Arial" w:cs="Arial"/>
                <w:sz w:val="20"/>
                <w:szCs w:val="20"/>
              </w:rPr>
            </w:pPr>
            <w:r>
              <w:rPr>
                <w:rFonts w:ascii="Arial" w:hAnsi="Arial" w:cs="Arial"/>
                <w:sz w:val="20"/>
                <w:szCs w:val="20"/>
              </w:rPr>
              <w:t>Beneficio Neto Acumulado</w:t>
            </w:r>
          </w:p>
        </w:tc>
        <w:tc>
          <w:tcPr>
            <w:tcW w:w="1085" w:type="dxa"/>
            <w:tcBorders>
              <w:top w:val="nil"/>
              <w:left w:val="nil"/>
              <w:bottom w:val="single" w:sz="8"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-63.600</w:t>
            </w:r>
          </w:p>
        </w:tc>
        <w:tc>
          <w:tcPr>
            <w:tcW w:w="1200" w:type="dxa"/>
            <w:tcBorders>
              <w:top w:val="nil"/>
              <w:left w:val="nil"/>
              <w:bottom w:val="single" w:sz="8"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-43.700</w:t>
            </w:r>
          </w:p>
        </w:tc>
        <w:tc>
          <w:tcPr>
            <w:tcW w:w="1200" w:type="dxa"/>
            <w:tcBorders>
              <w:top w:val="nil"/>
              <w:left w:val="nil"/>
              <w:bottom w:val="single" w:sz="8"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-23.800</w:t>
            </w:r>
          </w:p>
        </w:tc>
        <w:tc>
          <w:tcPr>
            <w:tcW w:w="1200" w:type="dxa"/>
            <w:tcBorders>
              <w:top w:val="nil"/>
              <w:left w:val="nil"/>
              <w:bottom w:val="single" w:sz="8" w:space="0" w:color="auto"/>
              <w:right w:val="single" w:sz="4"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-3.900</w:t>
            </w:r>
          </w:p>
        </w:tc>
        <w:tc>
          <w:tcPr>
            <w:tcW w:w="1200" w:type="dxa"/>
            <w:tcBorders>
              <w:top w:val="nil"/>
              <w:left w:val="nil"/>
              <w:bottom w:val="single" w:sz="8" w:space="0" w:color="auto"/>
              <w:right w:val="single" w:sz="8" w:space="0" w:color="auto"/>
            </w:tcBorders>
            <w:shd w:val="clear" w:color="auto" w:fill="auto"/>
            <w:noWrap/>
            <w:vAlign w:val="bottom"/>
          </w:tcPr>
          <w:p w:rsidR="00DC40CF" w:rsidRDefault="00DC40CF" w:rsidP="00DC40CF">
            <w:pPr>
              <w:spacing w:after="0" w:line="240" w:lineRule="auto"/>
              <w:jc w:val="right"/>
              <w:rPr>
                <w:rFonts w:ascii="Arial" w:hAnsi="Arial" w:cs="Arial"/>
                <w:sz w:val="20"/>
                <w:szCs w:val="20"/>
              </w:rPr>
            </w:pPr>
            <w:r>
              <w:rPr>
                <w:rFonts w:ascii="Arial" w:hAnsi="Arial" w:cs="Arial"/>
                <w:sz w:val="20"/>
                <w:szCs w:val="20"/>
              </w:rPr>
              <w:t>16.000</w:t>
            </w:r>
          </w:p>
        </w:tc>
      </w:tr>
    </w:tbl>
    <w:p w:rsidR="00DC40CF" w:rsidRDefault="00DC40CF" w:rsidP="00DC40CF">
      <w:pPr>
        <w:spacing w:line="240" w:lineRule="auto"/>
      </w:pPr>
    </w:p>
    <w:p w:rsidR="00DC40CF" w:rsidRDefault="00DC40CF">
      <w:r>
        <w:br w:type="page"/>
      </w:r>
    </w:p>
    <w:p w:rsidR="00DC40CF" w:rsidRPr="00DC40CF" w:rsidRDefault="00DC40CF" w:rsidP="00DC40CF">
      <w:pPr>
        <w:pStyle w:val="Ttulo2"/>
      </w:pPr>
      <w:r w:rsidRPr="00DC40CF">
        <w:lastRenderedPageBreak/>
        <w:t>Ejercicio 3</w:t>
      </w:r>
    </w:p>
    <w:p w:rsidR="00DC40CF" w:rsidRPr="00C10EC3" w:rsidRDefault="00DC40CF" w:rsidP="00DC40CF">
      <w:pPr>
        <w:jc w:val="both"/>
        <w:rPr>
          <w:i/>
        </w:rPr>
      </w:pPr>
      <w:r w:rsidRPr="00C10EC3">
        <w:t xml:space="preserve">Una empresa querría informatizar su negocio de ropa textil. Para ello recibe la oferta de una consultora. Para llevar a cabo dicha oferta la consultora tiene que invertir en un software por un valor de 1000 € para  el desarrollo de la aplicación. Este </w:t>
      </w:r>
      <w:r>
        <w:t>coste</w:t>
      </w:r>
      <w:r w:rsidRPr="00C10EC3">
        <w:t xml:space="preserve"> cubre </w:t>
      </w:r>
      <w:r>
        <w:t xml:space="preserve">el </w:t>
      </w:r>
      <w:r w:rsidRPr="00C10EC3">
        <w:t>primer año</w:t>
      </w:r>
      <w:r>
        <w:t xml:space="preserve">, </w:t>
      </w:r>
      <w:r w:rsidRPr="00C10EC3">
        <w:t xml:space="preserve"> </w:t>
      </w:r>
      <w:r>
        <w:t xml:space="preserve">pero a partir de entonces cada año habrá que pagar </w:t>
      </w:r>
      <w:r w:rsidRPr="00C10EC3">
        <w:t xml:space="preserve">una licencia de 100 € anuales hasta el fin de vida de la aplicación desarrollada. </w:t>
      </w:r>
    </w:p>
    <w:p w:rsidR="00DC40CF" w:rsidRDefault="00DC40CF" w:rsidP="00DC40CF">
      <w:pPr>
        <w:jc w:val="both"/>
        <w:rPr>
          <w:i/>
        </w:rPr>
      </w:pPr>
      <w:r w:rsidRPr="00C10EC3">
        <w:t>Además para el desarrollo de la aplicación va a ser necesaria la compra de 3 ordenadores por valor de 1500 cada uno. El personal que lleva a cabo el proyecto est</w:t>
      </w:r>
      <w:r>
        <w:t>á</w:t>
      </w:r>
      <w:r w:rsidRPr="00C10EC3">
        <w:t xml:space="preserve"> compuesto por dos  programadores que cobrarán 2000 €/mes cada uno y un analista que cobrará 3000 €/mes. </w:t>
      </w:r>
    </w:p>
    <w:p w:rsidR="00DC40CF" w:rsidRDefault="00DC40CF" w:rsidP="00DC40CF">
      <w:pPr>
        <w:jc w:val="both"/>
        <w:rPr>
          <w:i/>
        </w:rPr>
      </w:pPr>
      <w:r w:rsidRPr="00C10EC3">
        <w:t xml:space="preserve">La duración del desarrollo de la aplicación es de 10 meses. A partir de </w:t>
      </w:r>
      <w:r>
        <w:t xml:space="preserve">ese momento </w:t>
      </w:r>
      <w:r w:rsidRPr="00C10EC3">
        <w:t xml:space="preserve">la consultora cobrará a la empresa un mantenimiento de 1200 € anuales para solventar problemas de manejo. </w:t>
      </w:r>
      <w:r>
        <w:t xml:space="preserve">Una vez desarrollada, la </w:t>
      </w:r>
      <w:r w:rsidRPr="00C10EC3">
        <w:t xml:space="preserve">aplicación </w:t>
      </w:r>
      <w:r>
        <w:t xml:space="preserve">generará </w:t>
      </w:r>
      <w:r w:rsidRPr="00C10EC3">
        <w:t>unos beneficios de 36.000 €/año siendo el periodo de vida de la aplicación de 5 años.</w:t>
      </w:r>
    </w:p>
    <w:p w:rsidR="00DC40CF" w:rsidRPr="00DC40CF" w:rsidRDefault="00DC40CF" w:rsidP="00DC40CF">
      <w:pPr>
        <w:pStyle w:val="Prrafodelista"/>
        <w:numPr>
          <w:ilvl w:val="0"/>
          <w:numId w:val="3"/>
        </w:numPr>
        <w:jc w:val="both"/>
        <w:rPr>
          <w:i/>
        </w:rPr>
      </w:pPr>
      <w:r>
        <w:t>Calcular e</w:t>
      </w:r>
      <w:r w:rsidRPr="00C10EC3">
        <w:t>l beneficio total neto de cada año y e</w:t>
      </w:r>
      <w:r>
        <w:t xml:space="preserve">l beneficio acumulado </w:t>
      </w:r>
    </w:p>
    <w:p w:rsidR="00DC40CF" w:rsidRPr="00DC40CF" w:rsidRDefault="00DC40CF" w:rsidP="00DC40CF">
      <w:pPr>
        <w:pStyle w:val="Prrafodelista"/>
        <w:numPr>
          <w:ilvl w:val="0"/>
          <w:numId w:val="3"/>
        </w:numPr>
        <w:jc w:val="both"/>
        <w:rPr>
          <w:i/>
        </w:rPr>
      </w:pPr>
      <w:r w:rsidRPr="00C10EC3">
        <w:t xml:space="preserve">Si suponemos que la tasa de inflación </w:t>
      </w:r>
      <w:r>
        <w:t xml:space="preserve">es del </w:t>
      </w:r>
      <w:r w:rsidRPr="00C10EC3">
        <w:t>5%, calcular</w:t>
      </w:r>
      <w:r>
        <w:t xml:space="preserve"> e</w:t>
      </w:r>
      <w:r w:rsidRPr="00C10EC3">
        <w:t xml:space="preserve">l valor actual del beneficio anual y el valor </w:t>
      </w:r>
      <w:r>
        <w:t xml:space="preserve">actual del beneficio acumulado </w:t>
      </w:r>
    </w:p>
    <w:p w:rsidR="00DC40CF" w:rsidRDefault="00DC40CF" w:rsidP="00DC40CF">
      <w:pPr>
        <w:rPr>
          <w:b/>
        </w:rPr>
      </w:pPr>
      <w:r>
        <w:rPr>
          <w:noProof/>
        </w:rPr>
        <w:drawing>
          <wp:inline distT="0" distB="0" distL="0" distR="0" wp14:anchorId="3C1265E2" wp14:editId="28DB68F1">
            <wp:extent cx="5400040" cy="152382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523821"/>
                    </a:xfrm>
                    <a:prstGeom prst="rect">
                      <a:avLst/>
                    </a:prstGeom>
                    <a:noFill/>
                    <a:ln>
                      <a:noFill/>
                    </a:ln>
                  </pic:spPr>
                </pic:pic>
              </a:graphicData>
            </a:graphic>
          </wp:inline>
        </w:drawing>
      </w:r>
    </w:p>
    <w:sectPr w:rsidR="00DC40CF" w:rsidSect="00DC40CF">
      <w:pgSz w:w="11906" w:h="16838"/>
      <w:pgMar w:top="1417" w:right="127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71F" w:rsidRDefault="001F371F" w:rsidP="00DC40CF">
      <w:pPr>
        <w:spacing w:after="0" w:line="240" w:lineRule="auto"/>
      </w:pPr>
      <w:r>
        <w:separator/>
      </w:r>
    </w:p>
  </w:endnote>
  <w:endnote w:type="continuationSeparator" w:id="0">
    <w:p w:rsidR="001F371F" w:rsidRDefault="001F371F" w:rsidP="00DC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71F" w:rsidRDefault="001F371F" w:rsidP="00DC40CF">
      <w:pPr>
        <w:spacing w:after="0" w:line="240" w:lineRule="auto"/>
      </w:pPr>
      <w:r>
        <w:separator/>
      </w:r>
    </w:p>
  </w:footnote>
  <w:footnote w:type="continuationSeparator" w:id="0">
    <w:p w:rsidR="001F371F" w:rsidRDefault="001F371F" w:rsidP="00DC40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516AF"/>
    <w:multiLevelType w:val="hybridMultilevel"/>
    <w:tmpl w:val="F78AEFF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48C3213A"/>
    <w:multiLevelType w:val="hybridMultilevel"/>
    <w:tmpl w:val="26A61D5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4E316A55"/>
    <w:multiLevelType w:val="hybridMultilevel"/>
    <w:tmpl w:val="B9A0D6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CF"/>
    <w:rsid w:val="001F371F"/>
    <w:rsid w:val="0039477F"/>
    <w:rsid w:val="00774F0E"/>
    <w:rsid w:val="00B24347"/>
    <w:rsid w:val="00DC40CF"/>
    <w:rsid w:val="00DF557C"/>
    <w:rsid w:val="00E026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C40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40CF"/>
    <w:rPr>
      <w:color w:val="808080"/>
    </w:rPr>
  </w:style>
  <w:style w:type="paragraph" w:styleId="Textodeglobo">
    <w:name w:val="Balloon Text"/>
    <w:basedOn w:val="Normal"/>
    <w:link w:val="TextodegloboCar"/>
    <w:uiPriority w:val="99"/>
    <w:semiHidden/>
    <w:unhideWhenUsed/>
    <w:rsid w:val="00DC40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40CF"/>
    <w:rPr>
      <w:rFonts w:ascii="Tahoma" w:hAnsi="Tahoma" w:cs="Tahoma"/>
      <w:sz w:val="16"/>
      <w:szCs w:val="16"/>
    </w:rPr>
  </w:style>
  <w:style w:type="paragraph" w:styleId="Encabezado">
    <w:name w:val="header"/>
    <w:basedOn w:val="Normal"/>
    <w:link w:val="EncabezadoCar"/>
    <w:uiPriority w:val="99"/>
    <w:unhideWhenUsed/>
    <w:rsid w:val="00DC4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0CF"/>
  </w:style>
  <w:style w:type="paragraph" w:styleId="Piedepgina">
    <w:name w:val="footer"/>
    <w:basedOn w:val="Normal"/>
    <w:link w:val="PiedepginaCar"/>
    <w:uiPriority w:val="99"/>
    <w:unhideWhenUsed/>
    <w:rsid w:val="00DC4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0CF"/>
  </w:style>
  <w:style w:type="paragraph" w:customStyle="1" w:styleId="Text">
    <w:name w:val="Text"/>
    <w:basedOn w:val="Normal"/>
    <w:rsid w:val="00DC40CF"/>
    <w:pPr>
      <w:widowControl w:val="0"/>
      <w:suppressLineNumbers/>
      <w:suppressAutoHyphens/>
      <w:autoSpaceDN w:val="0"/>
      <w:spacing w:before="120" w:after="120" w:line="240" w:lineRule="auto"/>
      <w:textAlignment w:val="baseline"/>
    </w:pPr>
    <w:rPr>
      <w:rFonts w:ascii="Times New Roman" w:eastAsia="Lucida Sans Unicode" w:hAnsi="Times New Roman" w:cs="Tahoma"/>
      <w:i/>
      <w:iCs/>
      <w:kern w:val="3"/>
      <w:sz w:val="24"/>
      <w:szCs w:val="24"/>
    </w:rPr>
  </w:style>
  <w:style w:type="paragraph" w:styleId="Prrafodelista">
    <w:name w:val="List Paragraph"/>
    <w:basedOn w:val="Normal"/>
    <w:uiPriority w:val="34"/>
    <w:qFormat/>
    <w:rsid w:val="00DC40CF"/>
    <w:pPr>
      <w:ind w:left="720"/>
      <w:contextualSpacing/>
    </w:pPr>
  </w:style>
  <w:style w:type="character" w:customStyle="1" w:styleId="Ttulo2Car">
    <w:name w:val="Título 2 Car"/>
    <w:basedOn w:val="Fuentedeprrafopredeter"/>
    <w:link w:val="Ttulo2"/>
    <w:uiPriority w:val="9"/>
    <w:rsid w:val="00DC40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C40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40CF"/>
    <w:rPr>
      <w:color w:val="808080"/>
    </w:rPr>
  </w:style>
  <w:style w:type="paragraph" w:styleId="Textodeglobo">
    <w:name w:val="Balloon Text"/>
    <w:basedOn w:val="Normal"/>
    <w:link w:val="TextodegloboCar"/>
    <w:uiPriority w:val="99"/>
    <w:semiHidden/>
    <w:unhideWhenUsed/>
    <w:rsid w:val="00DC40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40CF"/>
    <w:rPr>
      <w:rFonts w:ascii="Tahoma" w:hAnsi="Tahoma" w:cs="Tahoma"/>
      <w:sz w:val="16"/>
      <w:szCs w:val="16"/>
    </w:rPr>
  </w:style>
  <w:style w:type="paragraph" w:styleId="Encabezado">
    <w:name w:val="header"/>
    <w:basedOn w:val="Normal"/>
    <w:link w:val="EncabezadoCar"/>
    <w:uiPriority w:val="99"/>
    <w:unhideWhenUsed/>
    <w:rsid w:val="00DC4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0CF"/>
  </w:style>
  <w:style w:type="paragraph" w:styleId="Piedepgina">
    <w:name w:val="footer"/>
    <w:basedOn w:val="Normal"/>
    <w:link w:val="PiedepginaCar"/>
    <w:uiPriority w:val="99"/>
    <w:unhideWhenUsed/>
    <w:rsid w:val="00DC4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0CF"/>
  </w:style>
  <w:style w:type="paragraph" w:customStyle="1" w:styleId="Text">
    <w:name w:val="Text"/>
    <w:basedOn w:val="Normal"/>
    <w:rsid w:val="00DC40CF"/>
    <w:pPr>
      <w:widowControl w:val="0"/>
      <w:suppressLineNumbers/>
      <w:suppressAutoHyphens/>
      <w:autoSpaceDN w:val="0"/>
      <w:spacing w:before="120" w:after="120" w:line="240" w:lineRule="auto"/>
      <w:textAlignment w:val="baseline"/>
    </w:pPr>
    <w:rPr>
      <w:rFonts w:ascii="Times New Roman" w:eastAsia="Lucida Sans Unicode" w:hAnsi="Times New Roman" w:cs="Tahoma"/>
      <w:i/>
      <w:iCs/>
      <w:kern w:val="3"/>
      <w:sz w:val="24"/>
      <w:szCs w:val="24"/>
    </w:rPr>
  </w:style>
  <w:style w:type="paragraph" w:styleId="Prrafodelista">
    <w:name w:val="List Paragraph"/>
    <w:basedOn w:val="Normal"/>
    <w:uiPriority w:val="34"/>
    <w:qFormat/>
    <w:rsid w:val="00DC40CF"/>
    <w:pPr>
      <w:ind w:left="720"/>
      <w:contextualSpacing/>
    </w:pPr>
  </w:style>
  <w:style w:type="character" w:customStyle="1" w:styleId="Ttulo2Car">
    <w:name w:val="Título 2 Car"/>
    <w:basedOn w:val="Fuentedeprrafopredeter"/>
    <w:link w:val="Ttulo2"/>
    <w:uiPriority w:val="9"/>
    <w:rsid w:val="00DC40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AlbertoR</cp:lastModifiedBy>
  <cp:revision>3</cp:revision>
  <dcterms:created xsi:type="dcterms:W3CDTF">2012-02-29T11:31:00Z</dcterms:created>
  <dcterms:modified xsi:type="dcterms:W3CDTF">2012-03-01T18:00:00Z</dcterms:modified>
</cp:coreProperties>
</file>