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66766">
      <w:r>
        <w:rPr>
          <w:b/>
          <w:sz w:val="36"/>
        </w:rPr>
        <w:t>CNEXT-CAM 后续开发计划</w:t>
      </w:r>
    </w:p>
    <w:p w14:paraId="77274B95">
      <w:r>
        <w:t>版本日期：2026-06-30</w:t>
      </w:r>
    </w:p>
    <w:p w14:paraId="67CB9F87">
      <w:pPr>
        <w:pStyle w:val="3"/>
      </w:pPr>
      <w:r>
        <w:t>1. 规划前提</w:t>
      </w:r>
    </w:p>
    <w:p w14:paraId="5A0656A3">
      <w:pPr>
        <w:pStyle w:val="16"/>
      </w:pPr>
      <w:r>
        <w:t>本轮规划范围只覆盖设计页面和加工页面，机床控制页面先做界面壳与接口预留，不做控制逻辑。</w:t>
      </w:r>
    </w:p>
    <w:p w14:paraId="0DE550A9">
      <w:pPr>
        <w:pStyle w:val="16"/>
      </w:pPr>
      <w:r>
        <w:t>产品形态对标参考软件，统一为三页面结构：设计页面、加工页面、机床控制页面。</w:t>
      </w:r>
    </w:p>
    <w:p w14:paraId="186A249A">
      <w:pPr>
        <w:pStyle w:val="16"/>
      </w:pPr>
      <w:r>
        <w:t>设计页面负责“做程序”，加工页面负责“用程序”，机床控制页面负责“跑机床”。</w:t>
      </w:r>
    </w:p>
    <w:p w14:paraId="31996A93">
      <w:pPr>
        <w:pStyle w:val="16"/>
      </w:pPr>
      <w:r>
        <w:t>当前最大差距不只是单个刀路策略，而是工艺平台层和参数化输出层。</w:t>
      </w:r>
    </w:p>
    <w:p w14:paraId="39CE6CD4">
      <w:pPr>
        <w:pStyle w:val="16"/>
      </w:pPr>
      <w:r>
        <w:t>后续要支持“设置参数后输出宏程序/固定循环”，这不是单纯修改后处理器，而是新增一层参数化工艺程序生成层。</w:t>
      </w:r>
    </w:p>
    <w:p w14:paraId="30EF4BDB">
      <w:pPr>
        <w:pStyle w:val="3"/>
      </w:pPr>
      <w:r>
        <w:t>2. 后续开发计划表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 w14:paraId="367D8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33ECC6BC">
            <w:pPr>
              <w:spacing w:after="0" w:line="240" w:lineRule="auto"/>
            </w:pPr>
            <w:r>
              <w:t>阶段</w:t>
            </w:r>
          </w:p>
        </w:tc>
        <w:tc>
          <w:tcPr>
            <w:tcW w:w="1749" w:type="dxa"/>
          </w:tcPr>
          <w:p w14:paraId="4EDC088E">
            <w:pPr>
              <w:spacing w:after="0" w:line="240" w:lineRule="auto"/>
            </w:pPr>
            <w:r>
              <w:t>模块</w:t>
            </w:r>
          </w:p>
        </w:tc>
        <w:tc>
          <w:tcPr>
            <w:tcW w:w="1749" w:type="dxa"/>
          </w:tcPr>
          <w:p w14:paraId="0F2A328B">
            <w:pPr>
              <w:spacing w:after="0" w:line="240" w:lineRule="auto"/>
            </w:pPr>
            <w:r>
              <w:t>目标</w:t>
            </w:r>
          </w:p>
        </w:tc>
        <w:tc>
          <w:tcPr>
            <w:tcW w:w="1749" w:type="dxa"/>
          </w:tcPr>
          <w:p w14:paraId="15F207FE">
            <w:pPr>
              <w:spacing w:after="0" w:line="240" w:lineRule="auto"/>
            </w:pPr>
            <w:r>
              <w:t>主要内容</w:t>
            </w:r>
          </w:p>
        </w:tc>
        <w:tc>
          <w:tcPr>
            <w:tcW w:w="1749" w:type="dxa"/>
          </w:tcPr>
          <w:p w14:paraId="03B94498">
            <w:pPr>
              <w:spacing w:after="0" w:line="240" w:lineRule="auto"/>
            </w:pPr>
            <w:r>
              <w:t>预计工期</w:t>
            </w:r>
          </w:p>
        </w:tc>
        <w:tc>
          <w:tcPr>
            <w:tcW w:w="1749" w:type="dxa"/>
          </w:tcPr>
          <w:p w14:paraId="4D58D11C">
            <w:pPr>
              <w:spacing w:after="0" w:line="240" w:lineRule="auto"/>
            </w:pPr>
            <w:r>
              <w:t>技术难度</w:t>
            </w:r>
          </w:p>
        </w:tc>
        <w:tc>
          <w:tcPr>
            <w:tcW w:w="1749" w:type="dxa"/>
          </w:tcPr>
          <w:p w14:paraId="4DA4EE5B">
            <w:pPr>
              <w:spacing w:after="0" w:line="240" w:lineRule="auto"/>
            </w:pPr>
            <w:r>
              <w:t>开发优先级</w:t>
            </w:r>
          </w:p>
        </w:tc>
      </w:tr>
      <w:tr w14:paraId="7DDF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6A3C5779">
            <w:pPr>
              <w:spacing w:after="0" w:line="240" w:lineRule="auto"/>
            </w:pPr>
            <w:r>
              <w:t>P0</w:t>
            </w:r>
          </w:p>
        </w:tc>
        <w:tc>
          <w:tcPr>
            <w:tcW w:w="1749" w:type="dxa"/>
          </w:tcPr>
          <w:p w14:paraId="63939114">
            <w:pPr>
              <w:spacing w:after="0" w:line="240" w:lineRule="auto"/>
            </w:pPr>
            <w:r>
              <w:t>三页面框架整理</w:t>
            </w:r>
          </w:p>
        </w:tc>
        <w:tc>
          <w:tcPr>
            <w:tcW w:w="1749" w:type="dxa"/>
          </w:tcPr>
          <w:p w14:paraId="0EC419D0">
            <w:pPr>
              <w:spacing w:after="0" w:line="240" w:lineRule="auto"/>
            </w:pPr>
            <w:r>
              <w:t>先把产品形态对齐</w:t>
            </w:r>
          </w:p>
        </w:tc>
        <w:tc>
          <w:tcPr>
            <w:tcW w:w="1749" w:type="dxa"/>
          </w:tcPr>
          <w:p w14:paraId="77B81102">
            <w:pPr>
              <w:spacing w:after="0" w:line="240" w:lineRule="auto"/>
            </w:pPr>
            <w:r>
              <w:t>主窗口拆分为设计/加工/机床控制三页；统一项目状态、工序、G代码、仿真联动入口</w:t>
            </w:r>
          </w:p>
        </w:tc>
        <w:tc>
          <w:tcPr>
            <w:tcW w:w="1749" w:type="dxa"/>
          </w:tcPr>
          <w:p w14:paraId="1890E0F2">
            <w:pPr>
              <w:spacing w:after="0" w:line="240" w:lineRule="auto"/>
            </w:pPr>
            <w:r>
              <w:t>1周</w:t>
            </w:r>
          </w:p>
        </w:tc>
        <w:tc>
          <w:tcPr>
            <w:tcW w:w="1749" w:type="dxa"/>
          </w:tcPr>
          <w:p w14:paraId="54E4618E">
            <w:pPr>
              <w:spacing w:after="0" w:line="240" w:lineRule="auto"/>
            </w:pPr>
            <w:r>
              <w:t>中</w:t>
            </w:r>
          </w:p>
        </w:tc>
        <w:tc>
          <w:tcPr>
            <w:tcW w:w="1749" w:type="dxa"/>
          </w:tcPr>
          <w:p w14:paraId="3D5BF45D">
            <w:pPr>
              <w:spacing w:after="0" w:line="240" w:lineRule="auto"/>
            </w:pPr>
            <w:r>
              <w:t>P0</w:t>
            </w:r>
          </w:p>
        </w:tc>
      </w:tr>
      <w:tr w14:paraId="06B3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083072F7">
            <w:pPr>
              <w:spacing w:after="0" w:line="240" w:lineRule="auto"/>
            </w:pPr>
            <w:r>
              <w:t>P1</w:t>
            </w:r>
          </w:p>
        </w:tc>
        <w:tc>
          <w:tcPr>
            <w:tcW w:w="1749" w:type="dxa"/>
          </w:tcPr>
          <w:p w14:paraId="0D76FF08">
            <w:pPr>
              <w:spacing w:after="0" w:line="240" w:lineRule="auto"/>
            </w:pPr>
            <w:r>
              <w:t>槽加工收尾 + 平面/型腔闭环</w:t>
            </w:r>
          </w:p>
        </w:tc>
        <w:tc>
          <w:tcPr>
            <w:tcW w:w="1749" w:type="dxa"/>
          </w:tcPr>
          <w:p w14:paraId="4980CB39">
            <w:pPr>
              <w:spacing w:after="0" w:line="240" w:lineRule="auto"/>
            </w:pPr>
            <w:r>
              <w:t>补齐当前最影响交付的 CAM 缺口</w:t>
            </w:r>
          </w:p>
        </w:tc>
        <w:tc>
          <w:tcPr>
            <w:tcW w:w="1749" w:type="dxa"/>
          </w:tcPr>
          <w:p w14:paraId="57BC0D1F">
            <w:pPr>
              <w:spacing w:after="0" w:line="240" w:lineRule="auto"/>
            </w:pPr>
            <w:r>
              <w:t>开口槽精加工、斜面精加工、越界校验；FlatSurface 自动填参；型腔粗精加工对接</w:t>
            </w:r>
          </w:p>
        </w:tc>
        <w:tc>
          <w:tcPr>
            <w:tcW w:w="1749" w:type="dxa"/>
          </w:tcPr>
          <w:p w14:paraId="14B3BAD3">
            <w:pPr>
              <w:spacing w:after="0" w:line="240" w:lineRule="auto"/>
            </w:pPr>
            <w:r>
              <w:t>2周</w:t>
            </w:r>
          </w:p>
        </w:tc>
        <w:tc>
          <w:tcPr>
            <w:tcW w:w="1749" w:type="dxa"/>
          </w:tcPr>
          <w:p w14:paraId="1D902942">
            <w:pPr>
              <w:spacing w:after="0" w:line="240" w:lineRule="auto"/>
            </w:pPr>
            <w:r>
              <w:t>中</w:t>
            </w:r>
          </w:p>
        </w:tc>
        <w:tc>
          <w:tcPr>
            <w:tcW w:w="1749" w:type="dxa"/>
          </w:tcPr>
          <w:p w14:paraId="41C078A7">
            <w:pPr>
              <w:spacing w:after="0" w:line="240" w:lineRule="auto"/>
            </w:pPr>
            <w:r>
              <w:t>P0</w:t>
            </w:r>
          </w:p>
        </w:tc>
      </w:tr>
      <w:tr w14:paraId="347E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61C7BC99">
            <w:pPr>
              <w:spacing w:after="0" w:line="240" w:lineRule="auto"/>
            </w:pPr>
            <w:r>
              <w:t>P2</w:t>
            </w:r>
          </w:p>
        </w:tc>
        <w:tc>
          <w:tcPr>
            <w:tcW w:w="1749" w:type="dxa"/>
          </w:tcPr>
          <w:p w14:paraId="644C644E">
            <w:pPr>
              <w:spacing w:after="0" w:line="240" w:lineRule="auto"/>
            </w:pPr>
            <w:r>
              <w:t>高频 2.5D 策略补齐</w:t>
            </w:r>
          </w:p>
        </w:tc>
        <w:tc>
          <w:tcPr>
            <w:tcW w:w="1749" w:type="dxa"/>
          </w:tcPr>
          <w:p w14:paraId="0D09C41B">
            <w:pPr>
              <w:spacing w:after="0" w:line="240" w:lineRule="auto"/>
            </w:pPr>
            <w:r>
              <w:t>先补车间最常用工艺</w:t>
            </w:r>
          </w:p>
        </w:tc>
        <w:tc>
          <w:tcPr>
            <w:tcW w:w="1749" w:type="dxa"/>
          </w:tcPr>
          <w:p w14:paraId="2DF194B1">
            <w:pPr>
              <w:spacing w:after="0" w:line="240" w:lineRule="auto"/>
            </w:pPr>
            <w:r>
              <w:t>镗孔、铣牙、外形倒角、清内角</w:t>
            </w:r>
          </w:p>
        </w:tc>
        <w:tc>
          <w:tcPr>
            <w:tcW w:w="1749" w:type="dxa"/>
          </w:tcPr>
          <w:p w14:paraId="41EB9407">
            <w:pPr>
              <w:spacing w:after="0" w:line="240" w:lineRule="auto"/>
            </w:pPr>
            <w:r>
              <w:t>2周</w:t>
            </w:r>
          </w:p>
        </w:tc>
        <w:tc>
          <w:tcPr>
            <w:tcW w:w="1749" w:type="dxa"/>
          </w:tcPr>
          <w:p w14:paraId="5A73CA60">
            <w:pPr>
              <w:spacing w:after="0" w:line="240" w:lineRule="auto"/>
            </w:pPr>
            <w:r>
              <w:t>中高</w:t>
            </w:r>
          </w:p>
        </w:tc>
        <w:tc>
          <w:tcPr>
            <w:tcW w:w="1749" w:type="dxa"/>
          </w:tcPr>
          <w:p w14:paraId="552796CE">
            <w:pPr>
              <w:spacing w:after="0" w:line="240" w:lineRule="auto"/>
            </w:pPr>
            <w:r>
              <w:t>P0</w:t>
            </w:r>
          </w:p>
        </w:tc>
      </w:tr>
      <w:tr w14:paraId="22E4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25D3B02C">
            <w:pPr>
              <w:spacing w:after="0" w:line="240" w:lineRule="auto"/>
            </w:pPr>
            <w:r>
              <w:t>P3</w:t>
            </w:r>
          </w:p>
        </w:tc>
        <w:tc>
          <w:tcPr>
            <w:tcW w:w="1749" w:type="dxa"/>
          </w:tcPr>
          <w:p w14:paraId="4EECDB02">
            <w:pPr>
              <w:spacing w:after="0" w:line="240" w:lineRule="auto"/>
            </w:pPr>
            <w:r>
              <w:t>工艺与作业层 V1</w:t>
            </w:r>
          </w:p>
        </w:tc>
        <w:tc>
          <w:tcPr>
            <w:tcW w:w="1749" w:type="dxa"/>
          </w:tcPr>
          <w:p w14:paraId="218ACEE0">
            <w:pPr>
              <w:spacing w:after="0" w:line="240" w:lineRule="auto"/>
            </w:pPr>
            <w:r>
              <w:t>让软件更像系统而不是刀路生成器</w:t>
            </w:r>
          </w:p>
        </w:tc>
        <w:tc>
          <w:tcPr>
            <w:tcW w:w="1749" w:type="dxa"/>
          </w:tcPr>
          <w:p w14:paraId="626DFD05">
            <w:pPr>
              <w:spacing w:after="0" w:line="240" w:lineRule="auto"/>
            </w:pPr>
            <w:r>
              <w:t>模板系统、设置中心、项目完整保存/加载、程序列表增强</w:t>
            </w:r>
          </w:p>
        </w:tc>
        <w:tc>
          <w:tcPr>
            <w:tcW w:w="1749" w:type="dxa"/>
          </w:tcPr>
          <w:p w14:paraId="53C4E6DD">
            <w:pPr>
              <w:spacing w:after="0" w:line="240" w:lineRule="auto"/>
            </w:pPr>
            <w:r>
              <w:t>2周</w:t>
            </w:r>
          </w:p>
        </w:tc>
        <w:tc>
          <w:tcPr>
            <w:tcW w:w="1749" w:type="dxa"/>
          </w:tcPr>
          <w:p w14:paraId="6F17E193">
            <w:pPr>
              <w:spacing w:after="0" w:line="240" w:lineRule="auto"/>
            </w:pPr>
            <w:r>
              <w:t>中</w:t>
            </w:r>
          </w:p>
        </w:tc>
        <w:tc>
          <w:tcPr>
            <w:tcW w:w="1749" w:type="dxa"/>
          </w:tcPr>
          <w:p w14:paraId="521A77F2">
            <w:pPr>
              <w:spacing w:after="0" w:line="240" w:lineRule="auto"/>
            </w:pPr>
            <w:r>
              <w:t>P1</w:t>
            </w:r>
          </w:p>
        </w:tc>
      </w:tr>
      <w:tr w14:paraId="068D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79B7CDBF">
            <w:pPr>
              <w:spacing w:after="0" w:line="240" w:lineRule="auto"/>
            </w:pPr>
            <w:r>
              <w:t>P4</w:t>
            </w:r>
          </w:p>
        </w:tc>
        <w:tc>
          <w:tcPr>
            <w:tcW w:w="1749" w:type="dxa"/>
          </w:tcPr>
          <w:p w14:paraId="7D38B806">
            <w:pPr>
              <w:spacing w:after="0" w:line="240" w:lineRule="auto"/>
            </w:pPr>
            <w:r>
              <w:t>加工页面增强</w:t>
            </w:r>
          </w:p>
        </w:tc>
        <w:tc>
          <w:tcPr>
            <w:tcW w:w="1749" w:type="dxa"/>
          </w:tcPr>
          <w:p w14:paraId="114F2823">
            <w:pPr>
              <w:spacing w:after="0" w:line="240" w:lineRule="auto"/>
            </w:pPr>
            <w:r>
              <w:t>建立程序使用闭环</w:t>
            </w:r>
          </w:p>
        </w:tc>
        <w:tc>
          <w:tcPr>
            <w:tcW w:w="1749" w:type="dxa"/>
          </w:tcPr>
          <w:p w14:paraId="2F93D0A3">
            <w:pPr>
              <w:spacing w:after="0" w:line="240" w:lineRule="auto"/>
            </w:pPr>
            <w:r>
              <w:t>程序管理、仿真/G代码/行号联动、DNC 发送闭环基础、加工统计和日志</w:t>
            </w:r>
          </w:p>
        </w:tc>
        <w:tc>
          <w:tcPr>
            <w:tcW w:w="1749" w:type="dxa"/>
          </w:tcPr>
          <w:p w14:paraId="23D9C101">
            <w:pPr>
              <w:spacing w:after="0" w:line="240" w:lineRule="auto"/>
            </w:pPr>
            <w:r>
              <w:t>2周</w:t>
            </w:r>
          </w:p>
        </w:tc>
        <w:tc>
          <w:tcPr>
            <w:tcW w:w="1749" w:type="dxa"/>
          </w:tcPr>
          <w:p w14:paraId="0A966346">
            <w:pPr>
              <w:spacing w:after="0" w:line="240" w:lineRule="auto"/>
            </w:pPr>
            <w:r>
              <w:t>中高</w:t>
            </w:r>
          </w:p>
        </w:tc>
        <w:tc>
          <w:tcPr>
            <w:tcW w:w="1749" w:type="dxa"/>
          </w:tcPr>
          <w:p w14:paraId="77889F63">
            <w:pPr>
              <w:spacing w:after="0" w:line="240" w:lineRule="auto"/>
            </w:pPr>
            <w:r>
              <w:t>P1</w:t>
            </w:r>
          </w:p>
        </w:tc>
      </w:tr>
      <w:tr w14:paraId="7F0D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4EE8CBA3">
            <w:pPr>
              <w:spacing w:after="0" w:line="240" w:lineRule="auto"/>
            </w:pPr>
            <w:r>
              <w:t>P5</w:t>
            </w:r>
          </w:p>
        </w:tc>
        <w:tc>
          <w:tcPr>
            <w:tcW w:w="1749" w:type="dxa"/>
          </w:tcPr>
          <w:p w14:paraId="675DB0F3">
            <w:pPr>
              <w:spacing w:after="0" w:line="240" w:lineRule="auto"/>
            </w:pPr>
            <w:r>
              <w:t>高级刀路 V2</w:t>
            </w:r>
          </w:p>
        </w:tc>
        <w:tc>
          <w:tcPr>
            <w:tcW w:w="1749" w:type="dxa"/>
          </w:tcPr>
          <w:p w14:paraId="13DF7ADA">
            <w:pPr>
              <w:spacing w:after="0" w:line="240" w:lineRule="auto"/>
            </w:pPr>
            <w:r>
              <w:t>拉开和普通 CAM 工具的差距</w:t>
            </w:r>
          </w:p>
        </w:tc>
        <w:tc>
          <w:tcPr>
            <w:tcW w:w="1749" w:type="dxa"/>
          </w:tcPr>
          <w:p w14:paraId="1CF56670">
            <w:pPr>
              <w:spacing w:after="0" w:line="240" w:lineRule="auto"/>
            </w:pPr>
            <w:r>
              <w:t>动态铣、环形铣、铣孤岛、通用斜面/3D 倒角前置能力</w:t>
            </w:r>
          </w:p>
        </w:tc>
        <w:tc>
          <w:tcPr>
            <w:tcW w:w="1749" w:type="dxa"/>
          </w:tcPr>
          <w:p w14:paraId="175C823C">
            <w:pPr>
              <w:spacing w:after="0" w:line="240" w:lineRule="auto"/>
            </w:pPr>
            <w:r>
              <w:t>3周</w:t>
            </w:r>
          </w:p>
        </w:tc>
        <w:tc>
          <w:tcPr>
            <w:tcW w:w="1749" w:type="dxa"/>
          </w:tcPr>
          <w:p w14:paraId="4217E16E">
            <w:pPr>
              <w:spacing w:after="0" w:line="240" w:lineRule="auto"/>
            </w:pPr>
            <w:r>
              <w:t>高</w:t>
            </w:r>
          </w:p>
        </w:tc>
        <w:tc>
          <w:tcPr>
            <w:tcW w:w="1749" w:type="dxa"/>
          </w:tcPr>
          <w:p w14:paraId="62648507">
            <w:pPr>
              <w:spacing w:after="0" w:line="240" w:lineRule="auto"/>
            </w:pPr>
            <w:r>
              <w:t>P2</w:t>
            </w:r>
          </w:p>
        </w:tc>
      </w:tr>
      <w:tr w14:paraId="687B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9" w:type="dxa"/>
          </w:tcPr>
          <w:p w14:paraId="52BEA1DB">
            <w:pPr>
              <w:spacing w:after="0" w:line="240" w:lineRule="auto"/>
            </w:pPr>
            <w:r>
              <w:t>P6</w:t>
            </w:r>
          </w:p>
        </w:tc>
        <w:tc>
          <w:tcPr>
            <w:tcW w:w="1749" w:type="dxa"/>
          </w:tcPr>
          <w:p w14:paraId="5C2C7018">
            <w:pPr>
              <w:spacing w:after="0" w:line="240" w:lineRule="auto"/>
            </w:pPr>
            <w:r>
              <w:t>核心底座升级</w:t>
            </w:r>
          </w:p>
        </w:tc>
        <w:tc>
          <w:tcPr>
            <w:tcW w:w="1749" w:type="dxa"/>
          </w:tcPr>
          <w:p w14:paraId="0A67540C">
            <w:pPr>
              <w:spacing w:after="0" w:line="240" w:lineRule="auto"/>
            </w:pPr>
            <w:r>
              <w:t>补齐对标软件的关键能力</w:t>
            </w:r>
          </w:p>
        </w:tc>
        <w:tc>
          <w:tcPr>
            <w:tcW w:w="1749" w:type="dxa"/>
          </w:tcPr>
          <w:p w14:paraId="402B2233">
            <w:pPr>
              <w:spacing w:after="0" w:line="240" w:lineRule="auto"/>
            </w:pPr>
            <w:r>
              <w:t>材料去除仿真、宏程序/固定循环输出层基础</w:t>
            </w:r>
          </w:p>
        </w:tc>
        <w:tc>
          <w:tcPr>
            <w:tcW w:w="1749" w:type="dxa"/>
          </w:tcPr>
          <w:p w14:paraId="1A33169B">
            <w:pPr>
              <w:spacing w:after="0" w:line="240" w:lineRule="auto"/>
            </w:pPr>
            <w:r>
              <w:t>3周</w:t>
            </w:r>
          </w:p>
        </w:tc>
        <w:tc>
          <w:tcPr>
            <w:tcW w:w="1749" w:type="dxa"/>
          </w:tcPr>
          <w:p w14:paraId="6C0CC823">
            <w:pPr>
              <w:spacing w:after="0" w:line="240" w:lineRule="auto"/>
            </w:pPr>
            <w:r>
              <w:t>高</w:t>
            </w:r>
          </w:p>
        </w:tc>
        <w:tc>
          <w:tcPr>
            <w:tcW w:w="1749" w:type="dxa"/>
          </w:tcPr>
          <w:p w14:paraId="1A8562B0">
            <w:pPr>
              <w:spacing w:after="0" w:line="240" w:lineRule="auto"/>
            </w:pPr>
            <w:r>
              <w:t>P2</w:t>
            </w:r>
          </w:p>
        </w:tc>
      </w:tr>
    </w:tbl>
    <w:p w14:paraId="0D4AD6CC">
      <w:pPr>
        <w:pStyle w:val="3"/>
      </w:pPr>
      <w:r>
        <w:t>3. 甘特图（图片版）</w:t>
      </w:r>
    </w:p>
    <w:p w14:paraId="480BAA54">
      <w:r>
        <w:t>时间轴：2026-07-01 至 2026-10-09</w:t>
      </w:r>
    </w:p>
    <w:p w14:paraId="2FCDB097">
      <w:pPr>
        <w:jc w:val="center"/>
      </w:pPr>
      <w:r>
        <w:drawing>
          <wp:inline distT="0" distB="0" distL="114300" distR="114300">
            <wp:extent cx="8999855" cy="4413885"/>
            <wp:effectExtent l="0" t="0" r="10795" b="571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9855" cy="44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CF77">
      <w:pPr>
        <w:pStyle w:val="3"/>
      </w:pPr>
      <w:r>
        <w:t>4. 技术难点与难易程度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0"/>
        <w:gridCol w:w="4080"/>
        <w:gridCol w:w="4080"/>
      </w:tblGrid>
      <w:tr w14:paraId="690E7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40FD7A85">
            <w:pPr>
              <w:spacing w:after="0" w:line="240" w:lineRule="auto"/>
            </w:pPr>
            <w:r>
              <w:t>模块</w:t>
            </w:r>
          </w:p>
        </w:tc>
        <w:tc>
          <w:tcPr>
            <w:tcW w:w="4080" w:type="dxa"/>
          </w:tcPr>
          <w:p w14:paraId="19A43ADC">
            <w:pPr>
              <w:spacing w:after="0" w:line="240" w:lineRule="auto"/>
            </w:pPr>
            <w:r>
              <w:t>难度</w:t>
            </w:r>
          </w:p>
        </w:tc>
        <w:tc>
          <w:tcPr>
            <w:tcW w:w="4080" w:type="dxa"/>
          </w:tcPr>
          <w:p w14:paraId="2606E30F">
            <w:pPr>
              <w:spacing w:after="0" w:line="240" w:lineRule="auto"/>
            </w:pPr>
            <w:r>
              <w:t>判断依据</w:t>
            </w:r>
          </w:p>
        </w:tc>
      </w:tr>
      <w:tr w14:paraId="6C1B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50BBD7D1">
            <w:pPr>
              <w:spacing w:after="0" w:line="240" w:lineRule="auto"/>
            </w:pPr>
            <w:r>
              <w:t>三页面框架整理</w:t>
            </w:r>
          </w:p>
        </w:tc>
        <w:tc>
          <w:tcPr>
            <w:tcW w:w="4080" w:type="dxa"/>
          </w:tcPr>
          <w:p w14:paraId="10ED4763">
            <w:pPr>
              <w:spacing w:after="0" w:line="240" w:lineRule="auto"/>
            </w:pPr>
            <w:r>
              <w:t>中</w:t>
            </w:r>
          </w:p>
        </w:tc>
        <w:tc>
          <w:tcPr>
            <w:tcW w:w="4080" w:type="dxa"/>
          </w:tcPr>
          <w:p w14:paraId="2F5DF856">
            <w:pPr>
              <w:spacing w:after="0" w:line="240" w:lineRule="auto"/>
            </w:pPr>
            <w:r>
              <w:t>主要是 UI 结构重组和状态流梳理，技术深度一般，但影响面广。</w:t>
            </w:r>
          </w:p>
        </w:tc>
      </w:tr>
      <w:tr w14:paraId="49DB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0BFF139B">
            <w:pPr>
              <w:spacing w:after="0" w:line="240" w:lineRule="auto"/>
            </w:pPr>
            <w:r>
              <w:t>槽加工收尾</w:t>
            </w:r>
          </w:p>
        </w:tc>
        <w:tc>
          <w:tcPr>
            <w:tcW w:w="4080" w:type="dxa"/>
          </w:tcPr>
          <w:p w14:paraId="0DC07155">
            <w:pPr>
              <w:spacing w:after="0" w:line="240" w:lineRule="auto"/>
            </w:pPr>
            <w:r>
              <w:t>中</w:t>
            </w:r>
          </w:p>
        </w:tc>
        <w:tc>
          <w:tcPr>
            <w:tcW w:w="4080" w:type="dxa"/>
          </w:tcPr>
          <w:p w14:paraId="654DAAF6">
            <w:pPr>
              <w:spacing w:after="0" w:line="240" w:lineRule="auto"/>
            </w:pPr>
            <w:r>
              <w:t>几何规则相对清晰，重点在斜面路径、边界判定和验证。</w:t>
            </w:r>
          </w:p>
        </w:tc>
      </w:tr>
      <w:tr w14:paraId="1279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0B1D0995">
            <w:pPr>
              <w:spacing w:after="0" w:line="240" w:lineRule="auto"/>
            </w:pPr>
            <w:r>
              <w:t>镗孔</w:t>
            </w:r>
          </w:p>
        </w:tc>
        <w:tc>
          <w:tcPr>
            <w:tcW w:w="4080" w:type="dxa"/>
          </w:tcPr>
          <w:p w14:paraId="597E5A88">
            <w:pPr>
              <w:spacing w:after="0" w:line="240" w:lineRule="auto"/>
            </w:pPr>
            <w:r>
              <w:t>低-中</w:t>
            </w:r>
          </w:p>
        </w:tc>
        <w:tc>
          <w:tcPr>
            <w:tcW w:w="4080" w:type="dxa"/>
          </w:tcPr>
          <w:p w14:paraId="34325F1B">
            <w:pPr>
              <w:spacing w:after="0" w:line="240" w:lineRule="auto"/>
            </w:pPr>
            <w:r>
              <w:t>主要是策略建模和 Siemens/Fanuc 固定循环映射。</w:t>
            </w:r>
          </w:p>
        </w:tc>
      </w:tr>
      <w:tr w14:paraId="0690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468B08D5">
            <w:pPr>
              <w:spacing w:after="0" w:line="240" w:lineRule="auto"/>
            </w:pPr>
            <w:r>
              <w:t>铣牙</w:t>
            </w:r>
          </w:p>
        </w:tc>
        <w:tc>
          <w:tcPr>
            <w:tcW w:w="4080" w:type="dxa"/>
          </w:tcPr>
          <w:p w14:paraId="22FB86C5">
            <w:pPr>
              <w:spacing w:after="0" w:line="240" w:lineRule="auto"/>
            </w:pPr>
            <w:r>
              <w:t>中</w:t>
            </w:r>
          </w:p>
        </w:tc>
        <w:tc>
          <w:tcPr>
            <w:tcW w:w="4080" w:type="dxa"/>
          </w:tcPr>
          <w:p w14:paraId="08DCA07A">
            <w:pPr>
              <w:spacing w:after="0" w:line="240" w:lineRule="auto"/>
            </w:pPr>
            <w:r>
              <w:t>需要稳定的螺旋插补、螺距分层、左右旋和引入引出。</w:t>
            </w:r>
          </w:p>
        </w:tc>
      </w:tr>
      <w:tr w14:paraId="07B8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7A1A8D7A">
            <w:pPr>
              <w:spacing w:after="0" w:line="240" w:lineRule="auto"/>
            </w:pPr>
            <w:r>
              <w:t>外形倒角</w:t>
            </w:r>
          </w:p>
        </w:tc>
        <w:tc>
          <w:tcPr>
            <w:tcW w:w="4080" w:type="dxa"/>
          </w:tcPr>
          <w:p w14:paraId="6746B34B">
            <w:pPr>
              <w:spacing w:after="0" w:line="240" w:lineRule="auto"/>
            </w:pPr>
            <w:r>
              <w:t>中</w:t>
            </w:r>
          </w:p>
        </w:tc>
        <w:tc>
          <w:tcPr>
            <w:tcW w:w="4080" w:type="dxa"/>
          </w:tcPr>
          <w:p w14:paraId="0B806BE2">
            <w:pPr>
              <w:spacing w:after="0" w:line="240" w:lineRule="auto"/>
            </w:pPr>
            <w:r>
              <w:t>2.5D 几何偏置可控，但要处理角点和刀补一致性。</w:t>
            </w:r>
          </w:p>
        </w:tc>
      </w:tr>
      <w:tr w14:paraId="3316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23FA422B">
            <w:pPr>
              <w:spacing w:after="0" w:line="240" w:lineRule="auto"/>
            </w:pPr>
            <w:r>
              <w:t>清内角</w:t>
            </w:r>
          </w:p>
        </w:tc>
        <w:tc>
          <w:tcPr>
            <w:tcW w:w="4080" w:type="dxa"/>
          </w:tcPr>
          <w:p w14:paraId="4D28BCF4">
            <w:pPr>
              <w:spacing w:after="0" w:line="240" w:lineRule="auto"/>
            </w:pPr>
            <w:r>
              <w:t>中高</w:t>
            </w:r>
          </w:p>
        </w:tc>
        <w:tc>
          <w:tcPr>
            <w:tcW w:w="4080" w:type="dxa"/>
          </w:tcPr>
          <w:p w14:paraId="230CE316">
            <w:pPr>
              <w:spacing w:after="0" w:line="240" w:lineRule="auto"/>
            </w:pPr>
            <w:r>
              <w:t>残料估算和二次路径生成更容易出现漏切或过切。</w:t>
            </w:r>
          </w:p>
        </w:tc>
      </w:tr>
      <w:tr w14:paraId="02C1B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6818A4FD">
            <w:pPr>
              <w:spacing w:after="0" w:line="240" w:lineRule="auto"/>
            </w:pPr>
            <w:r>
              <w:t>动态铣</w:t>
            </w:r>
          </w:p>
        </w:tc>
        <w:tc>
          <w:tcPr>
            <w:tcW w:w="4080" w:type="dxa"/>
          </w:tcPr>
          <w:p w14:paraId="43E39821">
            <w:pPr>
              <w:spacing w:after="0" w:line="240" w:lineRule="auto"/>
            </w:pPr>
            <w:r>
              <w:t>高</w:t>
            </w:r>
          </w:p>
        </w:tc>
        <w:tc>
          <w:tcPr>
            <w:tcW w:w="4080" w:type="dxa"/>
          </w:tcPr>
          <w:p w14:paraId="306A245E">
            <w:pPr>
              <w:spacing w:after="0" w:line="240" w:lineRule="auto"/>
            </w:pPr>
            <w:r>
              <w:t>涉及自适应步距、余料意识、刀负载控制和连接路径。</w:t>
            </w:r>
          </w:p>
        </w:tc>
      </w:tr>
      <w:tr w14:paraId="2560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27A1920D">
            <w:pPr>
              <w:spacing w:after="0" w:line="240" w:lineRule="auto"/>
            </w:pPr>
            <w:r>
              <w:t>环形铣 / 铣孤岛</w:t>
            </w:r>
          </w:p>
        </w:tc>
        <w:tc>
          <w:tcPr>
            <w:tcW w:w="4080" w:type="dxa"/>
          </w:tcPr>
          <w:p w14:paraId="25290BD8">
            <w:pPr>
              <w:spacing w:after="0" w:line="240" w:lineRule="auto"/>
            </w:pPr>
            <w:r>
              <w:t>高</w:t>
            </w:r>
          </w:p>
        </w:tc>
        <w:tc>
          <w:tcPr>
            <w:tcW w:w="4080" w:type="dxa"/>
          </w:tcPr>
          <w:p w14:paraId="6F2D61A8">
            <w:pPr>
              <w:spacing w:after="0" w:line="240" w:lineRule="auto"/>
            </w:pPr>
            <w:r>
              <w:t>偏置、自交、岛屿避让和路径拼接复杂度较高。</w:t>
            </w:r>
          </w:p>
        </w:tc>
      </w:tr>
      <w:tr w14:paraId="46DB4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65FD3F66">
            <w:pPr>
              <w:spacing w:after="0" w:line="240" w:lineRule="auto"/>
            </w:pPr>
            <w:r>
              <w:t>材料去除仿真</w:t>
            </w:r>
          </w:p>
        </w:tc>
        <w:tc>
          <w:tcPr>
            <w:tcW w:w="4080" w:type="dxa"/>
          </w:tcPr>
          <w:p w14:paraId="68565EC4">
            <w:pPr>
              <w:spacing w:after="0" w:line="240" w:lineRule="auto"/>
            </w:pPr>
            <w:r>
              <w:t>高</w:t>
            </w:r>
          </w:p>
        </w:tc>
        <w:tc>
          <w:tcPr>
            <w:tcW w:w="4080" w:type="dxa"/>
          </w:tcPr>
          <w:p w14:paraId="1C449CDF">
            <w:pPr>
              <w:spacing w:after="0" w:line="240" w:lineRule="auto"/>
            </w:pPr>
            <w:r>
              <w:t>独立子系统，算法、性能和渲染都较重。</w:t>
            </w:r>
          </w:p>
        </w:tc>
      </w:tr>
      <w:tr w14:paraId="171F3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0" w:type="dxa"/>
          </w:tcPr>
          <w:p w14:paraId="20894DE7">
            <w:pPr>
              <w:spacing w:after="0" w:line="240" w:lineRule="auto"/>
            </w:pPr>
            <w:r>
              <w:t>宏程序输出层</w:t>
            </w:r>
          </w:p>
        </w:tc>
        <w:tc>
          <w:tcPr>
            <w:tcW w:w="4080" w:type="dxa"/>
          </w:tcPr>
          <w:p w14:paraId="1A734FB9">
            <w:pPr>
              <w:spacing w:after="0" w:line="240" w:lineRule="auto"/>
            </w:pPr>
            <w:r>
              <w:t>高</w:t>
            </w:r>
          </w:p>
        </w:tc>
        <w:tc>
          <w:tcPr>
            <w:tcW w:w="4080" w:type="dxa"/>
          </w:tcPr>
          <w:p w14:paraId="0C21B353">
            <w:pPr>
              <w:spacing w:after="0" w:line="240" w:lineRule="auto"/>
            </w:pPr>
            <w:r>
              <w:t>需要新增参数化工艺程序生成层，而不是只改后处理。</w:t>
            </w:r>
          </w:p>
        </w:tc>
      </w:tr>
    </w:tbl>
    <w:p w14:paraId="16E20641">
      <w:pPr>
        <w:pStyle w:val="3"/>
      </w:pPr>
      <w:r>
        <w:t>5. 开发优先级确认</w:t>
      </w:r>
    </w:p>
    <w:p w14:paraId="1EAC3CE3">
      <w:pPr>
        <w:pStyle w:val="16"/>
      </w:pPr>
      <w:r>
        <w:t>第一优先：三页面框架整理。</w:t>
      </w:r>
    </w:p>
    <w:p w14:paraId="3305E843">
      <w:pPr>
        <w:pStyle w:val="16"/>
      </w:pPr>
      <w:r>
        <w:t>第二优先：槽加工收尾 + 平面/型腔闭环。</w:t>
      </w:r>
    </w:p>
    <w:p w14:paraId="182E4EF3">
      <w:pPr>
        <w:pStyle w:val="16"/>
      </w:pPr>
      <w:r>
        <w:t>第三优先：镗孔、铣牙、外形倒角、清内角。</w:t>
      </w:r>
    </w:p>
    <w:p w14:paraId="57DAAC82">
      <w:pPr>
        <w:pStyle w:val="16"/>
      </w:pPr>
      <w:r>
        <w:t>第四优先：模板系统、设置中心、项目完整保存/加载。</w:t>
      </w:r>
    </w:p>
    <w:p w14:paraId="53403645">
      <w:pPr>
        <w:pStyle w:val="16"/>
      </w:pPr>
      <w:r>
        <w:t>第五优先：加工页面增强、DNC、加工统计和日志。</w:t>
      </w:r>
    </w:p>
    <w:p w14:paraId="2FB31FE7">
      <w:pPr>
        <w:pStyle w:val="16"/>
      </w:pPr>
      <w:r>
        <w:t>第六优先：动态铣、环形铣、铣孤岛。</w:t>
      </w:r>
    </w:p>
    <w:p w14:paraId="1AA7D6E6">
      <w:pPr>
        <w:pStyle w:val="16"/>
      </w:pPr>
      <w:r>
        <w:t>第七优先：材料去除仿真。</w:t>
      </w:r>
    </w:p>
    <w:p w14:paraId="0D569923">
      <w:pPr>
        <w:pStyle w:val="16"/>
      </w:pPr>
      <w:r>
        <w:t>第八优先：宏程序/固定循环输出层。</w:t>
      </w:r>
    </w:p>
    <w:p w14:paraId="47865191">
      <w:pPr>
        <w:pStyle w:val="3"/>
      </w:pPr>
      <w:r>
        <w:t>6. 推荐执行顺序</w:t>
      </w:r>
    </w:p>
    <w:p w14:paraId="4C3BFA5C">
      <w:pPr>
        <w:pStyle w:val="16"/>
      </w:pPr>
      <w:r>
        <w:t>先把产品形态搭正，再补高频加工能力，然后补工艺与作业闭环，最后进入高复杂度底座能力。</w:t>
      </w:r>
    </w:p>
    <w:p w14:paraId="4A80D3DF">
      <w:pPr>
        <w:pStyle w:val="16"/>
      </w:pPr>
      <w:r>
        <w:t>如果现在直接进入材料去除仿真或宏程序层，前面的界面结构、工艺数据模型和页面职责还不稳定，后续返工概率会偏高。</w:t>
      </w:r>
    </w:p>
    <w:p w14:paraId="3393B2DB">
      <w:pPr>
        <w:pStyle w:val="16"/>
      </w:pPr>
      <w:r>
        <w:t>因此建议以 P0 -&gt; P1 -&gt; P2 -&gt; P3/P4 -&gt; P5 -&gt; P6 的顺序推进。</w:t>
      </w:r>
    </w:p>
    <w:sectPr>
      <w:pgSz w:w="15840" w:h="12240" w:orient="landscape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黑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FC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624</Words>
  <Characters>701</Characters>
  <Lines>0</Lines>
  <Paragraphs>0</Paragraphs>
  <TotalTime>161</TotalTime>
  <ScaleCrop>false</ScaleCrop>
  <LinksUpToDate>false</LinksUpToDate>
  <CharactersWithSpaces>721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今天的风儿有些喧嚣</cp:lastModifiedBy>
  <dcterms:modified xsi:type="dcterms:W3CDTF">2026-06-30T06:12:07Z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eyJoZGlkIjoiNjk2MWFlNzc5Y2E5NTg3MDM0ZDQ5MjFlN2Y5Y2Q4ZTQiLCJ1c2VySWQiOiI0MTc1MTM0NzkifQ==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595686AB23C84DAC87B04E43C6661CD7_12</vt:lpwstr>
  </property>
</Properties>
</file>