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变频器租赁与电机监控平台</w:t>
      </w:r>
    </w:p>
    <w:p>
      <w:pPr>
        <w:pStyle w:val="Title"/>
      </w:pPr>
      <w:r>
        <w:t>完整设计说明书及方案策划</w:t>
      </w:r>
    </w:p>
    <w:p>
      <w:pPr>
        <w:pStyle w:val="Subtitle"/>
      </w:pPr>
      <w:r>
        <w:t>微信小程序  监控界面  管理后台</w:t>
      </w:r>
    </w:p>
    <w:p>
      <w:r>
        <w:t>版本 V3.0    整理日期 2026年10月24日</w:t>
      </w:r>
    </w:p>
    <w:p>
      <w:r>
        <w:t>文档状态 需求整合与设计评审稿</w:t>
      </w:r>
    </w:p>
    <w:p>
      <w:r>
        <w:t>适用对象 项目负责人 产品设计 开发实施 设备厂商 运维人员</w:t>
      </w:r>
    </w:p>
    <w:p>
      <w:pPr>
        <w:pStyle w:val="Heading2"/>
      </w:pPr>
      <w:r>
        <w:t>方案结论</w:t>
      </w:r>
    </w:p>
    <w:p>
      <w:r>
        <w:t>建设一套围绕变频器按月出租的管理与监控系统。变频器经4G模块连接自有云服务器；用户通过微信小程序查看设备并执行管理员授权的操作；监控端展示运行状态；后台办理入库、合同、付款、授权、统计与备份。</w:t>
      </w:r>
    </w:p>
    <w:p>
      <w:r>
        <w:t>用户资料以本地电脑保存的主数据为准，云端和小程序使用同步副本；电机运行数据继续保存在云端。用户备份支持本机、U盘，以及生成文件后刻录到光盘。</w:t>
      </w:r>
    </w:p>
    <w:p>
      <w:r>
        <w:t>三端设计统一以现有监控平台为基准，采用深蓝背景、青色强调和一致的状态语义。先完成可点击原型与业务评审，再接入真实系统。</w:t>
      </w:r>
    </w:p>
    <w:p>
      <w:pPr>
        <w:pStyle w:val="Heading2"/>
      </w:pPr>
      <w:r>
        <w:t>本版阅读边界</w:t>
      </w:r>
    </w:p>
    <w:p>
      <w:r>
        <w:t>文中的“已确认”指需求已确认，不表示真实功能已上线。当前小程序和后台为可点击演示，监控界面主要为设计稿；真实微信身份、摄像头扫码、设备通信、远程控制、持久备份和数据同步仍需开发联调。短信充值与发送继续只预留接口。</w:t>
      </w:r>
    </w:p>
    <w:p>
      <w:r>
        <w:rPr>
          <w:sz w:val="18"/>
        </w:rPr>
        <w:t>所有界面插图中的姓名、手机、设备、读数和日期均为示例，不代表真实客户或运行记录。</w:t>
      </w:r>
    </w:p>
    <w:p>
      <w:pPr>
        <w:pStyle w:val="Heading1"/>
        <w:pageBreakBefore/>
      </w:pPr>
      <w:r>
        <w:t>阅读导航与版本说明</w:t>
      </w:r>
    </w:p>
    <w:p>
      <w:r>
        <w:t>本说明书将产品目标、业务规则、页面设计、技术方案与交付计划合并整理。业务规则以本次会话的最新约定为准；旧版建设方案和界面材料提供监控结构参考。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862"/>
      </w:tblGrid>
      <w:tr>
        <w:trPr>
          <w:cantSplit/>
          <w:tblHeader/>
        </w:trPr>
        <w:tc>
          <w:tcPr>
            <w:tcW w:type="dxa" w:w="2304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阅读任务</w:t>
            </w:r>
          </w:p>
        </w:tc>
        <w:tc>
          <w:tcPr>
            <w:tcW w:type="dxa" w:w="786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对应章节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确认业务与范围</w:t>
            </w:r>
          </w:p>
        </w:tc>
        <w:tc>
          <w:tcPr>
            <w:tcW w:type="dxa" w:w="78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1 项目策划  2 需求基线  5 角色权限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评审统一视觉</w:t>
            </w:r>
          </w:p>
        </w:tc>
        <w:tc>
          <w:tcPr>
            <w:tcW w:type="dxa" w:w="786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4 统一设计规范  24 界面参考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核对用户与管理员流程</w:t>
            </w:r>
          </w:p>
        </w:tc>
        <w:tc>
          <w:tcPr>
            <w:tcW w:type="dxa" w:w="78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6 扫码入库  7 合同归属  8 租期提醒  9 小程序  13 后台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评审监控与控制</w:t>
            </w:r>
          </w:p>
        </w:tc>
        <w:tc>
          <w:tcPr>
            <w:tcW w:type="dxa" w:w="786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10 控制流程  11 监控总览  12 历史告警  18 通信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评审数据与开发</w:t>
            </w:r>
          </w:p>
        </w:tc>
        <w:tc>
          <w:tcPr>
            <w:tcW w:type="dxa" w:w="78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3 架构  15 同步  16 备份  17 数据  19 接口  20 运行要求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安排实施与验收</w:t>
            </w:r>
          </w:p>
        </w:tc>
        <w:tc>
          <w:tcPr>
            <w:tcW w:type="dxa" w:w="786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14 报表  21 实施策划  22 验收  23 待确认与溯源</w:t>
            </w:r>
          </w:p>
        </w:tc>
      </w:tr>
    </w:tbl>
    <w:p>
      <w:pPr>
        <w:spacing w:after="40"/>
      </w:pPr>
    </w:p>
    <w:p>
      <w:pPr>
        <w:pStyle w:val="Heading2"/>
      </w:pPr>
      <w:r>
        <w:t>与旧方案的主要调整</w:t>
      </w:r>
    </w:p>
    <w:p>
      <w:r>
        <w:t>接入主路线改为变频器经4G模块直连自有云；厂商接口用于核实协议与设备能力，不再把厂商云作为默认前置条件。微信小程序、租赁合同、第一所有人、多用户权限、到期停机和提醒已纳入统一范围。</w:t>
      </w:r>
    </w:p>
    <w:p>
      <w:r>
        <w:t>备份范围限定为用户主数据；运行历史、告警、命令和财务流水按云端业务分别管理。收入采用实际收款口径。各端示例采用同一深蓝青色设计基准。</w:t>
      </w:r>
    </w:p>
    <w:p>
      <w:pPr>
        <w:pStyle w:val="Heading2"/>
      </w:pPr>
      <w:r>
        <w:t>状态标记</w:t>
      </w:r>
    </w:p>
    <w:p>
      <w:r>
        <w:t>已确认：用户明确提出或确认的需求。设计建议：为实现已确认需求提出的方案，供开发评审。待确认：尚缺参数、硬件能力、费用或业务决定。本版不把建议转换为已完成承诺。</w:t>
      </w:r>
    </w:p>
    <w:p>
      <w:r>
        <w:rPr>
          <w:sz w:val="18"/>
        </w:rPr>
        <w:t>本版以需求基线和已形成的原型范围为准，定时启停暂不纳入；新增能力按范围变更流程评审。</w:t>
      </w:r>
    </w:p>
    <w:p>
      <w:pPr>
        <w:pStyle w:val="Heading1"/>
        <w:pageBreakBefore/>
      </w:pPr>
      <w:r>
        <w:t>1 项目策划与建设范围</w:t>
      </w:r>
    </w:p>
    <w:p>
      <w:pPr>
        <w:pStyle w:val="Heading2"/>
      </w:pPr>
      <w:r>
        <w:t>建设目标</w:t>
      </w:r>
    </w:p>
    <w:p>
      <w:r>
        <w:t>让设备从入库、出租、授权、运行、续租到回收形成可追踪记录，降低设备归属不清、权限越界、租期遗漏和用户资料丢失的风险。监控端侧重发现异常，小程序侧重单机查看与操作，后台侧重业务办理和统计。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376"/>
        <w:gridCol w:w="5990"/>
      </w:tblGrid>
      <w:tr>
        <w:trPr>
          <w:cantSplit/>
          <w:tblHeader/>
        </w:trPr>
        <w:tc>
          <w:tcPr>
            <w:tcW w:type="dxa" w:w="180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产品端</w:t>
            </w:r>
          </w:p>
        </w:tc>
        <w:tc>
          <w:tcPr>
            <w:tcW w:type="dxa" w:w="237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主要使用者</w:t>
            </w:r>
          </w:p>
        </w:tc>
        <w:tc>
          <w:tcPr>
            <w:tcW w:type="dxa" w:w="599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核心任务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微信小程序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合同客户 共享用户 仓库管理员</w:t>
            </w:r>
          </w:p>
        </w:tc>
        <w:tc>
          <w:tcPr>
            <w:tcW w:type="dxa" w:w="599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扫码添加、设备查看、授权控制、租赁查询、提醒；管理员手机扫码入库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监控界面</w:t>
            </w:r>
          </w:p>
        </w:tc>
        <w:tc>
          <w:tcPr>
            <w:tcW w:type="dxa" w:w="237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监控人员 运维人员</w:t>
            </w:r>
          </w:p>
        </w:tc>
        <w:tc>
          <w:tcPr>
            <w:tcW w:type="dxa" w:w="599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全域总览、区域筛选、单机状态、历史曲线、故障与通信异常定位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管理后台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租赁管理员 仓库与财务人员</w:t>
            </w:r>
          </w:p>
        </w:tc>
        <w:tc>
          <w:tcPr>
            <w:tcW w:type="dxa" w:w="599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设备台账、合同登记、付款与续租、逐项授权、独立报表、用户数据备份</w:t>
            </w:r>
          </w:p>
        </w:tc>
      </w:tr>
    </w:tbl>
    <w:p>
      <w:pPr>
        <w:spacing w:after="40"/>
      </w:pPr>
    </w:p>
    <w:p>
      <w:pPr>
        <w:pStyle w:val="Heading2"/>
      </w:pPr>
      <w:r>
        <w:t>交付策略</w:t>
      </w:r>
    </w:p>
    <w:p>
      <w:r>
        <w:t>第一阶段冻结需求和统一原型；第二阶段打通身份、设备数据与租赁授权；第三阶段接入真实控制、到期执行和备份同步；随后完成小范围试点、异常测试、扩容与移交。生产开放以验收证据为准。</w:t>
      </w:r>
    </w:p>
    <w:p>
      <w:pPr>
        <w:pStyle w:val="Heading2"/>
      </w:pPr>
      <w:r>
        <w:t>当前范围与预留</w:t>
      </w:r>
    </w:p>
    <w:p>
      <w:r>
        <w:t>包含设备查看、启停、频率设置、授权故障复位及历史查询。频率与实际转速分开定义，型号不支持的能力不显示为可执行。短信充值、余额、按条扣费和发送仅保留接口，单价及扣费规则未定。</w:t>
      </w:r>
    </w:p>
    <w:p>
      <w:r>
        <w:t>退租结算、押金、退款、发票、在线支付、自动无人值守调度、批量启停和AI故障预测尚无完整确认，作为后续扩展或待确认项，不在本期完成承诺内。</w:t>
      </w:r>
    </w:p>
    <w:p>
      <w:pPr>
        <w:pStyle w:val="Heading2"/>
      </w:pPr>
      <w:r>
        <w:t>可衡量成果</w:t>
      </w:r>
    </w:p>
    <w:p>
      <w:r>
        <w:t>按验收用例核对：设备身份唯一、扫码默认只读、第一所有人依据合同付款登记、越权控制被拒绝、到期执行可追踪、报表金额可对账、用户备份恢复不改变云端运行记录。</w:t>
      </w:r>
    </w:p>
    <w:p>
      <w:pPr>
        <w:pStyle w:val="Heading1"/>
        <w:pageBreakBefore/>
      </w:pPr>
      <w:r>
        <w:t>2 已确认需求基线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35"/>
        <w:gridCol w:w="7315"/>
        <w:gridCol w:w="2016"/>
      </w:tblGrid>
      <w:tr>
        <w:trPr>
          <w:cantSplit/>
          <w:tblHeader/>
        </w:trPr>
        <w:tc>
          <w:tcPr>
            <w:tcW w:type="dxa" w:w="835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7315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201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落地位置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R01</w:t>
            </w:r>
          </w:p>
        </w:tc>
        <w:tc>
          <w:tcPr>
            <w:tcW w:type="dxa" w:w="73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主要管理对象是变频器，经4G模块与自有云服务器通信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架构与通信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R02</w:t>
            </w:r>
          </w:p>
        </w:tc>
        <w:tc>
          <w:tcPr>
            <w:tcW w:type="dxa" w:w="73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二维码包含厂商代号、变频器型号、4G模块ID</w:t>
            </w:r>
          </w:p>
        </w:tc>
        <w:tc>
          <w:tcPr>
            <w:tcW w:type="dxa" w:w="20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扫码与设备档案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R03</w:t>
            </w:r>
          </w:p>
        </w:tc>
        <w:tc>
          <w:tcPr>
            <w:tcW w:type="dxa" w:w="73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管理员可以在电脑或手机完成扫码入库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双端入库流程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R04</w:t>
            </w:r>
          </w:p>
        </w:tc>
        <w:tc>
          <w:tcPr>
            <w:tcW w:type="dxa" w:w="73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用户扫码添加已入库设备，默认只有查看权限</w:t>
            </w:r>
          </w:p>
        </w:tc>
        <w:tc>
          <w:tcPr>
            <w:tcW w:type="dxa" w:w="20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小程序与服务端授权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R05</w:t>
            </w:r>
          </w:p>
        </w:tc>
        <w:tc>
          <w:tcPr>
            <w:tcW w:type="dxa" w:w="73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同一设备可被多位用户添加，管理员逐项授予权限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用户设备关系与授权页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R06</w:t>
            </w:r>
          </w:p>
        </w:tc>
        <w:tc>
          <w:tcPr>
            <w:tcW w:type="dxa" w:w="73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以微信绑定手机号识别用户；签约且由管理员登记付款者为第一所有人</w:t>
            </w:r>
          </w:p>
        </w:tc>
        <w:tc>
          <w:tcPr>
            <w:tcW w:type="dxa" w:w="20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用户身份与合同登记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R07</w:t>
            </w:r>
          </w:p>
        </w:tc>
        <w:tc>
          <w:tcPr>
            <w:tcW w:type="dxa" w:w="73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按月出租，到期未续租直接停机；提前7天、3天、1天提醒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租期服务与执行链路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R08</w:t>
            </w:r>
          </w:p>
        </w:tc>
        <w:tc>
          <w:tcPr>
            <w:tcW w:type="dxa" w:w="73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短信服务采用用户充值、按条扣费，当前仅预留接口</w:t>
            </w:r>
          </w:p>
        </w:tc>
        <w:tc>
          <w:tcPr>
            <w:tcW w:type="dxa" w:w="20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短信接口与禁用入口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R09</w:t>
            </w:r>
          </w:p>
        </w:tc>
        <w:tc>
          <w:tcPr>
            <w:tcW w:type="dxa" w:w="73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后台有独立统计界面和收入统计表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设备台账 月度收入 客户汇总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R10</w:t>
            </w:r>
          </w:p>
        </w:tc>
        <w:tc>
          <w:tcPr>
            <w:tcW w:type="dxa" w:w="73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只有用户主数据以本地为准，云端与小程序同步；运行数据在云端</w:t>
            </w:r>
          </w:p>
        </w:tc>
        <w:tc>
          <w:tcPr>
            <w:tcW w:type="dxa" w:w="20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数据权威与同步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R11</w:t>
            </w:r>
          </w:p>
        </w:tc>
        <w:tc>
          <w:tcPr>
            <w:tcW w:type="dxa" w:w="73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用户资料支持导出本机、U盘或光盘备份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备份与恢复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R12</w:t>
            </w:r>
          </w:p>
        </w:tc>
        <w:tc>
          <w:tcPr>
            <w:tcW w:type="dxa" w:w="73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先做完整可点击原型，确认后接入真实系统</w:t>
            </w:r>
          </w:p>
        </w:tc>
        <w:tc>
          <w:tcPr>
            <w:tcW w:type="dxa" w:w="20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阶段准入与状态说明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R13</w:t>
            </w:r>
          </w:p>
        </w:tc>
        <w:tc>
          <w:tcPr>
            <w:tcW w:type="dxa" w:w="73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三端设计风格统一，以监控平台为基准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统一设计规范与插图</w:t>
            </w:r>
          </w:p>
        </w:tc>
      </w:tr>
    </w:tbl>
    <w:p>
      <w:pPr>
        <w:spacing w:after="40"/>
      </w:pPr>
    </w:p>
    <w:p>
      <w:r>
        <w:rPr>
          <w:sz w:val="18"/>
        </w:rPr>
        <w:t>“登记时间”暂按原会话“等级时间”的含义整理；如果实际指用户等级及等级生效时间，应另增字段确认，不替换登记时间。</w:t>
      </w:r>
    </w:p>
    <w:p>
      <w:pPr>
        <w:pStyle w:val="Heading1"/>
        <w:pageBreakBefore/>
      </w:pPr>
      <w:r>
        <w:t>3 总体架构与数据流向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2720340"/>
            <wp:docPr id="1" name="Picture 1" descr="图1 本地用户主数据与云端运行数据的职责划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18"/>
        </w:rPr>
        <w:t>图1 本地用户主数据与云端运行数据的职责划分</w:t>
      </w:r>
    </w:p>
    <w:p>
      <w:pPr>
        <w:pStyle w:val="Heading2"/>
      </w:pPr>
      <w:r>
        <w:t>本地负责用户主数据</w:t>
      </w:r>
    </w:p>
    <w:p>
      <w:r>
        <w:t>本地管理工作站保存姓名、绑定手机号索引、登记时间、用户设备关系、第一所有人、合同关联租期和授权记录。主数据修改生成版本，经同步确认后供云端执行。正式系统需要本地数据库与同步服务，不能以浏览器临时缓存替代。</w:t>
      </w:r>
    </w:p>
    <w:p>
      <w:pPr>
        <w:pStyle w:val="Heading2"/>
      </w:pPr>
      <w:r>
        <w:t>云端负责设备与业务执行</w:t>
      </w:r>
    </w:p>
    <w:p>
      <w:r>
        <w:t>自有云负责设备接入、实时状态、历史遥测、告警、命令调度、收款流水和报表计算，并保存用户主数据的受控副本。用户备份不包含这些云端运行及财务账本；云端仍需独立的灾备策略。</w:t>
      </w:r>
    </w:p>
    <w:p>
      <w:pPr>
        <w:pStyle w:val="Heading2"/>
      </w:pPr>
      <w:r>
        <w:t>三条链路分别处理</w:t>
      </w:r>
    </w:p>
    <w:p>
      <w:r>
        <w:t>运行链路为变频器 → 4G模块 → 云端 → 监控与小程序。控制链路为客户端 → 云端鉴权 → 4G模块 → 变频器 → 回执核对。用户变更链路为提交申请 → 本地主数据确认 → 云端版本更新 → 小程序刷新。</w:t>
      </w:r>
    </w:p>
    <w:p>
      <w:r>
        <w:t>本地电脑关机时，云端采集和已确认规则继续运行；涉及新增用户、租期、归属、授权的变更进入待同步状态。不能用“提交成功”代替“已生效”。此离线办理方式为设计建议，需在实施前确认。</w:t>
      </w:r>
    </w:p>
    <w:p>
      <w:pPr>
        <w:pStyle w:val="Heading1"/>
        <w:pageBreakBefore/>
      </w:pPr>
      <w:r>
        <w:t>4 统一视觉与交互设计规范</w:t>
      </w:r>
    </w:p>
    <w:p>
      <w:r>
        <w:t>以现有监控平台的深蓝工业界面为基准统一三端。保持同一色彩、状态、图标、术语和操作反馈体系；各端保留适合观看距离和操作密度的布局。正文说明书采用便于阅读与打印的黑色标题，产品界面按下表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680"/>
        <w:gridCol w:w="3830"/>
      </w:tblGrid>
      <w:tr>
        <w:trPr>
          <w:cantSplit/>
          <w:tblHeader/>
        </w:trPr>
        <w:tc>
          <w:tcPr>
            <w:tcW w:type="dxa" w:w="165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设计元素</w:t>
            </w:r>
          </w:p>
        </w:tc>
        <w:tc>
          <w:tcPr>
            <w:tcW w:type="dxa" w:w="468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统一规范</w:t>
            </w:r>
          </w:p>
        </w:tc>
        <w:tc>
          <w:tcPr>
            <w:tcW w:type="dxa" w:w="383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各端应用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主背景与容器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深蓝 #061A34；卡片 #0B2646；边界 #254968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监控为大面积分区；后台为台账；手机为单列卡片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强调与文字</w:t>
            </w:r>
          </w:p>
        </w:tc>
        <w:tc>
          <w:tcPr>
            <w:tcW w:type="dxa" w:w="468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青色 #27D6ED；主文字 #EDF6FF；次文字 #A9C0D8</w:t>
            </w:r>
          </w:p>
        </w:tc>
        <w:tc>
          <w:tcPr>
            <w:tcW w:type="dxa" w:w="383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青色用于选中、关键数据与主操作；避免全屏高亮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状态色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运行 #38D9B0；预警 #FFD17A；故障 #FF8C91；未知用灰蓝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颜色必须配文字或图标；离线不冒充停止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字体层级</w:t>
            </w:r>
          </w:p>
        </w:tc>
        <w:tc>
          <w:tcPr>
            <w:tcW w:type="dxa" w:w="468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中文无衬线；数字采用等宽对齐；单位固定位置</w:t>
            </w:r>
          </w:p>
        </w:tc>
        <w:tc>
          <w:tcPr>
            <w:tcW w:type="dxa" w:w="383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大屏按观看距离测试；手机正文建议14至16像素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组件与间距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8像素间距基准；常规圆角8至12像素；同类图标一致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大屏减少装饰框；后台表格稳定；手机触控区不拥挤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按钮与反馈</w:t>
            </w:r>
          </w:p>
        </w:tc>
        <w:tc>
          <w:tcPr>
            <w:tcW w:type="dxa" w:w="468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同一动作同名；主操作青色；危险动作显式确认</w:t>
            </w:r>
          </w:p>
        </w:tc>
        <w:tc>
          <w:tcPr>
            <w:tcW w:type="dxa" w:w="383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启动 停止 调频 故障复位四类保持一致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状态页面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加载 空数据 无权限 离线 过期 失败 待回执</w:t>
            </w:r>
          </w:p>
        </w:tc>
        <w:tc>
          <w:tcPr>
            <w:tcW w:type="dxa" w:w="383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保留用户已填内容；失败说明原因与下一步</w:t>
            </w:r>
          </w:p>
        </w:tc>
      </w:tr>
    </w:tbl>
    <w:p>
      <w:pPr>
        <w:spacing w:after="40"/>
      </w:pPr>
    </w:p>
    <w:p>
      <w:pPr>
        <w:pStyle w:val="Heading2"/>
      </w:pPr>
      <w:r>
        <w:t>各端布局原则</w:t>
      </w:r>
    </w:p>
    <w:p>
      <w:r>
        <w:t>监控端采用总览、区域、单机的层级，优先呈现异常与数据时间。后台采用固定侧栏、页面标题、筛选区和表格或表单。小程序采用设备、扫码、消息、我的等清晰入口，管理员身份增加扫码入库。</w:t>
      </w:r>
    </w:p>
    <w:p>
      <w:r>
        <w:t>表格不因报警而自动重排；手机单手可触达主要操作；提交前显示目标设备与动作，提交后显示待回执。禁用按钮同时说明权限、租期或设备状态原因。停止使用红色文字语义，但不能命名为物理急停。</w:t>
      </w:r>
    </w:p>
    <w:p>
      <w:pPr>
        <w:pStyle w:val="Heading2"/>
      </w:pPr>
      <w:r>
        <w:t>样式实施</w:t>
      </w:r>
    </w:p>
    <w:p>
      <w:r>
        <w:t>设计参数集中管理为共享主题，不在各页面独立配色。交付统一组件清单、页面状态样例和适配规范。附录中更新后的手机与后台示例已应用深蓝青色主题；历史监控图的示例统计仍需按第11章修正。</w:t>
      </w:r>
    </w:p>
    <w:p>
      <w:pPr>
        <w:pStyle w:val="Heading1"/>
        <w:pageBreakBefore/>
      </w:pPr>
      <w:r>
        <w:t>5 角色与权限设计</w:t>
      </w:r>
    </w:p>
    <w:p>
      <w:r>
        <w:t>第一所有人是本平台的合同承租主体称谓，不自动表达法律产权。扫码先后不会改变第一所有人。所有人身份与操作权限是两个维度，仍由管理员为每名用户、每台设备分别授予权限。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800"/>
        <w:gridCol w:w="1901"/>
        <w:gridCol w:w="2376"/>
        <w:gridCol w:w="2578"/>
      </w:tblGrid>
      <w:tr>
        <w:trPr>
          <w:cantSplit/>
          <w:tblHeader/>
        </w:trPr>
        <w:tc>
          <w:tcPr>
            <w:tcW w:type="dxa" w:w="151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80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查看设备</w:t>
            </w:r>
          </w:p>
        </w:tc>
        <w:tc>
          <w:tcPr>
            <w:tcW w:type="dxa" w:w="1901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执行控制</w:t>
            </w:r>
          </w:p>
        </w:tc>
        <w:tc>
          <w:tcPr>
            <w:tcW w:type="dxa" w:w="237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办理业务</w:t>
            </w:r>
          </w:p>
        </w:tc>
        <w:tc>
          <w:tcPr>
            <w:tcW w:type="dxa" w:w="257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权限边界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共享用户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已添加且有查看权</w:t>
            </w:r>
          </w:p>
        </w:tc>
        <w:tc>
          <w:tcPr>
            <w:tcW w:type="dxa" w:w="19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逐项获得授权后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查看本人相关租期</w:t>
            </w:r>
          </w:p>
        </w:tc>
        <w:tc>
          <w:tcPr>
            <w:tcW w:type="dxa" w:w="257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不能转授他人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第一所有人</w:t>
            </w:r>
          </w:p>
        </w:tc>
        <w:tc>
          <w:tcPr>
            <w:tcW w:type="dxa" w:w="18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自己的合同与已添加设备</w:t>
            </w:r>
          </w:p>
        </w:tc>
        <w:tc>
          <w:tcPr>
            <w:tcW w:type="dxa" w:w="190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仍需逐项授权</w:t>
            </w:r>
          </w:p>
        </w:tc>
        <w:tc>
          <w:tcPr>
            <w:tcW w:type="dxa" w:w="237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接收到期提醒</w:t>
            </w:r>
          </w:p>
        </w:tc>
        <w:tc>
          <w:tcPr>
            <w:tcW w:type="dxa" w:w="257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不能凭所有人身份绕过授权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仓库管理员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职责内设备</w:t>
            </w:r>
          </w:p>
        </w:tc>
        <w:tc>
          <w:tcPr>
            <w:tcW w:type="dxa" w:w="19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不默认具备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手机或电脑扫码入库</w:t>
            </w:r>
          </w:p>
        </w:tc>
        <w:tc>
          <w:tcPr>
            <w:tcW w:type="dxa" w:w="257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合同和财务能力另授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租赁管理员</w:t>
            </w:r>
          </w:p>
        </w:tc>
        <w:tc>
          <w:tcPr>
            <w:tcW w:type="dxa" w:w="18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职责内档案</w:t>
            </w:r>
          </w:p>
        </w:tc>
        <w:tc>
          <w:tcPr>
            <w:tcW w:type="dxa" w:w="190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按职责另授</w:t>
            </w:r>
          </w:p>
        </w:tc>
        <w:tc>
          <w:tcPr>
            <w:tcW w:type="dxa" w:w="237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合同 续租 归属 授权</w:t>
            </w:r>
          </w:p>
        </w:tc>
        <w:tc>
          <w:tcPr>
            <w:tcW w:type="dxa" w:w="257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必须记录变更前后值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财务或报表人员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经授权的业务数据</w:t>
            </w:r>
          </w:p>
        </w:tc>
        <w:tc>
          <w:tcPr>
            <w:tcW w:type="dxa" w:w="19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不默认具备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登记收款 查看收入</w:t>
            </w:r>
          </w:p>
        </w:tc>
        <w:tc>
          <w:tcPr>
            <w:tcW w:type="dxa" w:w="257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不能直接改变运行状态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监控或运维人员</w:t>
            </w:r>
          </w:p>
        </w:tc>
        <w:tc>
          <w:tcPr>
            <w:tcW w:type="dxa" w:w="18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授权区域状态</w:t>
            </w:r>
          </w:p>
        </w:tc>
        <w:tc>
          <w:tcPr>
            <w:tcW w:type="dxa" w:w="190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另授后才可操作</w:t>
            </w:r>
          </w:p>
        </w:tc>
        <w:tc>
          <w:tcPr>
            <w:tcW w:type="dxa" w:w="237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事件处理与运维</w:t>
            </w:r>
          </w:p>
        </w:tc>
        <w:tc>
          <w:tcPr>
            <w:tcW w:type="dxa" w:w="257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监控大屏默认只读</w:t>
            </w:r>
          </w:p>
        </w:tc>
      </w:tr>
    </w:tbl>
    <w:p>
      <w:pPr>
        <w:spacing w:after="40"/>
      </w:pPr>
    </w:p>
    <w:p>
      <w:pPr>
        <w:pStyle w:val="Heading2"/>
      </w:pPr>
      <w:r>
        <w:t>设备权限项</w:t>
      </w:r>
    </w:p>
    <w:p>
      <w:r>
        <w:t>查看、启停、调频、故障复位分别存储。关闭查看时同步清除控制类权限；开启控制类权限必须具备查看权。设备操作权限与后台管理角色分开校验。</w:t>
      </w:r>
    </w:p>
    <w:p>
      <w:pPr>
        <w:pStyle w:val="Heading2"/>
      </w:pPr>
      <w:r>
        <w:t>执行条件</w:t>
      </w:r>
    </w:p>
    <w:p>
      <w:r>
        <w:t>有效控制需同时满足身份有效、指定设备权限、设备支持该操作、在线且数据有效、租期允许、现场允许远程及无冲突命令。到期禁止启动、调频和非必要复位；停止可在已授权且设备可通信时保留，系统到期停机不依赖客户主动操作。</w:t>
      </w:r>
    </w:p>
    <w:p>
      <w:pPr>
        <w:pStyle w:val="Heading2"/>
      </w:pPr>
      <w:r>
        <w:t>分享与撤权</w:t>
      </w:r>
    </w:p>
    <w:p>
      <w:r>
        <w:t>管理员按用户绑定手机号找到目标账号，确认其设备关系后保存权限差异。分享链接或二维码仅用于进入添加或授权申请流程，不能携带可直接执行设备控制的凭证。撤权应同步使缓存失效；再次扫码不得恢复已撤销的权限。</w:t>
      </w:r>
    </w:p>
    <w:p>
      <w:pPr>
        <w:pStyle w:val="Heading1"/>
        <w:pageBreakBefore/>
      </w:pPr>
      <w:r>
        <w:t>6 设备编码与双端扫码入库</w:t>
      </w:r>
    </w:p>
    <w:p>
      <w:pPr>
        <w:pStyle w:val="Heading2"/>
      </w:pPr>
      <w:r>
        <w:t>二维码及设备身份</w:t>
      </w:r>
    </w:p>
    <w:p>
      <w:r>
        <w:t>已确认二维码内容为厂商代号、变频器型号和4G模块ID。建议编码采用带分隔符的版本化格式，例如 HN|VF-22|DEMO4G001005；示例不是最终厂商编码。字符集、长度、分隔符转义及校验方式需在生产贴码前冻结。</w:t>
      </w:r>
    </w:p>
    <w:p>
      <w:r>
        <w:t>平台生成稳定设备ID。模块ID用于通信身份与防重校验；更换模块应保留原设备历史并记录换绑，不能删除旧档案重新建同一设备。二维码不写入用户手机号、通信密钥或管理员口令。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10"/>
      </w:tblGrid>
      <w:tr>
        <w:trPr>
          <w:cantSplit/>
          <w:tblHeader/>
        </w:trPr>
        <w:tc>
          <w:tcPr>
            <w:tcW w:type="dxa" w:w="165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851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电脑与管理员手机的共同规则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扫描或输入</w:t>
            </w:r>
          </w:p>
        </w:tc>
        <w:tc>
          <w:tcPr>
            <w:tcW w:type="dxa" w:w="85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读取二维码；摄像头不可用时允许授权人员手动输入；不因扫码就执行入库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解析核对</w:t>
            </w:r>
          </w:p>
        </w:tc>
        <w:tc>
          <w:tcPr>
            <w:tcW w:type="dxa" w:w="85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展示厂商 型号 模块ID；校验格式和型号；重复模块展示已有设备并阻止重复建档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补充档案</w:t>
            </w:r>
          </w:p>
        </w:tc>
        <w:tc>
          <w:tcPr>
            <w:tcW w:type="dxa" w:w="85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填写设备名称 仓库或区域 安装位置；可按项目补充出厂编号和备注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确认入库</w:t>
            </w:r>
          </w:p>
        </w:tc>
        <w:tc>
          <w:tcPr>
            <w:tcW w:type="dxa" w:w="85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显示完整预览；管理员确认后写入设备台账并记录来源 时间 操作人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结果反馈</w:t>
            </w:r>
          </w:p>
        </w:tc>
        <w:tc>
          <w:tcPr>
            <w:tcW w:type="dxa" w:w="85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显示设备编号和待出租状态；提供继续入库或合同登记入口</w:t>
            </w:r>
          </w:p>
        </w:tc>
      </w:tr>
    </w:tbl>
    <w:p>
      <w:pPr>
        <w:spacing w:after="40"/>
      </w:pPr>
    </w:p>
    <w:p>
      <w:pPr>
        <w:pStyle w:val="Heading2"/>
      </w:pPr>
      <w:r>
        <w:t>普通用户扫码添加</w:t>
      </w:r>
    </w:p>
    <w:p>
      <w:r>
        <w:t>先验证用户手机号绑定状态，再查询二维码对应的已入库设备；成功添加后默认为查看，不建立所有权。未入库、厂商型号与模块不匹配、损坏或无效二维码分别提示原因。重复添加返回原关系，不能重复产生记录或恢复撤销授权。</w:t>
      </w:r>
    </w:p>
    <w:p>
      <w:pPr>
        <w:pStyle w:val="Heading2"/>
      </w:pPr>
      <w:r>
        <w:t>记录一致性</w:t>
      </w:r>
    </w:p>
    <w:p>
      <w:r>
        <w:t>管理员手机和电脑共用同一入库服务与校验规则。设备基础台账可由云端管理；用户扫码形成的关联关系属于本地主数据范围，需按同步方案确认后生效。离线扫码可保留待提交草稿，但草稿不显示为已入库或已授权。</w:t>
      </w:r>
    </w:p>
    <w:p>
      <w:pPr>
        <w:pStyle w:val="Heading1"/>
        <w:pageBreakBefore/>
      </w:pPr>
      <w:r>
        <w:t>7 合同登记与第一所有人</w:t>
      </w:r>
    </w:p>
    <w:p>
      <w:r>
        <w:t>管理员先完成设备入库，再以微信绑定手机号检索签约客户，核对合同和付款凭据，确认后登记第一所有人。系统不能以第一个扫码的人、当前操作者或设备昵称推断归属。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366"/>
      </w:tblGrid>
      <w:tr>
        <w:trPr>
          <w:cantSplit/>
          <w:tblHeader/>
        </w:trPr>
        <w:tc>
          <w:tcPr>
            <w:tcW w:type="dxa" w:w="180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836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填写或校验要求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合同编号</w:t>
            </w:r>
          </w:p>
        </w:tc>
        <w:tc>
          <w:tcPr>
            <w:tcW w:type="dxa" w:w="83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必填且唯一；关联合同附件或外部档案编号为建议扩展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签约客户</w:t>
            </w:r>
          </w:p>
        </w:tc>
        <w:tc>
          <w:tcPr>
            <w:tcW w:type="dxa" w:w="836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绑定手机号与姓名；确认账号匹配；旧手机号变更需重新核验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设备清单</w:t>
            </w:r>
          </w:p>
        </w:tc>
        <w:tc>
          <w:tcPr>
            <w:tcW w:type="dxa" w:w="83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已入库设备；不得存在冲突有效租期；现原型为单设备登记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租期</w:t>
            </w:r>
          </w:p>
        </w:tc>
        <w:tc>
          <w:tcPr>
            <w:tcW w:type="dxa" w:w="836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起租与到期的精确时间；到期晚于起租；按北京时间展示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租金与收款</w:t>
            </w:r>
          </w:p>
        </w:tc>
        <w:tc>
          <w:tcPr>
            <w:tcW w:type="dxa" w:w="83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月租金额 实际收款金额 收款日期 凭据或备注；记录人确认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确认结果</w:t>
            </w:r>
          </w:p>
        </w:tc>
        <w:tc>
          <w:tcPr>
            <w:tcW w:type="dxa" w:w="836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建立合同归属和租期；产生首次收款记录；不自动授予启停权限</w:t>
            </w:r>
          </w:p>
        </w:tc>
      </w:tr>
    </w:tbl>
    <w:p>
      <w:pPr>
        <w:spacing w:after="40"/>
      </w:pPr>
    </w:p>
    <w:p>
      <w:pPr>
        <w:pStyle w:val="Heading2"/>
      </w:pPr>
      <w:r>
        <w:t>合同与设备关系</w:t>
      </w:r>
    </w:p>
    <w:p>
      <w:r>
        <w:t>正式数据模型建议支持一份合同关联多台设备，各设备独立保留起止时间与租金条目。当前可点击原型按单设备办理；多设备合同的界面和结算规则应在扩展评审中确认。一个时间段内同一设备只能有一个有效第一所有人。</w:t>
      </w:r>
    </w:p>
    <w:p>
      <w:pPr>
        <w:pStyle w:val="Heading2"/>
      </w:pPr>
      <w:r>
        <w:t>归属变更</w:t>
      </w:r>
    </w:p>
    <w:p>
      <w:r>
        <w:t>换承租人、转租、退租再出租必须走单独审批和历史留存流程。不得直接覆盖旧合同。此类结算规则尚未确认，第一期至少禁止在已有有效合同上随意改所有人。</w:t>
      </w:r>
    </w:p>
    <w:p>
      <w:pPr>
        <w:pStyle w:val="Heading2"/>
      </w:pPr>
      <w:r>
        <w:t>身份主键</w:t>
      </w:r>
    </w:p>
    <w:p>
      <w:r>
        <w:t>业务检索以微信绑定手机号为准。技术上建议使用不可变userId，并维护经过验证的手机号及其变更记录，避免手机号变更或回收导致旧合同错绑。姓名可核对，不能单独作为唯一身份。</w:t>
      </w:r>
    </w:p>
    <w:p>
      <w:r>
        <w:t>若客户尚未完成手机号绑定，先提示其完成绑定，不由管理员臆造微信身份。合同登记完成后仍需客户添加设备并由管理员授权。</w:t>
      </w:r>
    </w:p>
    <w:p>
      <w:pPr>
        <w:pStyle w:val="Heading1"/>
        <w:pageBreakBefore/>
      </w:pPr>
      <w:r>
        <w:t>8 租期续租到期与提醒</w:t>
      </w:r>
    </w:p>
    <w:p>
      <w:pPr>
        <w:pStyle w:val="Heading2"/>
      </w:pPr>
      <w:r>
        <w:t>租期规则</w:t>
      </w:r>
    </w:p>
    <w:p>
      <w:r>
        <w:t>已确认按月出租、到期未续租直接停机，不设置默认宽限期。建议以合同明确的起止时间作为最终判断依据；“一个月”按自然月还是固定天数、月末及跨月处理仍需确认。前端显示倒计时，服务端和现场执行以可信时间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5544"/>
        <w:gridCol w:w="2779"/>
      </w:tblGrid>
      <w:tr>
        <w:trPr>
          <w:cantSplit/>
          <w:tblHeader/>
        </w:trPr>
        <w:tc>
          <w:tcPr>
            <w:tcW w:type="dxa" w:w="1843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时点或事件</w:t>
            </w:r>
          </w:p>
        </w:tc>
        <w:tc>
          <w:tcPr>
            <w:tcW w:type="dxa" w:w="5544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业务动作</w:t>
            </w:r>
          </w:p>
        </w:tc>
        <w:tc>
          <w:tcPr>
            <w:tcW w:type="dxa" w:w="2779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界面状态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到期前7天 3天 1天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按合同和客户去重创建提醒，优先通知第一所有人</w:t>
            </w:r>
          </w:p>
        </w:tc>
        <w:tc>
          <w:tcPr>
            <w:tcW w:type="dxa" w:w="277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提醒待发送 已送达 失败或渠道未开通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管理员登记续租</w:t>
            </w:r>
          </w:p>
        </w:tc>
        <w:tc>
          <w:tcPr>
            <w:tcW w:type="dxa" w:w="55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核对付款；新增收款流水；更新租期版本并同步</w:t>
            </w:r>
          </w:p>
        </w:tc>
        <w:tc>
          <w:tcPr>
            <w:tcW w:type="dxa" w:w="2779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待同步 云端生效 设备确认分开显示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到期未续租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锁定新的启动与调频；创建停机任务；现场校验到期</w:t>
            </w:r>
          </w:p>
        </w:tc>
        <w:tc>
          <w:tcPr>
            <w:tcW w:type="dxa" w:w="277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已到期 停机执行中 停机已确认或待核实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续租完成</w:t>
            </w:r>
          </w:p>
        </w:tc>
        <w:tc>
          <w:tcPr>
            <w:tcW w:type="dxa" w:w="55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按新租期恢复资格；不自动启动设备</w:t>
            </w:r>
          </w:p>
        </w:tc>
        <w:tc>
          <w:tcPr>
            <w:tcW w:type="dxa" w:w="2779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租赁有效 设备仍保持实际状态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短信余额不足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记录短信渠道不可用，提供站内提醒状态</w:t>
            </w:r>
          </w:p>
        </w:tc>
        <w:tc>
          <w:tcPr>
            <w:tcW w:type="dxa" w:w="277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不得因此延长租期或取消停机</w:t>
            </w:r>
          </w:p>
        </w:tc>
      </w:tr>
    </w:tbl>
    <w:p>
      <w:pPr>
        <w:spacing w:after="40"/>
      </w:pPr>
    </w:p>
    <w:p>
      <w:pPr>
        <w:pStyle w:val="Heading2"/>
      </w:pPr>
      <w:r>
        <w:t>断网到期的实现条件</w:t>
      </w:r>
    </w:p>
    <w:p>
      <w:r>
        <w:t>仅依靠云端发停机命令无法保证失联设备准时停止。设计建议是把已确认租期以可验证的规则下发到4G模块或现场控制器，由现场独立判断到期，并防止使用旧版本租期。设备需要支持可靠时钟、规则保存、断网执行与执行回报。</w:t>
      </w:r>
    </w:p>
    <w:p>
      <w:r>
        <w:t>如果现有硬件不具备这些能力，应在控制试点前明确改造方案；平台必须显示“到期且停机结果待确认”，不能把离线当作已经停机。具体停车方式由设备厂商和现场工况确定。</w:t>
      </w:r>
    </w:p>
    <w:p>
      <w:pPr>
        <w:pStyle w:val="Heading2"/>
      </w:pPr>
      <w:r>
        <w:t>提醒渠道</w:t>
      </w:r>
    </w:p>
    <w:p>
      <w:r>
        <w:t>小程序内消息作为业务记录入口；微信订阅通知是否可用及用户授权方式在接入时核实。短信仅预留接口，不在本期发送或扣费。提醒任务按合同版本失效，续租后取消旧到期日的未发送任务。</w:t>
      </w:r>
    </w:p>
    <w:p>
      <w:pPr>
        <w:pStyle w:val="Heading1"/>
        <w:pageBreakBefore/>
      </w:pPr>
      <w:r>
        <w:t>9 微信小程序页面说明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2"/>
        <w:gridCol w:w="4032"/>
        <w:gridCol w:w="4493"/>
      </w:tblGrid>
      <w:tr>
        <w:trPr>
          <w:cantSplit/>
          <w:tblHeader/>
        </w:trPr>
        <w:tc>
          <w:tcPr>
            <w:tcW w:type="dxa" w:w="164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403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4493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主要交互与边界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登录与绑定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微信身份 手机号绑定 隐私提示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绑定成功再进入设备添加；不收集无关个人信息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设备首页</w:t>
            </w:r>
          </w:p>
        </w:tc>
        <w:tc>
          <w:tcPr>
            <w:tcW w:type="dxa" w:w="40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已添加设备 搜索 状态 租期摘要</w:t>
            </w:r>
          </w:p>
        </w:tc>
        <w:tc>
          <w:tcPr>
            <w:tcW w:type="dxa" w:w="449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卡片显示数据时间；进入详情；无设备时引导扫码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扫码添加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扫码入口 解析结果 设备核对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相机 相册或手动输入能力按平台接入核实；确认只读关系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设备详情</w:t>
            </w:r>
          </w:p>
        </w:tc>
        <w:tc>
          <w:tcPr>
            <w:tcW w:type="dxa" w:w="40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运行频率 设定频率 电流 电压 母线电压</w:t>
            </w:r>
          </w:p>
        </w:tc>
        <w:tc>
          <w:tcPr>
            <w:tcW w:type="dxa" w:w="449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参数按型号显示；启停 调频 复位受独立权限限制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历史数据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测点 时间段 曲线与表格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缺测保留断点；数据为空与数值为零区分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租赁与权限</w:t>
            </w:r>
          </w:p>
        </w:tc>
        <w:tc>
          <w:tcPr>
            <w:tcW w:type="dxa" w:w="40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第一所有人 合同 租期 本人权限</w:t>
            </w:r>
          </w:p>
        </w:tc>
        <w:tc>
          <w:tcPr>
            <w:tcW w:type="dxa" w:w="449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不暴露其他用户完整手机号；不提供自行提权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消息中心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7天3天1天提醒 故障或授权变化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已读与处理状态区分；提醒不等于续租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我的与短信</w:t>
            </w:r>
          </w:p>
        </w:tc>
        <w:tc>
          <w:tcPr>
            <w:tcW w:type="dxa" w:w="40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绑定身份 帮助 短信服务预留</w:t>
            </w:r>
          </w:p>
        </w:tc>
        <w:tc>
          <w:tcPr>
            <w:tcW w:type="dxa" w:w="449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充值入口标记未开放；无真实支付或短信扣款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管理员工作台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库存设备 手机扫码入库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只有入库角色可见；与普通用户扫码添加明确区分</w:t>
            </w:r>
          </w:p>
        </w:tc>
      </w:tr>
    </w:tbl>
    <w:p>
      <w:pPr>
        <w:spacing w:after="40"/>
      </w:pPr>
    </w:p>
    <w:p>
      <w:pPr>
        <w:pStyle w:val="Heading2"/>
      </w:pPr>
      <w:r>
        <w:t>页面通用规则</w:t>
      </w:r>
    </w:p>
    <w:p>
      <w:r>
        <w:t>切换设备或返回列表保留合理筛选状态。网络错误时允许重试查询；写操作先查询结果，避免重复提交。按钮禁用原因包含未授权、租期到期、设备离线、数据过期、现场模式和命令处理中。</w:t>
      </w:r>
    </w:p>
    <w:p>
      <w:r>
        <w:t>频率单位统一为Hz；有实际转速反馈才展示rpm。原型中的频率范围为演示值，正式范围来自设备能力配置。展示最后有效数据时明确标注历史值，不以动画伪装实时。</w:t>
      </w:r>
    </w:p>
    <w:p>
      <w:pPr>
        <w:pStyle w:val="Heading2"/>
      </w:pPr>
      <w:r>
        <w:t>手机入库</w:t>
      </w:r>
    </w:p>
    <w:p>
      <w:r>
        <w:t>管理员手机页面提供扫描、核对、补充资料、确认与继续入库的完整流程。普通用户看不到入库操作；同一扫码页面应明确当前身份和动作，避免把“添加查看”误当成“入库建档”。</w:t>
      </w:r>
    </w:p>
    <w:p>
      <w:pPr>
        <w:pStyle w:val="Heading1"/>
        <w:pageBreakBefore/>
      </w:pPr>
      <w:r>
        <w:t>10 控制交互与命令闭环</w:t>
      </w:r>
    </w:p>
    <w:p>
      <w:r>
        <w:t>正常启停、目标频率调整和故障复位属于不同操作。每次操作应确认设备名称、编号、位置和目标，避免只在按钮上体现动作。故障复位不等于解除安全保护，不作为普通客户默认权限。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515"/>
        <w:gridCol w:w="2923"/>
      </w:tblGrid>
      <w:tr>
        <w:trPr>
          <w:cantSplit/>
          <w:tblHeader/>
        </w:trPr>
        <w:tc>
          <w:tcPr>
            <w:tcW w:type="dxa" w:w="172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命令阶段</w:t>
            </w:r>
          </w:p>
        </w:tc>
        <w:tc>
          <w:tcPr>
            <w:tcW w:type="dxa" w:w="5515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平台行为</w:t>
            </w:r>
          </w:p>
        </w:tc>
        <w:tc>
          <w:tcPr>
            <w:tcW w:type="dxa" w:w="2923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向用户展示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提交前</w:t>
            </w:r>
          </w:p>
        </w:tc>
        <w:tc>
          <w:tcPr>
            <w:tcW w:type="dxa" w:w="5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校验身份 权限 租期 在线 远程模式 参数范围和状态版本</w:t>
            </w:r>
          </w:p>
        </w:tc>
        <w:tc>
          <w:tcPr>
            <w:tcW w:type="dxa" w:w="292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可以操作或具体禁止原因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请求受理</w:t>
            </w:r>
          </w:p>
        </w:tc>
        <w:tc>
          <w:tcPr>
            <w:tcW w:type="dxa" w:w="55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生成commandId和幂等键；持久化请求与操作者</w:t>
            </w:r>
          </w:p>
        </w:tc>
        <w:tc>
          <w:tcPr>
            <w:tcW w:type="dxa" w:w="292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已受理 等待下发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下发与执行</w:t>
            </w:r>
          </w:p>
        </w:tc>
        <w:tc>
          <w:tcPr>
            <w:tcW w:type="dxa" w:w="5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通过4G模块传递；按设备串行处理，避免多人覆盖</w:t>
            </w:r>
          </w:p>
        </w:tc>
        <w:tc>
          <w:tcPr>
            <w:tcW w:type="dxa" w:w="292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已下发 等待设备反馈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回执核对</w:t>
            </w:r>
          </w:p>
        </w:tc>
        <w:tc>
          <w:tcPr>
            <w:tcW w:type="dxa" w:w="55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核对命令回执及新的实际运行数据</w:t>
            </w:r>
          </w:p>
        </w:tc>
        <w:tc>
          <w:tcPr>
            <w:tcW w:type="dxa" w:w="292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成功或明确失败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超时或失联</w:t>
            </w:r>
          </w:p>
        </w:tc>
        <w:tc>
          <w:tcPr>
            <w:tcW w:type="dxa" w:w="5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进入结果待确认，查询对账；过期写命令不自动重放</w:t>
            </w:r>
          </w:p>
        </w:tc>
        <w:tc>
          <w:tcPr>
            <w:tcW w:type="dxa" w:w="292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结果待确认 请核查设备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复核完成</w:t>
            </w:r>
          </w:p>
        </w:tc>
        <w:tc>
          <w:tcPr>
            <w:tcW w:type="dxa" w:w="55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保存最终结果与证据；状态变化通知调用端</w:t>
            </w:r>
          </w:p>
        </w:tc>
        <w:tc>
          <w:tcPr>
            <w:tcW w:type="dxa" w:w="292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执行记录可追踪</w:t>
            </w:r>
          </w:p>
        </w:tc>
      </w:tr>
    </w:tbl>
    <w:p>
      <w:pPr>
        <w:spacing w:after="40"/>
      </w:pPr>
    </w:p>
    <w:p>
      <w:pPr>
        <w:pStyle w:val="Heading2"/>
      </w:pPr>
      <w:r>
        <w:t>调频与平滑执行</w:t>
      </w:r>
    </w:p>
    <w:p>
      <w:r>
        <w:t>手机或后台提交目标频率，设备按批准的加减速参数执行斜坡；不依靠4G链路反复发送微小调节来模拟连续控制。目标值、实际值和执行状态分别展示，参数范围由型号配置，不能硬编码原型数值。</w:t>
      </w:r>
    </w:p>
    <w:p>
      <w:pPr>
        <w:pStyle w:val="Heading2"/>
      </w:pPr>
      <w:r>
        <w:t>重试与并发</w:t>
      </w:r>
    </w:p>
    <w:p>
      <w:r>
        <w:t>重复点击返回同一命令结果；同一设备的写指令串行调度。对结果不明的启动命令先核实，不能直接重试。停止优先策略与现场仲裁应通过厂商能力和试点验证。服务重启或备份恢复不得重放历史启动。</w:t>
      </w:r>
    </w:p>
    <w:p>
      <w:pPr>
        <w:pStyle w:val="Heading2"/>
      </w:pPr>
      <w:r>
        <w:t>控制边界</w:t>
      </w:r>
    </w:p>
    <w:p>
      <w:r>
        <w:t>监控大屏默认只读，进入经过鉴权的操作界面才允许控制。平台停止是正常远程停机请求，不替代现场物理急停、联锁和变频器保护。设备本地与远程模式切换遵循现场配置。</w:t>
      </w:r>
    </w:p>
    <w:p>
      <w:pPr>
        <w:pStyle w:val="Heading1"/>
        <w:pageBreakBefore/>
      </w:pPr>
      <w:r>
        <w:t>11 监控总览与区域界面</w:t>
      </w:r>
    </w:p>
    <w:p>
      <w:r>
        <w:t>沿用现有监控平台深蓝青色视觉，保留全域总览、区域设备、单机详情的层级。海南地图为既有方案的总览方向；最终地图素材、区域层级和部署范围需评审确认，区域设备页不强制使用地图。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3816"/>
        <w:gridCol w:w="4651"/>
      </w:tblGrid>
      <w:tr>
        <w:trPr>
          <w:cantSplit/>
          <w:tblHeader/>
        </w:trPr>
        <w:tc>
          <w:tcPr>
            <w:tcW w:type="dxa" w:w="1699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视图区域</w:t>
            </w:r>
          </w:p>
        </w:tc>
        <w:tc>
          <w:tcPr>
            <w:tcW w:type="dxa" w:w="381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展示内容</w:t>
            </w:r>
          </w:p>
        </w:tc>
        <w:tc>
          <w:tcPr>
            <w:tcW w:type="dxa" w:w="4651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统计与交互规则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全域顶部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系统名 时间 接入数 运行数 故障数 数据更新时间</w:t>
            </w:r>
          </w:p>
        </w:tc>
        <w:tc>
          <w:tcPr>
            <w:tcW w:type="dxa" w:w="46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仅显示少量关键指标；在线连接和数据新鲜度分开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区域或地图</w:t>
            </w:r>
          </w:p>
        </w:tc>
        <w:tc>
          <w:tcPr>
            <w:tcW w:type="dxa" w:w="38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市县 乡镇 村庄或项目区域</w:t>
            </w:r>
          </w:p>
        </w:tc>
        <w:tc>
          <w:tcPr>
            <w:tcW w:type="dxa" w:w="465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缺少坐标不虚构定位；点击带区域条件进入列表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趋势区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近24小时运行数量及历史状态趋势</w:t>
            </w:r>
          </w:p>
        </w:tc>
        <w:tc>
          <w:tcPr>
            <w:tcW w:type="dxa" w:w="46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明确粒度与统计范围；未知时段不填正常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区域设备</w:t>
            </w:r>
          </w:p>
        </w:tc>
        <w:tc>
          <w:tcPr>
            <w:tcW w:type="dxa" w:w="38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筛选 搜索 每页约6台设备卡片 稳定编号排序</w:t>
            </w:r>
          </w:p>
        </w:tc>
        <w:tc>
          <w:tcPr>
            <w:tcW w:type="dxa" w:w="465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区域总数不随关键词变化；筛选结果数量单独显示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告警提示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高优先级待处理事件与未确认数量</w:t>
            </w:r>
          </w:p>
        </w:tc>
        <w:tc>
          <w:tcPr>
            <w:tcW w:type="dxa" w:w="46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无事件不保留大块空窗；确认不等于故障恢复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详情入口</w:t>
            </w:r>
          </w:p>
        </w:tc>
        <w:tc>
          <w:tcPr>
            <w:tcW w:type="dxa" w:w="381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身份 位置 当前状态 历史曲线 事件</w:t>
            </w:r>
          </w:p>
        </w:tc>
        <w:tc>
          <w:tcPr>
            <w:tcW w:type="dxa" w:w="465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返回保留筛选与页码；人工操作暂停轮播</w:t>
            </w:r>
          </w:p>
        </w:tc>
      </w:tr>
    </w:tbl>
    <w:p>
      <w:pPr>
        <w:spacing w:after="40"/>
      </w:pPr>
    </w:p>
    <w:p>
      <w:pPr>
        <w:pStyle w:val="Heading2"/>
      </w:pPr>
      <w:r>
        <w:t>三类状态独立统计</w:t>
      </w:r>
    </w:p>
    <w:p>
      <w:r>
        <w:t>运行维度为运行、停止、未知；通信维度为在线、离线或数据过期；故障维度为有活动故障或无活动故障。故障和离线可能与运行状态重叠，不可把所有数量相加当成设备总数。</w:t>
      </w:r>
    </w:p>
    <w:p>
      <w:r>
        <w:t>既有区域设计图中“运行、停止、故障、离线”排列容易被误读为互斥分类。正式实现应分组呈现并标注口径，不能照抄示例数字。运行占比也不能等同健康评分。</w:t>
      </w:r>
    </w:p>
    <w:p>
      <w:pPr>
        <w:pStyle w:val="Heading2"/>
      </w:pPr>
      <w:r>
        <w:t>观看与隐私</w:t>
      </w:r>
    </w:p>
    <w:p>
      <w:r>
        <w:t>大屏默认展示设备和区域信息，客户姓名与手机号按监控职责最小化展示，手机号脱敏。最终以实际显示分辨率和观看距离验证文字大小、对比度、轮播速度及告警辨识。</w:t>
      </w:r>
    </w:p>
    <w:p>
      <w:pPr>
        <w:pStyle w:val="Heading1"/>
        <w:pageBreakBefore/>
      </w:pPr>
      <w:r>
        <w:t>12 单机监控历史与告警</w:t>
      </w:r>
    </w:p>
    <w:p>
      <w:pPr>
        <w:pStyle w:val="Heading2"/>
      </w:pPr>
      <w:r>
        <w:t>实时参数</w:t>
      </w:r>
    </w:p>
    <w:p>
      <w:r>
        <w:t>单机页展示设备ID、型号、4G模块、位置、租赁状态、通信状态、最后数据时间及型号支持的测点。首批重点是运行频率、设定频率、电流、电压和母线电压；温度、转速、能耗等需有真实数据来源才启用。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3600"/>
        <w:gridCol w:w="4651"/>
      </w:tblGrid>
      <w:tr>
        <w:trPr>
          <w:cantSplit/>
          <w:tblHeader/>
        </w:trPr>
        <w:tc>
          <w:tcPr>
            <w:tcW w:type="dxa" w:w="1915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60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显示方式</w:t>
            </w:r>
          </w:p>
        </w:tc>
        <w:tc>
          <w:tcPr>
            <w:tcW w:type="dxa" w:w="4651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处理规则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设备在线且数据新鲜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最新值与采样时间</w:t>
            </w:r>
          </w:p>
        </w:tc>
        <w:tc>
          <w:tcPr>
            <w:tcW w:type="dxa" w:w="46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显示测量时间和接收时间，按单位格式化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设备离线</w:t>
            </w:r>
          </w:p>
        </w:tc>
        <w:tc>
          <w:tcPr>
            <w:tcW w:type="dxa" w:w="36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最后有效值标记为历史值</w:t>
            </w:r>
          </w:p>
        </w:tc>
        <w:tc>
          <w:tcPr>
            <w:tcW w:type="dxa" w:w="465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不将最后读数改为0；操作禁用并说明原因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无历史记录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空状态及时间范围提示</w:t>
            </w:r>
          </w:p>
        </w:tc>
        <w:tc>
          <w:tcPr>
            <w:tcW w:type="dxa" w:w="46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不生成虚构曲线，不把缺失值连成正常趋势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源数据异常</w:t>
            </w:r>
          </w:p>
        </w:tc>
        <w:tc>
          <w:tcPr>
            <w:tcW w:type="dxa" w:w="36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质量标记与异常说明</w:t>
            </w:r>
          </w:p>
        </w:tc>
        <w:tc>
          <w:tcPr>
            <w:tcW w:type="dxa" w:w="465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保留原始证据，不直接参与正常状态汇总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故障未确认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事件级别 设备 发生时间 故障码</w:t>
            </w:r>
          </w:p>
        </w:tc>
        <w:tc>
          <w:tcPr>
            <w:tcW w:type="dxa" w:w="46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按优先级处理；重复上报合并活动实例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故障已确认未恢复</w:t>
            </w:r>
          </w:p>
        </w:tc>
        <w:tc>
          <w:tcPr>
            <w:tcW w:type="dxa" w:w="360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仍显示活动故障</w:t>
            </w:r>
          </w:p>
        </w:tc>
        <w:tc>
          <w:tcPr>
            <w:tcW w:type="dxa" w:w="465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确认仅记录人工知晓，恢复由设备事实判定</w:t>
            </w:r>
          </w:p>
        </w:tc>
      </w:tr>
    </w:tbl>
    <w:p>
      <w:pPr>
        <w:spacing w:after="40"/>
      </w:pPr>
    </w:p>
    <w:p>
      <w:pPr>
        <w:pStyle w:val="Heading2"/>
      </w:pPr>
      <w:r>
        <w:t>历史与健康分析</w:t>
      </w:r>
    </w:p>
    <w:p>
      <w:r>
        <w:t>支持按测点、设备和时间范围查看曲线与表格，时间选择与曲线单位保持一致。优先采用可解释指标：故障次数与持续时长、离线时长、运行连续性、数据完整率。暂不编造综合健康分或AI预测。</w:t>
      </w:r>
    </w:p>
    <w:p>
      <w:pPr>
        <w:pStyle w:val="Heading2"/>
      </w:pPr>
      <w:r>
        <w:t>告警流程</w:t>
      </w:r>
    </w:p>
    <w:p>
      <w:r>
        <w:t>事件产生 → 去重分级 → 待确认 → 人工确认 → 持续跟踪 → 设备恢复 → 关闭归档。通信中断事件与设备故障分开记录；告警确认和故障复位是两种操作。</w:t>
      </w:r>
    </w:p>
    <w:p>
      <w:r>
        <w:t>原始数据保存期限和聚合策略待确定。旧方案“原始90天、分钟聚合1年、较粗趋势3年”仅作为容量讨论输入，不能当成已承诺保留期限。</w:t>
      </w:r>
    </w:p>
    <w:p>
      <w:pPr>
        <w:pStyle w:val="Heading1"/>
        <w:pageBreakBefore/>
      </w:pPr>
      <w:r>
        <w:t>13 管理后台功能与办理流程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4291"/>
        <w:gridCol w:w="4032"/>
      </w:tblGrid>
      <w:tr>
        <w:trPr>
          <w:cantSplit/>
          <w:tblHeader/>
        </w:trPr>
        <w:tc>
          <w:tcPr>
            <w:tcW w:type="dxa" w:w="1843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291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必备内容</w:t>
            </w:r>
          </w:p>
        </w:tc>
        <w:tc>
          <w:tcPr>
            <w:tcW w:type="dxa" w:w="403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主要操作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设备管理</w:t>
            </w:r>
          </w:p>
        </w:tc>
        <w:tc>
          <w:tcPr>
            <w:tcW w:type="dxa" w:w="42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统一设备台账 型号 模块 来源 位置 状态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电脑扫码或录入 查看档案 进入合同和授权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租赁合同</w:t>
            </w:r>
          </w:p>
        </w:tc>
        <w:tc>
          <w:tcPr>
            <w:tcW w:type="dxa" w:w="429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签约人 设备 租金 收款 起止时间 第一所有人</w:t>
            </w:r>
          </w:p>
        </w:tc>
        <w:tc>
          <w:tcPr>
            <w:tcW w:type="dxa" w:w="40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登记合同 查看凭据 续租 核对生效状态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用户授权</w:t>
            </w:r>
          </w:p>
        </w:tc>
        <w:tc>
          <w:tcPr>
            <w:tcW w:type="dxa" w:w="42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设备下全部关联用户与权限矩阵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按手机号检索 查看差异 保存或撤销权限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统计报表</w:t>
            </w:r>
          </w:p>
        </w:tc>
        <w:tc>
          <w:tcPr>
            <w:tcW w:type="dxa" w:w="429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设备台账 月度收入 客户汇总</w:t>
            </w:r>
          </w:p>
        </w:tc>
        <w:tc>
          <w:tcPr>
            <w:tcW w:type="dxa" w:w="40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月份筛选 明细下钻 保留筛选条件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收款明细</w:t>
            </w:r>
          </w:p>
        </w:tc>
        <w:tc>
          <w:tcPr>
            <w:tcW w:type="dxa" w:w="42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首次收款与续租记录及实际收款日期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查询单笔来源 查看对应合同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用户数据与备份</w:t>
            </w:r>
          </w:p>
        </w:tc>
        <w:tc>
          <w:tcPr>
            <w:tcW w:type="dxa" w:w="429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本地用户档案 同步版本 备份恢复入口</w:t>
            </w:r>
          </w:p>
        </w:tc>
        <w:tc>
          <w:tcPr>
            <w:tcW w:type="dxa" w:w="40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选择介质 核对范围 恢复差异确认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到期与提醒</w:t>
            </w:r>
          </w:p>
        </w:tc>
        <w:tc>
          <w:tcPr>
            <w:tcW w:type="dxa" w:w="42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7天3天1天任务 到期执行 停机确认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查看状态与失败原因 人工复核异常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操作记录</w:t>
            </w:r>
          </w:p>
        </w:tc>
        <w:tc>
          <w:tcPr>
            <w:tcW w:type="dxa" w:w="4291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入库 合同 付款 授权 同步 控制 备份审计</w:t>
            </w:r>
          </w:p>
        </w:tc>
        <w:tc>
          <w:tcPr>
            <w:tcW w:type="dxa" w:w="40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按设备 用户 时间筛选并追溯</w:t>
            </w:r>
          </w:p>
        </w:tc>
      </w:tr>
    </w:tbl>
    <w:p>
      <w:pPr>
        <w:spacing w:after="40"/>
      </w:pPr>
    </w:p>
    <w:p>
      <w:pPr>
        <w:pStyle w:val="Heading2"/>
      </w:pPr>
      <w:r>
        <w:t>表单与确认</w:t>
      </w:r>
    </w:p>
    <w:p>
      <w:r>
        <w:t>入库、合同和授权采用“填写或扫描 → 核对 → 确认 → 结果”流程。保存前展示业务关键值，错误定位到字段并保留已填内容。未保存离开时提示；重复提交不新增重复记录。</w:t>
      </w:r>
    </w:p>
    <w:p>
      <w:pPr>
        <w:pStyle w:val="Heading2"/>
      </w:pPr>
      <w:r>
        <w:t>授权专页</w:t>
      </w:r>
    </w:p>
    <w:p>
      <w:r>
        <w:t>以设备为上下文列出各用户的查看、启停、调频、复位权限，显示第一所有人但不自动勾选全部权限。保存前给出新增与撤销差异；成功后记录操作人、时间、旧值、新值及同步版本。</w:t>
      </w:r>
    </w:p>
    <w:p>
      <w:pPr>
        <w:pStyle w:val="Heading2"/>
      </w:pPr>
      <w:r>
        <w:t>管理与设备操作分离</w:t>
      </w:r>
    </w:p>
    <w:p>
      <w:r>
        <w:t>有后台账号不代表能执行设备控制。有收款权限不代表能修改设备参数。角色模板用于方便分工，最终业务接口仍执行设备级和操作级校验。</w:t>
      </w:r>
    </w:p>
    <w:p>
      <w:pPr>
        <w:pStyle w:val="Heading1"/>
        <w:pageBreakBefore/>
      </w:pPr>
      <w:r>
        <w:t>14 独立统计报表与收入口径</w:t>
      </w:r>
    </w:p>
    <w:p>
      <w:r>
        <w:t>后台提供专门的统计表格界面，包含设备台账、月度收入、客户汇总，并可下钻至单笔收款明细。报表统计范围、收款日期和金额单位必须清晰，不能把所有合同月租直接相加当作实收收入。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536"/>
        <w:gridCol w:w="3974"/>
      </w:tblGrid>
      <w:tr>
        <w:trPr>
          <w:cantSplit/>
          <w:tblHeader/>
        </w:trPr>
        <w:tc>
          <w:tcPr>
            <w:tcW w:type="dxa" w:w="165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报表</w:t>
            </w:r>
          </w:p>
        </w:tc>
        <w:tc>
          <w:tcPr>
            <w:tcW w:type="dxa" w:w="453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维度及主要列</w:t>
            </w:r>
          </w:p>
        </w:tc>
        <w:tc>
          <w:tcPr>
            <w:tcW w:type="dxa" w:w="3974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计算规则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设备台账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 型号 第一所有人 当前状态 到期时间 收款笔数 实收</w:t>
            </w:r>
          </w:p>
        </w:tc>
        <w:tc>
          <w:tcPr>
            <w:tcW w:type="dxa" w:w="39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保留未出租或零收入设备；月份仅筛选收款，不删除设备行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月度收入</w:t>
            </w:r>
          </w:p>
        </w:tc>
        <w:tc>
          <w:tcPr>
            <w:tcW w:type="dxa" w:w="453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月份 收款设备数 笔数 首次收款 续租收款 合计</w:t>
            </w:r>
          </w:p>
        </w:tc>
        <w:tc>
          <w:tcPr>
            <w:tcW w:type="dxa" w:w="397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按实际收款日期归月；无日期旧记录归未登记日期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客户汇总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客户 合同设备数 笔数 首次收款 续租 合计</w:t>
            </w:r>
          </w:p>
        </w:tc>
        <w:tc>
          <w:tcPr>
            <w:tcW w:type="dxa" w:w="39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按收款关联客户汇总；共享查看用户不计作承租收入客户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收款明细</w:t>
            </w:r>
          </w:p>
        </w:tc>
        <w:tc>
          <w:tcPr>
            <w:tcW w:type="dxa" w:w="453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单号 合同 设备 客户 类型 金额 日期 凭据 登记人</w:t>
            </w:r>
          </w:p>
        </w:tc>
        <w:tc>
          <w:tcPr>
            <w:tcW w:type="dxa" w:w="397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首次与续租分别成账；点击进入合同或凭据</w:t>
            </w:r>
          </w:p>
        </w:tc>
      </w:tr>
    </w:tbl>
    <w:p>
      <w:pPr>
        <w:spacing w:after="40"/>
      </w:pPr>
    </w:p>
    <w:p>
      <w:pPr>
        <w:pStyle w:val="Heading2"/>
      </w:pPr>
      <w:r>
        <w:t>金额与时间</w:t>
      </w:r>
    </w:p>
    <w:p>
      <w:r>
        <w:t>金额在存储和计算中使用最小货币单位的整数，显示为元并保留两位小数。实际收款日与租期起止时间分开保存；不能用合同起租日代替真实收款日。示例中金额均为演示数据。</w:t>
      </w:r>
    </w:p>
    <w:p>
      <w:pPr>
        <w:pStyle w:val="Heading2"/>
      </w:pPr>
      <w:r>
        <w:t>续租及修正</w:t>
      </w:r>
    </w:p>
    <w:p>
      <w:r>
        <w:t>续租新增流水，不能覆盖首次收款。建议错误收款采用冲销或更正记录，保留原始登记人与原因；退款、押金与发票规则待确认，未实现前不在报表中暗含这些计算。短信收入不计入本期租金统计。</w:t>
      </w:r>
    </w:p>
    <w:p>
      <w:pPr>
        <w:pStyle w:val="Heading2"/>
      </w:pPr>
      <w:r>
        <w:t>联动与核对</w:t>
      </w:r>
    </w:p>
    <w:p>
      <w:r>
        <w:t>设备、客户和月份表点击明细后带入对应过滤条件，返回保留原筛选；从侧栏直接进入收款明细时清除此前下钻限制。总计应能逐笔追溯，导出统计表为建议扩展，用户数据备份则按第16章独立执行。</w:t>
      </w:r>
    </w:p>
    <w:p>
      <w:r>
        <w:t>收入与收款流水继续由云端业务账本管理。本地用户备份恢复不得删除、修改或重放财务流水。历史收款建议保留当时客户与合同快照，避免后来改名或换手机号影响核对。</w:t>
      </w:r>
    </w:p>
    <w:p>
      <w:pPr>
        <w:pStyle w:val="Heading1"/>
        <w:pageBreakBefore/>
      </w:pPr>
      <w:r>
        <w:t>15 本地用户主数据与云端同步</w:t>
      </w:r>
    </w:p>
    <w:p>
      <w:r>
        <w:t>本地电脑保存主数据是本方案的业务约束，不能简化为从云端偶尔下载一份表格。建议指定唯一有效的本地管理工作站或本地主服务；多台电脑如需同时管理，应连接同一主服务，避免各自保存可写副本。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0"/>
        <w:gridCol w:w="1843"/>
        <w:gridCol w:w="5213"/>
      </w:tblGrid>
      <w:tr>
        <w:trPr>
          <w:cantSplit/>
          <w:tblHeader/>
        </w:trPr>
        <w:tc>
          <w:tcPr>
            <w:tcW w:type="dxa" w:w="311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数据类别</w:t>
            </w:r>
          </w:p>
        </w:tc>
        <w:tc>
          <w:tcPr>
            <w:tcW w:type="dxa" w:w="1843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权威位置</w:t>
            </w:r>
          </w:p>
        </w:tc>
        <w:tc>
          <w:tcPr>
            <w:tcW w:type="dxa" w:w="5213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同步或引用方式</w:t>
            </w:r>
          </w:p>
        </w:tc>
      </w:tr>
      <w:tr>
        <w:trPr>
          <w:cantSplit/>
        </w:trPr>
        <w:tc>
          <w:tcPr>
            <w:tcW w:type="dxa" w:w="3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姓名 手机 登记时间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本地用户数据库</w:t>
            </w:r>
          </w:p>
        </w:tc>
        <w:tc>
          <w:tcPr>
            <w:tcW w:type="dxa" w:w="521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云端接收核验事实或变更申请，本地确认后发布版本</w:t>
            </w:r>
          </w:p>
        </w:tc>
      </w:tr>
      <w:tr>
        <w:trPr>
          <w:cantSplit/>
        </w:trPr>
        <w:tc>
          <w:tcPr>
            <w:tcW w:type="dxa" w:w="31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设备关联 第一所有人 租期 权限</w:t>
            </w:r>
          </w:p>
        </w:tc>
        <w:tc>
          <w:tcPr>
            <w:tcW w:type="dxa" w:w="184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本地主数据</w:t>
            </w:r>
          </w:p>
        </w:tc>
        <w:tc>
          <w:tcPr>
            <w:tcW w:type="dxa" w:w="521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云端保存执行副本，设备接收已确认租期规则</w:t>
            </w:r>
          </w:p>
        </w:tc>
      </w:tr>
      <w:tr>
        <w:trPr>
          <w:cantSplit/>
        </w:trPr>
        <w:tc>
          <w:tcPr>
            <w:tcW w:type="dxa" w:w="3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设备基础台账与能力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云端设备目录</w:t>
            </w:r>
          </w:p>
        </w:tc>
        <w:tc>
          <w:tcPr>
            <w:tcW w:type="dxa" w:w="521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本地用户记录引用稳定设备ID及必要身份摘要</w:t>
            </w:r>
          </w:p>
        </w:tc>
      </w:tr>
      <w:tr>
        <w:trPr>
          <w:cantSplit/>
        </w:trPr>
        <w:tc>
          <w:tcPr>
            <w:tcW w:type="dxa" w:w="31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实时状态 历史 告警 命令</w:t>
            </w:r>
          </w:p>
        </w:tc>
        <w:tc>
          <w:tcPr>
            <w:tcW w:type="dxa" w:w="184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</w:t>
            </w:r>
          </w:p>
        </w:tc>
        <w:tc>
          <w:tcPr>
            <w:tcW w:type="dxa" w:w="521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监控与小程序按权限查询，不进入用户恢复包</w:t>
            </w:r>
          </w:p>
        </w:tc>
      </w:tr>
      <w:tr>
        <w:trPr>
          <w:cantSplit/>
        </w:trPr>
        <w:tc>
          <w:tcPr>
            <w:tcW w:type="dxa" w:w="3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收款流水与收入统计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云端业务账本</w:t>
            </w:r>
          </w:p>
        </w:tc>
        <w:tc>
          <w:tcPr>
            <w:tcW w:type="dxa" w:w="521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租赁办理引用已确认收款记录，避免重复记账</w:t>
            </w:r>
          </w:p>
        </w:tc>
      </w:tr>
    </w:tbl>
    <w:p>
      <w:pPr>
        <w:spacing w:after="40"/>
      </w:pPr>
    </w:p>
    <w:p>
      <w:pPr>
        <w:pStyle w:val="Heading2"/>
      </w:pPr>
      <w:r>
        <w:t>建议的同步顺序</w:t>
      </w:r>
    </w:p>
    <w:p>
      <w:r>
        <w:t>每次本地提交产生变更编号、主数据版本、操作人及时间，通过待发送队列传到云端。云端校验版本与幂等键，持久化后返回确认；客户端显示同步状态。先保留本地提交和变更日志，再重试未确认消息，不采用静默双向覆盖。</w:t>
      </w:r>
    </w:p>
    <w:p>
      <w:pPr>
        <w:pStyle w:val="Heading2"/>
      </w:pPr>
      <w:r>
        <w:t>本地离线与新用户</w:t>
      </w:r>
    </w:p>
    <w:p>
      <w:r>
        <w:t>微信登录与手机号核验在云端完成，形成待本地登记的身份事实。普通用户添加设备或管理员变更租期权限时，若本地主服务离线，记录为待确认；在本地提交与云端同步完成前，不提高权限、不延长生效租期。只读扫码关系的离线办理体验需在评审中确认。</w:t>
      </w:r>
    </w:p>
    <w:p>
      <w:pPr>
        <w:pStyle w:val="Heading2"/>
      </w:pPr>
      <w:r>
        <w:t>紧急撤权及恢复</w:t>
      </w:r>
    </w:p>
    <w:p>
      <w:r>
        <w:t>建议云端允许紧急拒绝控制的临时锁定，此锁定只收紧权限，不授予新权限或延长租期，并在本地恢复后对账。恢复旧备份生成新的恢复批次和版本，先审核差异；云端事件与财务账本不回滚。终端上的旧版本规则不得重新生效。</w:t>
      </w:r>
    </w:p>
    <w:p>
      <w:r>
        <w:t>同步失败必须显示最后成功时间、待同步数量和失败原因。目标不是让PC全天操作页面，而是让本地主服务按选定部署方式持续保存和发布用户主数据。</w:t>
      </w:r>
    </w:p>
    <w:p>
      <w:pPr>
        <w:pStyle w:val="Heading1"/>
        <w:pageBreakBefore/>
      </w:pPr>
      <w:r>
        <w:t>16 用户备份U盘光盘与恢复</w:t>
      </w:r>
    </w:p>
    <w:p>
      <w:pPr>
        <w:pStyle w:val="Heading2"/>
      </w:pPr>
      <w:r>
        <w:t>备份内容</w:t>
      </w:r>
    </w:p>
    <w:p>
      <w:r>
        <w:t>备份包包含用户姓名、完整手机号、登记时间、全部设备关系、第一所有人、合同编号和租期、管理员权限记录及必要设备身份摘要。排除遥测、运行历史、告警、控制命令、短信账本和租金收款流水。公开报表可脱敏，但可恢复备份必须保留恢复所需完整字段并加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25"/>
        <w:gridCol w:w="4968"/>
        <w:gridCol w:w="3874"/>
      </w:tblGrid>
      <w:tr>
        <w:trPr>
          <w:cantSplit/>
          <w:tblHeader/>
        </w:trPr>
        <w:tc>
          <w:tcPr>
            <w:tcW w:type="dxa" w:w="1325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保存介质</w:t>
            </w:r>
          </w:p>
        </w:tc>
        <w:tc>
          <w:tcPr>
            <w:tcW w:type="dxa" w:w="496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用户流程</w:t>
            </w:r>
          </w:p>
        </w:tc>
        <w:tc>
          <w:tcPr>
            <w:tcW w:type="dxa" w:w="3874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成功条件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本机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选择备份文件夹 → 创建一致性快照 → 加密写入 → 校验</w:t>
            </w:r>
          </w:p>
        </w:tc>
        <w:tc>
          <w:tcPr>
            <w:tcW w:type="dxa" w:w="38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文件可读且校验通过，记录版本、时间、数量</w:t>
            </w:r>
          </w:p>
        </w:tc>
      </w:tr>
      <w:tr>
        <w:trPr>
          <w:cantSplit/>
        </w:trPr>
        <w:tc>
          <w:tcPr>
            <w:tcW w:type="dxa" w:w="132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U盘</w:t>
            </w:r>
          </w:p>
        </w:tc>
        <w:tc>
          <w:tcPr>
            <w:tcW w:type="dxa" w:w="496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插入介质 → 选择位置 → 检查空间 → 写入与回读校验</w:t>
            </w:r>
          </w:p>
        </w:tc>
        <w:tc>
          <w:tcPr>
            <w:tcW w:type="dxa" w:w="387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实际写入并校验通过，提示完成后再安全移除</w:t>
            </w:r>
          </w:p>
        </w:tc>
      </w:tr>
      <w:tr>
        <w:trPr>
          <w:cantSplit/>
        </w:trPr>
        <w:tc>
          <w:tcPr>
            <w:tcW w:type="dxa" w:w="13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光盘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生成待刻录文件 → 电脑刻录工具写入 → 读取光盘校验</w:t>
            </w:r>
          </w:p>
        </w:tc>
        <w:tc>
          <w:tcPr>
            <w:tcW w:type="dxa" w:w="38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完成刻录与校验才记作归档；仅生成文件不算已刻录</w:t>
            </w:r>
          </w:p>
        </w:tc>
      </w:tr>
    </w:tbl>
    <w:p>
      <w:pPr>
        <w:spacing w:after="40"/>
      </w:pPr>
    </w:p>
    <w:p>
      <w:pPr>
        <w:pStyle w:val="Heading2"/>
      </w:pPr>
      <w:r>
        <w:t>恢复流程</w:t>
      </w:r>
    </w:p>
    <w:p>
      <w:r>
        <w:t>选择备份 → 检查格式、版本、校验值及解密条件 → 预览用户、设备、租期、权限差异 → 检查设备身份和新增合同冲突 → 备份当前主数据 → 管理员确认 → 原子恢复 → 发布新同步版本 → 核对云端和小程序。</w:t>
      </w:r>
    </w:p>
    <w:p>
      <w:r>
        <w:t>恢复旧租期可能改变后续操作资格，必须逐项可见。未匹配设备或账号、重复手机号、备份缺少后续新合同等冲突不得静默覆盖。不得通过恢复重放历史启动指令，也不得将历史电机读数写回当前运行状态。</w:t>
      </w:r>
    </w:p>
    <w:p>
      <w:pPr>
        <w:pStyle w:val="Heading2"/>
      </w:pPr>
      <w:r>
        <w:t>运行制度建议</w:t>
      </w:r>
    </w:p>
    <w:p>
      <w:r>
        <w:t>建议每日自动备份，重要合同或授权操作后保留变更日志，并定期导出到独立介质。频率、保留数量、加密密钥保管人、恢复点目标和恢复时间目标在部署评审中确定；密码或密钥不可与备份明文一起放在同一介质。</w:t>
      </w:r>
    </w:p>
    <w:p>
      <w:r>
        <w:t>本地电脑作为唯一主数据源时，应有专用账户、磁盘保护、供电与替换机恢复方案。光盘偏向阶段归档，U盘便于日常离线备份。可点击原型当前只演示快照范围、介质选择和差异恢复，没有真实加密、写盘或刻录。</w:t>
      </w:r>
    </w:p>
    <w:p>
      <w:pPr>
        <w:pStyle w:val="Heading1"/>
        <w:pageBreakBefore/>
      </w:pPr>
      <w:r>
        <w:t>17 数据对象与字段设计</w:t>
      </w:r>
    </w:p>
    <w:p>
      <w:r>
        <w:t>以下为正式实现建议，字段名称可在接口冻结时调整，数据归属不可被实现方式悄然改变。所有实体采用稳定ID；时间带时区语义，统一存储并按北京时间展示。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398"/>
      </w:tblGrid>
      <w:tr>
        <w:trPr>
          <w:cantSplit/>
          <w:tblHeader/>
        </w:trPr>
        <w:tc>
          <w:tcPr>
            <w:tcW w:type="dxa" w:w="165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511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主要字段</w:t>
            </w:r>
          </w:p>
        </w:tc>
        <w:tc>
          <w:tcPr>
            <w:tcW w:type="dxa" w:w="339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用户主档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userId name verifiedPhone registeredAt status version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本地权威；手机号核验与变更留痕；旧记录登记时间未知则保留空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设备目录</w:t>
            </w:r>
          </w:p>
        </w:tc>
        <w:tc>
          <w:tcPr>
            <w:tcW w:type="dxa" w:w="511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deviceId vendorCode model moduleId name region location capabilities</w:t>
            </w:r>
          </w:p>
        </w:tc>
        <w:tc>
          <w:tcPr>
            <w:tcW w:type="dxa" w:w="339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模块唯一；型号决定测点和控制范围；换模块保留历史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用户设备关系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userId deviceId source createdAt status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允许多用户；扫码不改变所有人；关系存在不等于有控制权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设备授权</w:t>
            </w:r>
          </w:p>
        </w:tc>
        <w:tc>
          <w:tcPr>
            <w:tcW w:type="dxa" w:w="511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userId deviceId view control frequency reset version</w:t>
            </w:r>
          </w:p>
        </w:tc>
        <w:tc>
          <w:tcPr>
            <w:tcW w:type="dxa" w:w="339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每台每人逐项授权；禁用查看需清除控制类权限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合同与设备条目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contractId number ownerUserId deviceId startAt endAt monthlyRent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有效租期不重叠；所有人依据签约与收款确认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收款流水</w:t>
            </w:r>
          </w:p>
        </w:tc>
        <w:tc>
          <w:tcPr>
            <w:tcW w:type="dxa" w:w="511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receiptId contractId deviceId payerId type amountCents paidAt reference</w:t>
            </w:r>
          </w:p>
        </w:tc>
        <w:tc>
          <w:tcPr>
            <w:tcW w:type="dxa" w:w="339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云端账本；首次 续租分开；幂等写入；不随用户恢复回滚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遥测与状态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deviceId metric value unit measuredAt receivedAt quality seq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云端；重复 乱序 缺测可识别；状态维度分开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告警与命令</w:t>
            </w:r>
          </w:p>
        </w:tc>
        <w:tc>
          <w:tcPr>
            <w:tcW w:type="dxa" w:w="511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alarmId severity ackAt recoveredAt；commandId type status expiresAt</w:t>
            </w:r>
          </w:p>
        </w:tc>
        <w:tc>
          <w:tcPr>
            <w:tcW w:type="dxa" w:w="339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云端；确认与恢复分开；受理与执行完成分开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同步与备份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changeId masterVersion ackVersion；backupId schema checksum createdAt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可重试 可对账；备份限定users-only范围</w:t>
            </w:r>
          </w:p>
        </w:tc>
      </w:tr>
    </w:tbl>
    <w:p>
      <w:pPr>
        <w:spacing w:after="40"/>
      </w:pPr>
    </w:p>
    <w:p>
      <w:pPr>
        <w:pStyle w:val="Heading2"/>
      </w:pPr>
      <w:r>
        <w:t>快照与历史</w:t>
      </w:r>
    </w:p>
    <w:p>
      <w:r>
        <w:t>归属、租期和权限保存变更历史；财务与命令保留必要的提交快照。设备历史按稳定deviceId关联。未知日期、测点和状态保存null及原因，页面显示未登记、未提供或待确认，不用今天、0或正常补齐。</w:t>
      </w:r>
    </w:p>
    <w:p>
      <w:pPr>
        <w:pStyle w:val="Heading1"/>
        <w:pageBreakBefore/>
      </w:pPr>
      <w:r>
        <w:t>18 变频器4G与自有云通信</w:t>
      </w:r>
    </w:p>
    <w:p>
      <w:r>
        <w:t>已确认的主链路为变频器经4G模块连接自有云。现场串口或以太网协议、模块联网协议、寄存器和命令格式仍需厂商资料；MQTT或HTTPS、Modbus等只能作为候选，不能当作已选协议。</w:t>
      </w:r>
    </w:p>
    <w:p>
      <w:pPr>
        <w:pStyle w:val="Heading2"/>
      </w:pPr>
      <w:r>
        <w:t>设备接入步骤</w:t>
      </w:r>
    </w:p>
    <w:p>
      <w:r>
        <w:t>登记设备与模块身份 → 配置服务器地址和设备凭证 → 建立连接 → 上报身份与能力 → 核对型号映射 → 上报状态与遥测 → 下发测试读取 → 验证控制回执 → 验证租期执行与断网恢复。每一步保留样例与实际测试证据。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22"/>
      </w:tblGrid>
      <w:tr>
        <w:trPr>
          <w:cantSplit/>
          <w:tblHeader/>
        </w:trPr>
        <w:tc>
          <w:tcPr>
            <w:tcW w:type="dxa" w:w="1944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822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必须取得或验证的内容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身份与认证</w:t>
            </w:r>
          </w:p>
        </w:tc>
        <w:tc>
          <w:tcPr>
            <w:tcW w:type="dxa" w:w="822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每模块稳定身份 独立凭证 防重放 失效与换绑流程；二维码不作为通信密钥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参数与单位</w:t>
            </w:r>
          </w:p>
        </w:tc>
        <w:tc>
          <w:tcPr>
            <w:tcW w:type="dxa" w:w="822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地址或字段 倍率 字节序 相别 单位 有效范围 故障码含义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写控制</w:t>
            </w:r>
          </w:p>
        </w:tc>
        <w:tc>
          <w:tcPr>
            <w:tcW w:type="dxa" w:w="822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启停 调频 复位 远程模式 命令序号 有效期 去重 回执与实际状态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租期执行</w:t>
            </w:r>
          </w:p>
        </w:tc>
        <w:tc>
          <w:tcPr>
            <w:tcW w:type="dxa" w:w="822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断网到期计时 断电保存 时间可信性 旧规则拒绝 续租版本确认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网络恢复</w:t>
            </w:r>
          </w:p>
        </w:tc>
        <w:tc>
          <w:tcPr>
            <w:tcW w:type="dxa" w:w="822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心跳 重连 断点补传 乱序与重复处理；重连不得自动启动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现场安装</w:t>
            </w:r>
          </w:p>
        </w:tc>
        <w:tc>
          <w:tcPr>
            <w:tcW w:type="dxa" w:w="822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供电 接口隔离 现有控制源仲裁 天线 信号 环境与维护责任</w:t>
            </w:r>
          </w:p>
        </w:tc>
      </w:tr>
    </w:tbl>
    <w:p>
      <w:pPr>
        <w:spacing w:after="40"/>
      </w:pPr>
    </w:p>
    <w:p>
      <w:pPr>
        <w:pStyle w:val="Heading2"/>
      </w:pPr>
      <w:r>
        <w:t>数据上传与执行</w:t>
      </w:r>
    </w:p>
    <w:p>
      <w:r>
        <w:t>遥测消息至少包含设备身份、测量时间、序号、测点、值、单位和质量。控制消息至少包含命令ID、动作、目标、有效期和规则版本，终端反馈受理与执行结果。实际能否支持这些字段，应以样机验证决定。</w:t>
      </w:r>
    </w:p>
    <w:p>
      <w:pPr>
        <w:pStyle w:val="Heading2"/>
      </w:pPr>
      <w:r>
        <w:t>现场确认</w:t>
      </w:r>
    </w:p>
    <w:p>
      <w:r>
        <w:t>上线前取得型号与固件清单、接线和通信资料、测试设备、远程模式说明及停机策略。海南高温潮湿等环境要求由设备与现场单位评估。本方案不提供未经现场确认的电气接线或安全参数。</w:t>
      </w:r>
    </w:p>
    <w:p>
      <w:pPr>
        <w:pStyle w:val="Heading1"/>
        <w:pageBreakBefore/>
      </w:pPr>
      <w:r>
        <w:t>19 业务接口与短信预留</w:t>
      </w:r>
    </w:p>
    <w:p>
      <w:r>
        <w:t>以下路径为建议契约，用于确定职责和联调顺序，不代表真实接口已经存在。写请求必须校验权限、幂等键与数据版本；主数据写入返回待本地确认或已同步的真实阶段。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5328"/>
        <w:gridCol w:w="3398"/>
      </w:tblGrid>
      <w:tr>
        <w:trPr>
          <w:cantSplit/>
          <w:tblHeader/>
        </w:trPr>
        <w:tc>
          <w:tcPr>
            <w:tcW w:type="dxa" w:w="144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接口组</w:t>
            </w:r>
          </w:p>
        </w:tc>
        <w:tc>
          <w:tcPr>
            <w:tcW w:type="dxa" w:w="532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建议操作</w:t>
            </w:r>
          </w:p>
        </w:tc>
        <w:tc>
          <w:tcPr>
            <w:tcW w:type="dxa" w:w="339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关键返回或限制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身份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登录验证 绑定手机号 查询当前权限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userId 验证状态 角色及设备范围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扫码与入库</w:t>
            </w:r>
          </w:p>
        </w:tc>
        <w:tc>
          <w:tcPr>
            <w:tcW w:type="dxa" w:w="53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POST /inventory/inspect  POST /inventory</w:t>
            </w:r>
          </w:p>
        </w:tc>
        <w:tc>
          <w:tcPr>
            <w:tcW w:type="dxa" w:w="339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解析与防重；正式提交仅管理员可调用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设备添加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POST /device-memberships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已有设备与已核验用户；默认查看；撤权不得被扫码绕过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合同与续租</w:t>
            </w:r>
          </w:p>
        </w:tc>
        <w:tc>
          <w:tcPr>
            <w:tcW w:type="dxa" w:w="53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POST /contracts  POST /contracts/{id}/renewals</w:t>
            </w:r>
          </w:p>
        </w:tc>
        <w:tc>
          <w:tcPr>
            <w:tcW w:type="dxa" w:w="339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签约人 收款 租期 校验与同步状态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设备授权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PUT /devices/{id}/permissions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差异与expectedVersion；修改前后审计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运行数据</w:t>
            </w:r>
          </w:p>
        </w:tc>
        <w:tc>
          <w:tcPr>
            <w:tcW w:type="dxa" w:w="53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GET /devices/{id}/state 或 /telemetry</w:t>
            </w:r>
          </w:p>
        </w:tc>
        <w:tc>
          <w:tcPr>
            <w:tcW w:type="dxa" w:w="339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来源时间 接收时间 质量与单位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控制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POST /devices/{id}/commands  GET /commands/{id}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commandId 受理 下发 回执 结果待确认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报表</w:t>
            </w:r>
          </w:p>
        </w:tc>
        <w:tc>
          <w:tcPr>
            <w:tcW w:type="dxa" w:w="53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GET /reports/devices 或 /income 或 /customers</w:t>
            </w:r>
          </w:p>
        </w:tc>
        <w:tc>
          <w:tcPr>
            <w:tcW w:type="dxa" w:w="339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维度 月份 合计 明细分页；金额口径一致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本地同步与备份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提交主数据变更 查询确认；本地创建和恢复备份</w:t>
            </w:r>
          </w:p>
        </w:tc>
        <w:tc>
          <w:tcPr>
            <w:tcW w:type="dxa" w:w="33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版本校验 差异预览 加密与恢复批次</w:t>
            </w:r>
          </w:p>
        </w:tc>
      </w:tr>
    </w:tbl>
    <w:p>
      <w:pPr>
        <w:spacing w:after="40"/>
      </w:pPr>
    </w:p>
    <w:p>
      <w:pPr>
        <w:pStyle w:val="Heading2"/>
      </w:pPr>
      <w:r>
        <w:t>短信服务只预留接口</w:t>
      </w:r>
    </w:p>
    <w:p>
      <w:r>
        <w:t>保留 GET /api/v1/sms/wallet、GET /api/v1/sms/transactions、POST /api/v1/sms/recharge-orders 和充值结果查询的契约。充值创建当前返回SMS_RECHARGE_NOT_ENABLED；实际发送能力同样保持关闭。</w:t>
      </w:r>
    </w:p>
    <w:p>
      <w:r>
        <w:t>已确认未来由用户充值、按条扣费。单价、渠道、失败是否扣费、扣费时点、余额阈值、退费及开票均待确认；不得用演示余额触发真实支付、短信发送或扣款。短信服务状态不改变合同租期与到期停机规则。</w:t>
      </w:r>
    </w:p>
    <w:p>
      <w:pPr>
        <w:pStyle w:val="Heading1"/>
        <w:pageBreakBefore/>
      </w:pPr>
      <w:r>
        <w:t>20 安全可用性与容量规划</w:t>
      </w:r>
    </w:p>
    <w:p>
      <w:pPr>
        <w:pStyle w:val="Heading2"/>
      </w:pPr>
      <w:r>
        <w:t>安全与审计</w:t>
      </w:r>
    </w:p>
    <w:p>
      <w:r>
        <w:t>生产环境对客户端、云端、本地主服务与设备链路实施身份验证和受保护通信；密钥不放在前端或二维码中。服务端按设备与动作鉴权，限制异常请求，保留登录、授权、合同、收款、控制、备份与恢复审计。敏感信息按职责脱敏。</w:t>
      </w:r>
    </w:p>
    <w:p>
      <w:r>
        <w:t>本地备份加密与完整性校验、云端灾备、凭证更新、日志访问控制应作为正式交付内容。管理员不能把普通用户输入当作设备指令。日志避免记录口令、访问令牌或完整备份密钥。</w:t>
      </w:r>
    </w:p>
    <w:p>
      <w:pPr>
        <w:pStyle w:val="Heading2"/>
      </w:pPr>
      <w:r>
        <w:t>可用性与数据新鲜度</w:t>
      </w:r>
    </w:p>
    <w:p>
      <w:r>
        <w:t>连接中断、设备离线、源数据过期和平台异常分别提示。原始采样周期、过期阈值、命令超时、重试次数与结果判定窗口需按设备能力配置。显示刷新频率不能冒充真实采样频率。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075"/>
        <w:gridCol w:w="4363"/>
      </w:tblGrid>
      <w:tr>
        <w:trPr>
          <w:cantSplit/>
          <w:tblHeader/>
        </w:trPr>
        <w:tc>
          <w:tcPr>
            <w:tcW w:type="dxa" w:w="172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估算项目</w:t>
            </w:r>
          </w:p>
        </w:tc>
        <w:tc>
          <w:tcPr>
            <w:tcW w:type="dxa" w:w="4075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示例条件</w:t>
            </w:r>
          </w:p>
        </w:tc>
        <w:tc>
          <w:tcPr>
            <w:tcW w:type="dxa" w:w="4363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结果或用途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设备规模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沿用旧方案约1000台作为规划输入</w:t>
            </w:r>
          </w:p>
        </w:tc>
        <w:tc>
          <w:tcPr>
            <w:tcW w:type="dxa" w:w="436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尚未确认采购或上线规模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消息量</w:t>
            </w:r>
          </w:p>
        </w:tc>
        <w:tc>
          <w:tcPr>
            <w:tcW w:type="dxa" w:w="407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每台20秒上传一条整机快照</w:t>
            </w:r>
          </w:p>
        </w:tc>
        <w:tc>
          <w:tcPr>
            <w:tcW w:type="dxa" w:w="436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约50条每秒 432万条每日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原始记录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上述频率连续90天</w:t>
            </w:r>
          </w:p>
        </w:tc>
        <w:tc>
          <w:tcPr>
            <w:tcW w:type="dxa" w:w="436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约3.888亿条；保存期限仍待确认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载荷流量</w:t>
            </w:r>
          </w:p>
        </w:tc>
        <w:tc>
          <w:tcPr>
            <w:tcW w:type="dxa" w:w="4075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每条1KB 30天</w:t>
            </w:r>
          </w:p>
        </w:tc>
        <w:tc>
          <w:tcPr>
            <w:tcW w:type="dxa" w:w="436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约130MB每台每月；未含心跳 加密 重传与升级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容量配置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数据库 索引 副本 日志 备份分别估算</w:t>
            </w:r>
          </w:p>
        </w:tc>
        <w:tc>
          <w:tcPr>
            <w:tcW w:type="dxa" w:w="436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用真实样本和压测选型，不据示例直接采购</w:t>
            </w:r>
          </w:p>
        </w:tc>
      </w:tr>
    </w:tbl>
    <w:p>
      <w:pPr>
        <w:spacing w:after="40"/>
      </w:pPr>
    </w:p>
    <w:p>
      <w:pPr>
        <w:pStyle w:val="Heading2"/>
      </w:pPr>
      <w:r>
        <w:t>运行与恢复目标</w:t>
      </w:r>
    </w:p>
    <w:p>
      <w:r>
        <w:t>建议试点连续采样不少于7天，验证状态、租期与控制结果，再确定性能指标。恢复点目标、恢复时间目标、可接受同步延迟和维护窗口由项目负责人确认，并用演练结果验收。</w:t>
      </w:r>
    </w:p>
    <w:p>
      <w:r>
        <w:t>云端运行数据仍须独立备份和灾难恢复；“不纳入用户本地备份”不等于“云端无需备份”。云端恢复也不得把历史控制任务当作待重发指令。</w:t>
      </w:r>
    </w:p>
    <w:p>
      <w:pPr>
        <w:pStyle w:val="Heading1"/>
        <w:pageBreakBefore/>
      </w:pPr>
      <w:r>
        <w:t>21 实施策划资源与交付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493"/>
        <w:gridCol w:w="3946"/>
      </w:tblGrid>
      <w:tr>
        <w:trPr>
          <w:cantSplit/>
          <w:tblHeader/>
        </w:trPr>
        <w:tc>
          <w:tcPr>
            <w:tcW w:type="dxa" w:w="172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493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394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交付及准入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一 需求与风格冻结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核对本说明书 统一三端设计 补足页面状态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需求清单 组件规范 原型评审记录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二 设备能力核验</w:t>
            </w:r>
          </w:p>
        </w:tc>
        <w:tc>
          <w:tcPr>
            <w:tcW w:type="dxa" w:w="449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确认协议 样机 数据字段 控制回执 离线租期执行</w:t>
            </w:r>
          </w:p>
        </w:tc>
        <w:tc>
          <w:tcPr>
            <w:tcW w:type="dxa" w:w="394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接口能力矩阵 现场测试记录 正式排期依据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三 业务与数据基础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身份 扫码入库 合同 收款 授权 本地主数据同步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可对账的业务闭环与接口测试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四 监控与控制联调</w:t>
            </w:r>
          </w:p>
        </w:tc>
        <w:tc>
          <w:tcPr>
            <w:tcW w:type="dxa" w:w="449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实时 历史 告警 控制状态机 到期执行和提醒</w:t>
            </w:r>
          </w:p>
        </w:tc>
        <w:tc>
          <w:tcPr>
            <w:tcW w:type="dxa" w:w="394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小范围真实设备验证；短信仍预留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五 备份与试点验收</w:t>
            </w:r>
          </w:p>
        </w:tc>
        <w:tc>
          <w:tcPr>
            <w:tcW w:type="dxa" w:w="449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加密导出 U盘 光盘归档 恢复 断网 压测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验收证据 缺陷清单 恢复演练与操作手册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六 分批上线移交</w:t>
            </w:r>
          </w:p>
        </w:tc>
        <w:tc>
          <w:tcPr>
            <w:tcW w:type="dxa" w:w="4493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按型号区域推广 培训 监测 运维交接</w:t>
            </w:r>
          </w:p>
        </w:tc>
        <w:tc>
          <w:tcPr>
            <w:tcW w:type="dxa" w:w="394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源码 配置 数据字典 部署包 责任与维护记录</w:t>
            </w:r>
          </w:p>
        </w:tc>
      </w:tr>
    </w:tbl>
    <w:p>
      <w:pPr>
        <w:spacing w:after="40"/>
      </w:pPr>
    </w:p>
    <w:p>
      <w:pPr>
        <w:pStyle w:val="Heading2"/>
      </w:pPr>
      <w:r>
        <w:t>分工建议</w:t>
      </w:r>
    </w:p>
    <w:p>
      <w:r>
        <w:t>项目负责人确认范围与业务决策；产品设计负责统一规范和流程；前后端开发负责各端与服务；本地数据负责人负责主数据库与恢复；厂商提供协议、设备能力和样机；现场单位验证安装与停机条件；测试与运维留存验收证据。具体人员待指定。</w:t>
      </w:r>
    </w:p>
    <w:p>
      <w:pPr>
        <w:pStyle w:val="Heading2"/>
      </w:pPr>
      <w:r>
        <w:t>费用策划</w:t>
      </w:r>
    </w:p>
    <w:p>
      <w:r>
        <w:t>一次性费用包括产品设计、小程序与后台开发、监控实现、协议适配、本地主服务、测试部署和培训；硬件费用包括必要的4G模块、备份介质、工作站与现场改造；持续费用包括云资源、SIM流量、域名证书、维护以及未来开通的短信服务。</w:t>
      </w:r>
    </w:p>
    <w:p>
      <w:r>
        <w:t>本版不填未经询价的金额，也不承诺固定完工日期。正式预算按设备型号数、协议适配数、页面与接口工作量、现场数量和保留期限分项核算。硬件与接口验证完成后再冻结里程碑日期。</w:t>
      </w:r>
    </w:p>
    <w:p>
      <w:pPr>
        <w:pStyle w:val="Heading2"/>
      </w:pPr>
      <w:r>
        <w:t>上线与回退</w:t>
      </w:r>
    </w:p>
    <w:p>
      <w:r>
        <w:t>先上线只读监控，再为已验收的指定设备开放控制。出现执行结果不明或保护异常时暂停新的控制请求，保留监控与日志并转现场核查。软件回退不能代替现场处置，也不能回滚客户已发生的收款事实。</w:t>
      </w:r>
    </w:p>
    <w:p>
      <w:pPr>
        <w:pStyle w:val="Heading1"/>
        <w:pageBreakBefore/>
      </w:pPr>
      <w:r>
        <w:t>22 测试验收与交付证据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6710"/>
      </w:tblGrid>
      <w:tr>
        <w:trPr>
          <w:cantSplit/>
          <w:tblHeader/>
        </w:trPr>
        <w:tc>
          <w:tcPr>
            <w:tcW w:type="dxa" w:w="864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9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验收场景</w:t>
            </w:r>
          </w:p>
        </w:tc>
        <w:tc>
          <w:tcPr>
            <w:tcW w:type="dxa" w:w="671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T01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手机与电脑扫码入库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同一模块只建一台设备；无效码不产生半条档案；来源可追踪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T02</w:t>
            </w:r>
          </w:p>
        </w:tc>
        <w:tc>
          <w:tcPr>
            <w:tcW w:type="dxa" w:w="259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多人扫码与重复添加</w:t>
            </w:r>
          </w:p>
        </w:tc>
        <w:tc>
          <w:tcPr>
            <w:tcW w:type="dxa" w:w="67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默认只读；不改变第一所有人；重复不新增；撤权不被再次扫码恢复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T03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合同与付款登记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手机号核验正确；租期及金额合法；重复合同被拦截；所有人正确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T04</w:t>
            </w:r>
          </w:p>
        </w:tc>
        <w:tc>
          <w:tcPr>
            <w:tcW w:type="dxa" w:w="259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逐项权限与越权</w:t>
            </w:r>
          </w:p>
        </w:tc>
        <w:tc>
          <w:tcPr>
            <w:tcW w:type="dxa" w:w="67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未授权动作、篡改设备ID、过期会话均被服务端拒绝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T05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正常控制与重复请求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受理与成功区分；回执及实际状态核对；重试不重复动作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T06</w:t>
            </w:r>
          </w:p>
        </w:tc>
        <w:tc>
          <w:tcPr>
            <w:tcW w:type="dxa" w:w="259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调频与复位</w:t>
            </w:r>
          </w:p>
        </w:tc>
        <w:tc>
          <w:tcPr>
            <w:tcW w:type="dxa" w:w="67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参数越界拒绝；按批准斜坡执行；无权限不可复位；不绕过保护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T07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到期与续租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无默认宽限；到期执行可追踪；续租不自启；旧到期提醒失效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T08</w:t>
            </w:r>
          </w:p>
        </w:tc>
        <w:tc>
          <w:tcPr>
            <w:tcW w:type="dxa" w:w="259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断网到期及重连</w:t>
            </w:r>
          </w:p>
        </w:tc>
        <w:tc>
          <w:tcPr>
            <w:tcW w:type="dxa" w:w="67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现场按已确认规则执行；无能力时阻止通过验收；过期启动不重放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T09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7天3天1天提醒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按合同版本去重；发送状态真实；短信未开通不产生扣费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T10</w:t>
            </w:r>
          </w:p>
        </w:tc>
        <w:tc>
          <w:tcPr>
            <w:tcW w:type="dxa" w:w="259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监控状态与历史</w:t>
            </w:r>
          </w:p>
        </w:tc>
        <w:tc>
          <w:tcPr>
            <w:tcW w:type="dxa" w:w="67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离线不等于停止；缺测不补零；告警确认不等于恢复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T11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收入与明细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月份 设备 客户汇总与单笔金额一致；缺日期独立归组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T12</w:t>
            </w:r>
          </w:p>
        </w:tc>
        <w:tc>
          <w:tcPr>
            <w:tcW w:type="dxa" w:w="259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主数据同步</w:t>
            </w:r>
          </w:p>
        </w:tc>
        <w:tc>
          <w:tcPr>
            <w:tcW w:type="dxa" w:w="67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离线待同步明确；版本乱序或重复可处理；不同端生效状态一致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T13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用户备份恢复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U盘或光盘写入校验；差异与冲突可见；运行和财务数据不回滚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T14</w:t>
            </w:r>
          </w:p>
        </w:tc>
        <w:tc>
          <w:tcPr>
            <w:tcW w:type="dxa" w:w="259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统一界面与适配</w:t>
            </w:r>
          </w:p>
        </w:tc>
        <w:tc>
          <w:tcPr>
            <w:tcW w:type="dxa" w:w="671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三端主题与状态语义一致；手机窄屏及大屏观看无遮挡误读</w:t>
            </w:r>
          </w:p>
        </w:tc>
      </w:tr>
    </w:tbl>
    <w:p>
      <w:pPr>
        <w:spacing w:after="40"/>
      </w:pPr>
    </w:p>
    <w:p>
      <w:r>
        <w:rPr>
          <w:sz w:val="18"/>
        </w:rPr>
        <w:t>每项记录环境、型号、固件、输入、预期、实际结果、时间、日志或截图和确认人员。真实控制必须有现场动作或可信反馈证据。原型测试只能证明交互与示例逻辑，不替代生产系统验收。</w:t>
      </w:r>
    </w:p>
    <w:p>
      <w:pPr>
        <w:pStyle w:val="Heading1"/>
        <w:pageBreakBefore/>
      </w:pPr>
      <w:r>
        <w:t>23 待确认决定与方案溯源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5544"/>
        <w:gridCol w:w="2462"/>
      </w:tblGrid>
      <w:tr>
        <w:trPr>
          <w:cantSplit/>
          <w:tblHeader/>
        </w:trPr>
        <w:tc>
          <w:tcPr>
            <w:tcW w:type="dxa" w:w="2160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5544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当前处理</w:t>
            </w:r>
          </w:p>
        </w:tc>
        <w:tc>
          <w:tcPr>
            <w:tcW w:type="dxa" w:w="246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确认责任建议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设备型号与模块能力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确认协议 回执 时钟 断网租期执行和换绑规则</w:t>
            </w:r>
          </w:p>
        </w:tc>
        <w:tc>
          <w:tcPr>
            <w:tcW w:type="dxa" w:w="24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设备厂商 现场单位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登记时间含义</w:t>
            </w:r>
          </w:p>
        </w:tc>
        <w:tc>
          <w:tcPr>
            <w:tcW w:type="dxa" w:w="55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暂按用户登记时间；如为等级时间需另增字段</w:t>
            </w:r>
          </w:p>
        </w:tc>
        <w:tc>
          <w:tcPr>
            <w:tcW w:type="dxa" w:w="246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项目负责人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月租与日期边界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以合同精确时间为准；自然月 月末 宽限以外结算待定</w:t>
            </w:r>
          </w:p>
        </w:tc>
        <w:tc>
          <w:tcPr>
            <w:tcW w:type="dxa" w:w="24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租赁业务负责人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本地主服务部署</w:t>
            </w:r>
          </w:p>
        </w:tc>
        <w:tc>
          <w:tcPr>
            <w:tcW w:type="dxa" w:w="55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唯一主数据源；常开工作站或本地服务器方式待选</w:t>
            </w:r>
          </w:p>
        </w:tc>
        <w:tc>
          <w:tcPr>
            <w:tcW w:type="dxa" w:w="246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项目负责人 运维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离线用户变更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建议待确认队列；不得提前扩大权限或续期</w:t>
            </w:r>
          </w:p>
        </w:tc>
        <w:tc>
          <w:tcPr>
            <w:tcW w:type="dxa" w:w="24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产品与业务负责人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数据保留与灾备</w:t>
            </w:r>
          </w:p>
        </w:tc>
        <w:tc>
          <w:tcPr>
            <w:tcW w:type="dxa" w:w="55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云端与用户备份分开制定期限和恢复目标</w:t>
            </w:r>
          </w:p>
        </w:tc>
        <w:tc>
          <w:tcPr>
            <w:tcW w:type="dxa" w:w="246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项目负责人 运维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大屏范围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沿用全域 区域 单机；地图与区域层级待定稿</w:t>
            </w:r>
          </w:p>
        </w:tc>
        <w:tc>
          <w:tcPr>
            <w:tcW w:type="dxa" w:w="24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监控使用方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退租退款及多设备合同</w:t>
            </w:r>
          </w:p>
        </w:tc>
        <w:tc>
          <w:tcPr>
            <w:tcW w:type="dxa" w:w="55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不默认实现完整结算；确认后扩展</w:t>
            </w:r>
          </w:p>
        </w:tc>
        <w:tc>
          <w:tcPr>
            <w:tcW w:type="dxa" w:w="246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租赁与财务负责人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短信服务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仅预留；渠道 单价 扣费点 失败处理待定</w:t>
            </w:r>
          </w:p>
        </w:tc>
        <w:tc>
          <w:tcPr>
            <w:tcW w:type="dxa" w:w="24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业务负责人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账号主体与规模</w:t>
            </w:r>
          </w:p>
        </w:tc>
        <w:tc>
          <w:tcPr>
            <w:tcW w:type="dxa" w:w="5544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微信主体 发布资料 真实设备数与试点名单待齐备</w:t>
            </w:r>
          </w:p>
        </w:tc>
        <w:tc>
          <w:tcPr>
            <w:tcW w:type="dxa" w:w="246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项目负责人</w:t>
            </w:r>
          </w:p>
        </w:tc>
      </w:tr>
    </w:tbl>
    <w:p>
      <w:pPr>
        <w:spacing w:after="40"/>
      </w:pPr>
    </w:p>
    <w:p>
      <w:pPr>
        <w:pStyle w:val="Heading2"/>
      </w:pPr>
      <w:r>
        <w:t>编制依据与优先级</w:t>
      </w:r>
    </w:p>
    <w:p>
      <w:r>
        <w:t>第一优先级为本次会话最新确认，包括自有云4G通信、租赁与授权、本地用户数据、U盘光盘备份和统一监控风格。第二优先级为现有可点击业务原型及短信接口契约。旧版建设方案、区域设计稿和竞品截图用于结构参考，冲突内容已在本版说明。</w:t>
      </w:r>
    </w:p>
    <w:p>
      <w:r>
        <w:rPr>
          <w:sz w:val="18"/>
        </w:rPr>
        <w:t>本地依据包括《海南省电机监控与小程序远程控制建设方案 V2.0》、output/ui-regional中的区域与详情设计、prototype中的业务及备份模型、sms-interface-contract.json，以及桌面“新建文件夹 (2)”中的竞品图片。竞品界面不构成已实现能力或合同承诺。</w:t>
      </w:r>
    </w:p>
    <w:p>
      <w:pPr>
        <w:pStyle w:val="Heading2"/>
      </w:pPr>
      <w:r>
        <w:t>评审完成条件</w:t>
      </w:r>
    </w:p>
    <w:p>
      <w:r>
        <w:t>确认本版需求基线、统一视觉方向、数据权威与离线办理规则；收齐设备接口和样机资料；填写试点范围、负责人、预算依据和验收指标后，形成正式开发基线。后续变更应记录影响页面、接口、数据和测试项。</w:t>
      </w:r>
    </w:p>
    <w:p>
      <w:pPr>
        <w:pStyle w:val="Heading1"/>
        <w:pageBreakBefore/>
      </w:pPr>
      <w:r>
        <w:t>24 统一界面参考与交付状态</w:t>
      </w:r>
    </w:p>
    <w:p>
      <w:r>
        <w:t>以下界面用于评审布局和视觉方向。小程序与后台已按监控平台的深蓝青色基准统一，示例操作可在现有联动原型中体验；真实系统仍需按前述设计开发。监控图为既有静态参考，其中日期、数量、姓名和部分控件需要在实施时统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4176"/>
        <w:gridCol w:w="3758"/>
      </w:tblGrid>
      <w:tr>
        <w:trPr>
          <w:cantSplit/>
          <w:tblHeader/>
        </w:trPr>
        <w:tc>
          <w:tcPr>
            <w:tcW w:type="dxa" w:w="2232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4176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758"/>
            <w:vAlign w:val="center"/>
            <w:shd w:fill="173A59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/>
                <w:color w:val="FFFFFF"/>
                <w:sz w:val="19"/>
              </w:rPr>
              <w:t>不能据此认定的能力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小程序与后台联动原型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可点击示例；包含扫码 入库 合同 授权 报表 用户备份流程</w:t>
            </w:r>
          </w:p>
        </w:tc>
        <w:tc>
          <w:tcPr>
            <w:tcW w:type="dxa" w:w="37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真实微信与摄像头接入 真实设备通信 生产数据持久保存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监控总览与区域详情</w:t>
            </w:r>
          </w:p>
        </w:tc>
        <w:tc>
          <w:tcPr>
            <w:tcW w:type="dxa" w:w="417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已有静态设计与接口草案</w:t>
            </w:r>
          </w:p>
        </w:tc>
        <w:tc>
          <w:tcPr>
            <w:tcW w:type="dxa" w:w="375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实时接入 可用告警推送 真实历史存储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备份与恢复界面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演示范围 介质选择 差异与冲突处理</w:t>
            </w:r>
          </w:p>
        </w:tc>
        <w:tc>
          <w:tcPr>
            <w:tcW w:type="dxa" w:w="37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真实加密写盘 光盘刻录 自动同步与灾备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短信接口</w:t>
            </w:r>
          </w:p>
        </w:tc>
        <w:tc>
          <w:tcPr>
            <w:tcW w:type="dxa" w:w="4176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预留路径与未开放状态</w:t>
            </w:r>
          </w:p>
        </w:tc>
        <w:tc>
          <w:tcPr>
            <w:tcW w:type="dxa" w:w="3758"/>
            <w:vAlign w:val="center"/>
            <w:shd w:fill="F0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before="20" w:after="40" w:line="269" w:lineRule="auto"/>
            </w:pPr>
            <w:r>
              <w:rPr>
                <w:b w:val="0"/>
                <w:color w:val="000000"/>
                <w:sz w:val="19"/>
              </w:rPr>
              <w:t>充值 发送 扣款和收费标准</w:t>
            </w:r>
          </w:p>
        </w:tc>
      </w:tr>
    </w:tbl>
    <w:p>
      <w:pPr>
        <w:spacing w:after="40"/>
      </w:pPr>
    </w:p>
    <w:p>
      <w:pPr>
        <w:pStyle w:val="Heading2"/>
      </w:pPr>
      <w:r>
        <w:t>插图阅读规则</w:t>
      </w:r>
    </w:p>
    <w:p>
      <w:r>
        <w:t>以统一色彩、信息层级和业务入口为评审重点，不以图中数值作为真实业务数据。运行、通信与故障三种状态应按正文独立建模，旧图中的互斥统计和重复轮播入口不作为最终规范。</w:t>
      </w:r>
    </w:p>
    <w:p>
      <w:r>
        <w:t>正式交付还需覆盖加载、无设备、无权限、离线、过期、回执超时、同步失败、备份损坏及恢复冲突等状态。截图仅呈现部分代表页面，完整要求以页面说明和验收用例为准。</w:t>
      </w:r>
    </w:p>
    <w:p>
      <w:pPr>
        <w:pStyle w:val="Heading1"/>
        <w:pageBreakBefore/>
      </w:pPr>
      <w:r>
        <w:t>附录A 小程序统一界面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7221551"/>
            <wp:docPr id="2" name="Picture 2" descr="深蓝青色统一小程序界面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-devices-unifi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722155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788920" cy="6029187"/>
            <wp:docPr id="3" name="Picture 3" descr="深蓝青色统一小程序界面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-detail-unifi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2918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>
      <w:r>
        <w:rPr>
          <w:sz w:val="18"/>
        </w:rPr>
        <w:t>左为设备列表，右为设备详情。统一青色选中态、深蓝容器和权限标签；运行数据、合同日期和手机号均为演示内容。原型时钟固定在2026年10月21日，文档整理日期为2026年10月24日。</w:t>
      </w:r>
    </w:p>
    <w:p>
      <w:pPr>
        <w:pStyle w:val="Heading1"/>
        <w:pageBreakBefore/>
      </w:pPr>
      <w:r>
        <w:t>附录B 管理员手机扫码入库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04011" cy="6400799"/>
            <wp:docPr id="4" name="Picture 4" descr="管理员手机工作台。扫码入库与客户扫码添加采用不同身份与流程，入库后不自动确定第一所有人或赋予控制权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inventory-unif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401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18"/>
        </w:rPr>
        <w:t>管理员手机工作台。扫码入库与客户扫码添加采用不同身份与流程，入库后不自动确定第一所有人或赋予控制权限。</w:t>
      </w:r>
    </w:p>
    <w:p>
      <w:pPr>
        <w:sectPr>
          <w:headerReference w:type="default" r:id="rId18"/>
          <w:footerReference w:type="default" r:id="rId19"/>
          <w:pgSz w:w="12240" w:h="15840"/>
          <w:pgMar w:top="950" w:right="1037" w:bottom="950" w:left="1037" w:header="403" w:footer="403" w:gutter="0"/>
          <w:cols w:space="720"/>
          <w:docGrid w:linePitch="360"/>
        </w:sectPr>
      </w:pPr>
    </w:p>
    <w:p>
      <w:pPr>
        <w:pStyle w:val="Heading1"/>
      </w:pPr>
      <w:r>
        <w:t>附录C 管理后台设备台账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740491" cy="5303520"/>
            <wp:docPr id="5" name="Picture 5" descr="统一深蓝青色后台示例。侧栏保持稳定，设备管理、合同、授权与统计各自独立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evices-unifi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0491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18"/>
        </w:rPr>
        <w:t>统一深蓝青色后台示例。侧栏保持稳定，设备管理、合同、授权与统计各自独立入口。</w:t>
      </w:r>
    </w:p>
    <w:p>
      <w:pPr>
        <w:sectPr>
          <w:pgSz w:w="15840" w:h="12240" w:orient="landscape"/>
          <w:pgMar w:top="792" w:right="864" w:bottom="792" w:left="864" w:header="403" w:footer="403" w:gutter="0"/>
          <w:cols w:space="720"/>
          <w:docGrid w:linePitch="360"/>
        </w:sectPr>
      </w:pPr>
    </w:p>
    <w:p>
      <w:pPr>
        <w:pStyle w:val="Heading1"/>
      </w:pPr>
      <w:r>
        <w:t>附录D 独立统计表格界面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031227" cy="5303520"/>
            <wp:docPr id="6" name="Picture 6" descr="设备台账、月度收入与客户汇总共享表格体系；金额可下钻到收款明细。本图为设备台账示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ports-unif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31227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18"/>
        </w:rPr>
        <w:t>设备台账、月度收入与客户汇总共享表格体系；金额可下钻到收款明细。本图为设备台账示例。</w:t>
      </w:r>
    </w:p>
    <w:p>
      <w:pPr>
        <w:sectPr>
          <w:pgSz w:w="15840" w:h="12240" w:orient="landscape"/>
          <w:pgMar w:top="792" w:right="864" w:bottom="792" w:left="864" w:header="403" w:footer="403" w:gutter="0"/>
          <w:cols w:space="720"/>
          <w:docGrid w:linePitch="360"/>
        </w:sectPr>
      </w:pPr>
    </w:p>
    <w:p>
      <w:pPr>
        <w:pStyle w:val="Heading1"/>
      </w:pPr>
      <w:r>
        <w:t>附录E 用户数据与备份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6282351"/>
            <wp:docPr id="7" name="Picture 7" descr="用户主数据本地为准，运行数据云端保存。当前导出与恢复为流程演示，不代表已写入U盘或完成光盘刻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backup-unifi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8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18"/>
        </w:rPr>
        <w:t>用户主数据本地为准，运行数据云端保存。当前导出与恢复为流程演示，不代表已写入U盘或完成光盘刻录。</w:t>
      </w:r>
    </w:p>
    <w:p>
      <w:pPr>
        <w:sectPr>
          <w:pgSz w:w="12240" w:h="15840"/>
          <w:pgMar w:top="864" w:right="936" w:bottom="864" w:left="936" w:header="403" w:footer="403" w:gutter="0"/>
          <w:cols w:space="720"/>
          <w:docGrid w:linePitch="360"/>
        </w:sectPr>
      </w:pPr>
    </w:p>
    <w:p>
      <w:pPr>
        <w:pStyle w:val="Heading1"/>
      </w:pPr>
      <w:r>
        <w:t>附录F 区域监控视觉基准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869680" cy="4991847"/>
            <wp:docPr id="8" name="Picture 8" descr="既有监控平台风格基准。保留深蓝青色和区域层级；状态统计按第11章独立维度实现，重复轮播入口与示例数值不作为最终规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gion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99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18"/>
        </w:rPr>
        <w:t>既有监控平台风格基准。保留深蓝青色和区域层级；状态统计按第11章独立维度实现，重复轮播入口与示例数值不作为最终规范。</w:t>
      </w:r>
    </w:p>
    <w:p>
      <w:pPr>
        <w:sectPr>
          <w:pgSz w:w="15840" w:h="12240" w:orient="landscape"/>
          <w:pgMar w:top="792" w:right="864" w:bottom="792" w:left="864" w:header="403" w:footer="403" w:gutter="0"/>
          <w:cols w:space="720"/>
          <w:docGrid w:linePitch="360"/>
        </w:sectPr>
      </w:pPr>
    </w:p>
    <w:p>
      <w:pPr>
        <w:pStyle w:val="Heading1"/>
      </w:pPr>
      <w:r>
        <w:t>附录G 单机监控详情参考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869680" cy="4991847"/>
            <wp:docPr id="9" name="Picture 9" descr="既有单机监控设计。测点、单位和历史来源以型号资料为准；故障确认与恢复分开，温度或转速无数据源时不展示虚构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vice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99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18"/>
        </w:rPr>
        <w:t>既有单机监控设计。测点、单位和历史来源以型号资料为准；故障确认与恢复分开，温度或转速无数据源时不展示虚构值。</w:t>
      </w:r>
    </w:p>
    <w:sectPr w:rsidR="00FC693F" w:rsidRPr="0006063C" w:rsidSect="00034616">
      <w:pgSz w:w="15840" w:h="12240" w:orient="landscape"/>
      <w:pgMar w:top="792" w:right="864" w:bottom="792" w:left="86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/>
        <w:color w:val="000000"/>
        <w:sz w:val="16"/>
      </w:rPr>
      <w:t>变频器租赁与电机监控平台    设计评审稿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7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8" w:lineRule="auto" w:after="14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变频器租赁与电机监控平台完整设计说明书及方案策划</dc:title>
  <dc:subject>小程序 监控界面 管理后台 本地用户主数据 云端运行数据</dc:subject>
  <dc:creator>项目方案整理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