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722BA">
      <w:pPr>
        <w:spacing w:before="120" w:after="240"/>
        <w:jc w:val="center"/>
      </w:pPr>
      <w:r>
        <w:rPr>
          <w:rFonts w:ascii="Calibri" w:hAnsi="Calibri" w:eastAsia="Calibri"/>
          <w:b/>
          <w:color w:val="1F497D"/>
          <w:sz w:val="40"/>
        </w:rPr>
        <w:t>OVES BLE Charging Parameter Settings Guide</w:t>
      </w:r>
    </w:p>
    <w:p w14:paraId="3FE7BD9E">
      <w:pPr>
        <w:spacing w:before="120" w:after="240"/>
        <w:jc w:val="center"/>
      </w:pPr>
      <w:r>
        <w:rPr>
          <w:rFonts w:ascii="Calibri" w:hAnsi="Calibri" w:eastAsia="Calibri"/>
          <w:b w:val="0"/>
          <w:color w:val="595959"/>
          <w:sz w:val="24"/>
        </w:rPr>
        <w:t>— A Practical Guide to Key BLE APP Parameters —</w:t>
      </w:r>
    </w:p>
    <w:tbl>
      <w:tblPr>
        <w:tblStyle w:val="32"/>
        <w:tblW w:w="0" w:type="auto"/>
        <w:jc w:val="center"/>
        <w:tblLayout w:type="autofit"/>
        <w:tblCellMar>
          <w:top w:w="0" w:type="dxa"/>
          <w:left w:w="108" w:type="dxa"/>
          <w:bottom w:w="0" w:type="dxa"/>
          <w:right w:w="108" w:type="dxa"/>
        </w:tblCellMar>
      </w:tblPr>
      <w:tblGrid>
        <w:gridCol w:w="4873"/>
        <w:gridCol w:w="4873"/>
      </w:tblGrid>
      <w:tr w14:paraId="581FD293">
        <w:tblPrEx>
          <w:tblCellMar>
            <w:top w:w="0" w:type="dxa"/>
            <w:left w:w="108" w:type="dxa"/>
            <w:bottom w:w="0" w:type="dxa"/>
            <w:right w:w="108" w:type="dxa"/>
          </w:tblCellMar>
        </w:tblPrEx>
        <w:trPr>
          <w:jc w:val="center"/>
        </w:trPr>
        <w:tc>
          <w:tcPr>
            <w:tcW w:w="4873" w:type="dxa"/>
            <w:shd w:val="clear" w:color="auto" w:fill="DCE6F1"/>
          </w:tcPr>
          <w:p w14:paraId="5BCE1FE9">
            <w:r>
              <w:rPr>
                <w:rFonts w:ascii="Calibri" w:hAnsi="Calibri" w:eastAsia="Calibri"/>
                <w:b/>
                <w:sz w:val="20"/>
              </w:rPr>
              <w:t>Project</w:t>
            </w:r>
          </w:p>
        </w:tc>
        <w:tc>
          <w:tcPr>
            <w:tcW w:w="4873" w:type="dxa"/>
          </w:tcPr>
          <w:p w14:paraId="1AABF3D4">
            <w:r>
              <w:rPr>
                <w:rFonts w:ascii="Calibri" w:hAnsi="Calibri" w:eastAsia="Calibri"/>
                <w:b w:val="0"/>
                <w:sz w:val="20"/>
              </w:rPr>
              <w:t>OVES CG charging cabinet BLE parameter debugging</w:t>
            </w:r>
          </w:p>
        </w:tc>
      </w:tr>
      <w:tr w14:paraId="1C83A78C">
        <w:tblPrEx>
          <w:tblCellMar>
            <w:top w:w="0" w:type="dxa"/>
            <w:left w:w="108" w:type="dxa"/>
            <w:bottom w:w="0" w:type="dxa"/>
            <w:right w:w="108" w:type="dxa"/>
          </w:tblCellMar>
        </w:tblPrEx>
        <w:trPr>
          <w:jc w:val="center"/>
        </w:trPr>
        <w:tc>
          <w:tcPr>
            <w:tcW w:w="4873" w:type="dxa"/>
            <w:shd w:val="clear" w:color="auto" w:fill="DCE6F1"/>
          </w:tcPr>
          <w:p w14:paraId="74770C94">
            <w:r>
              <w:rPr>
                <w:rFonts w:ascii="Calibri" w:hAnsi="Calibri" w:eastAsia="Calibri"/>
                <w:b/>
                <w:sz w:val="20"/>
              </w:rPr>
              <w:t>Target Device</w:t>
            </w:r>
          </w:p>
        </w:tc>
        <w:tc>
          <w:tcPr>
            <w:tcW w:w="4873" w:type="dxa"/>
          </w:tcPr>
          <w:p w14:paraId="7B7A46A8">
            <w:r>
              <w:rPr>
                <w:rFonts w:ascii="Calibri" w:hAnsi="Calibri" w:eastAsia="Calibri"/>
                <w:b w:val="0"/>
                <w:sz w:val="20"/>
              </w:rPr>
              <w:t>Shenzhen-Service (CG charging cabinet)</w:t>
            </w:r>
          </w:p>
        </w:tc>
      </w:tr>
      <w:tr w14:paraId="384728C4">
        <w:tblPrEx>
          <w:tblCellMar>
            <w:top w:w="0" w:type="dxa"/>
            <w:left w:w="108" w:type="dxa"/>
            <w:bottom w:w="0" w:type="dxa"/>
            <w:right w:w="108" w:type="dxa"/>
          </w:tblCellMar>
        </w:tblPrEx>
        <w:trPr>
          <w:jc w:val="center"/>
        </w:trPr>
        <w:tc>
          <w:tcPr>
            <w:tcW w:w="4873" w:type="dxa"/>
            <w:shd w:val="clear" w:color="auto" w:fill="DCE6F1"/>
          </w:tcPr>
          <w:p w14:paraId="66301FDA">
            <w:r>
              <w:rPr>
                <w:rFonts w:ascii="Calibri" w:hAnsi="Calibri" w:eastAsia="Calibri"/>
                <w:b/>
                <w:sz w:val="20"/>
              </w:rPr>
              <w:t>Purpose</w:t>
            </w:r>
          </w:p>
        </w:tc>
        <w:tc>
          <w:tcPr>
            <w:tcW w:w="4873" w:type="dxa"/>
          </w:tcPr>
          <w:p w14:paraId="750461F4">
            <w:r>
              <w:rPr>
                <w:rFonts w:ascii="Calibri" w:hAnsi="Calibri" w:eastAsia="Calibri"/>
                <w:b w:val="0"/>
                <w:sz w:val="20"/>
              </w:rPr>
              <w:t>Explains the meaning and usage of key parameters: addr / auto / powr / time, etc.</w:t>
            </w:r>
          </w:p>
        </w:tc>
      </w:tr>
    </w:tbl>
    <w:p w14:paraId="107F3AD4"/>
    <w:p w14:paraId="60F24838">
      <w:pPr>
        <w:spacing w:before="200" w:after="120"/>
      </w:pPr>
      <w:r>
        <w:rPr>
          <w:rFonts w:ascii="Calibri" w:hAnsi="Calibri" w:eastAsia="Calibri"/>
          <w:b/>
          <w:color w:val="1F497D"/>
          <w:sz w:val="28"/>
        </w:rPr>
        <w:t>1. Overview</w:t>
      </w:r>
    </w:p>
    <w:p w14:paraId="159BFD13">
      <w:pPr>
        <w:spacing w:after="80" w:line="360" w:lineRule="auto"/>
        <w:ind w:firstLine="360"/>
      </w:pPr>
      <w:r>
        <w:rPr>
          <w:rFonts w:ascii="Calibri" w:hAnsi="Calibri" w:eastAsia="Calibri"/>
          <w:b w:val="0"/>
          <w:sz w:val="21"/>
        </w:rPr>
        <w:t>This guide is intended for use with the BLE debugging APP (shown as “OVES CG…” / “Shenzhen-Service”). It explains how to write the commonly used parameters on the charging cabinet's BLE parameter page. During on-site commissioning, parameters can be read and written directly from the BLE device page of a smartphone, allowing the operator to switch charging modes, limit charging power or duration, and locate battery bay data.</w:t>
      </w:r>
    </w:p>
    <w:p w14:paraId="1107663C">
      <w:pPr>
        <w:spacing w:before="200" w:after="120"/>
      </w:pPr>
      <w:r>
        <w:rPr>
          <w:rFonts w:ascii="Calibri" w:hAnsi="Calibri" w:eastAsia="Calibri"/>
          <w:b/>
          <w:color w:val="1F497D"/>
          <w:sz w:val="28"/>
        </w:rPr>
        <w:t>1.1 Parameter Summary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EB4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97D"/>
          </w:tcPr>
          <w:p w14:paraId="395132E6">
            <w:pPr>
              <w:spacing w:after="0" w:line="240" w:lineRule="auto"/>
              <w:jc w:val="center"/>
            </w:pPr>
            <w:r>
              <w:rPr>
                <w:rFonts w:ascii="Calibri" w:hAnsi="Calibri" w:eastAsia="Calibri"/>
                <w:b/>
                <w:color w:val="FFFFFF"/>
                <w:sz w:val="21"/>
              </w:rPr>
              <w:t>Parameter</w:t>
            </w:r>
          </w:p>
        </w:tc>
        <w:tc>
          <w:tcPr>
            <w:tcW w:w="2268" w:type="dxa"/>
            <w:shd w:val="clear" w:color="auto" w:fill="1F497D"/>
          </w:tcPr>
          <w:p w14:paraId="777B18F0">
            <w:pPr>
              <w:spacing w:after="0" w:line="240" w:lineRule="auto"/>
              <w:jc w:val="center"/>
            </w:pPr>
            <w:r>
              <w:rPr>
                <w:rFonts w:ascii="Calibri" w:hAnsi="Calibri" w:eastAsia="Calibri"/>
                <w:b/>
                <w:color w:val="FFFFFF"/>
                <w:sz w:val="21"/>
              </w:rPr>
              <w:t>Meaning</w:t>
            </w:r>
          </w:p>
        </w:tc>
        <w:tc>
          <w:tcPr>
            <w:tcW w:w="2268" w:type="dxa"/>
            <w:shd w:val="clear" w:color="auto" w:fill="1F497D"/>
          </w:tcPr>
          <w:p w14:paraId="734BE984">
            <w:pPr>
              <w:spacing w:after="0" w:line="240" w:lineRule="auto"/>
              <w:jc w:val="center"/>
            </w:pPr>
            <w:r>
              <w:rPr>
                <w:rFonts w:ascii="Calibri" w:hAnsi="Calibri" w:eastAsia="Calibri"/>
                <w:b/>
                <w:color w:val="FFFFFF"/>
                <w:sz w:val="21"/>
              </w:rPr>
              <w:t>Range</w:t>
            </w:r>
          </w:p>
        </w:tc>
        <w:tc>
          <w:tcPr>
            <w:tcW w:w="2268" w:type="dxa"/>
            <w:shd w:val="clear" w:color="auto" w:fill="1F497D"/>
          </w:tcPr>
          <w:p w14:paraId="3CA93DFB">
            <w:pPr>
              <w:spacing w:after="0" w:line="240" w:lineRule="auto"/>
              <w:jc w:val="center"/>
            </w:pPr>
            <w:r>
              <w:rPr>
                <w:rFonts w:ascii="Calibri" w:hAnsi="Calibri" w:eastAsia="Calibri"/>
                <w:b/>
                <w:color w:val="FFFFFF"/>
                <w:sz w:val="21"/>
              </w:rPr>
              <w:t>Default</w:t>
            </w:r>
          </w:p>
        </w:tc>
      </w:tr>
      <w:tr w14:paraId="6A02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7724715">
            <w:pPr>
              <w:spacing w:after="0" w:line="240" w:lineRule="auto"/>
            </w:pPr>
            <w:r>
              <w:rPr>
                <w:rFonts w:ascii="Calibri" w:hAnsi="Calibri" w:eastAsia="Calibri"/>
                <w:b w:val="0"/>
                <w:sz w:val="20"/>
              </w:rPr>
              <w:t>addr</w:t>
            </w:r>
          </w:p>
        </w:tc>
        <w:tc>
          <w:tcPr>
            <w:tcW w:w="2268" w:type="dxa"/>
            <w:shd w:val="clear" w:color="auto" w:fill="FFFFFF"/>
          </w:tcPr>
          <w:p w14:paraId="4B0A5911">
            <w:pPr>
              <w:spacing w:after="0" w:line="240" w:lineRule="auto"/>
            </w:pPr>
            <w:r>
              <w:rPr>
                <w:rFonts w:ascii="Calibri" w:hAnsi="Calibri" w:eastAsia="Calibri"/>
                <w:b w:val="0"/>
                <w:sz w:val="20"/>
              </w:rPr>
              <w:t>Device address (battery bay number)</w:t>
            </w:r>
          </w:p>
        </w:tc>
        <w:tc>
          <w:tcPr>
            <w:tcW w:w="2268" w:type="dxa"/>
            <w:shd w:val="clear" w:color="auto" w:fill="FFFFFF"/>
          </w:tcPr>
          <w:p w14:paraId="7E865068">
            <w:pPr>
              <w:spacing w:after="0" w:line="240" w:lineRule="auto"/>
            </w:pPr>
            <w:r>
              <w:rPr>
                <w:rFonts w:ascii="Calibri" w:hAnsi="Calibri" w:eastAsia="Calibri"/>
                <w:b w:val="0"/>
                <w:sz w:val="20"/>
              </w:rPr>
              <w:t>0 ~ N (N = number of charging bays)</w:t>
            </w:r>
          </w:p>
        </w:tc>
        <w:tc>
          <w:tcPr>
            <w:tcW w:w="2268" w:type="dxa"/>
            <w:shd w:val="clear" w:color="auto" w:fill="FFFFFF"/>
          </w:tcPr>
          <w:p w14:paraId="1BE3D913">
            <w:pPr>
              <w:spacing w:after="0" w:line="240" w:lineRule="auto"/>
            </w:pPr>
            <w:r>
              <w:rPr>
                <w:rFonts w:ascii="Calibri" w:hAnsi="Calibri" w:eastAsia="Calibri"/>
                <w:b w:val="0"/>
                <w:sz w:val="20"/>
              </w:rPr>
              <w:t>0</w:t>
            </w:r>
          </w:p>
        </w:tc>
      </w:tr>
      <w:tr w14:paraId="0BBC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DBE7D4A">
            <w:pPr>
              <w:spacing w:after="0" w:line="240" w:lineRule="auto"/>
            </w:pPr>
            <w:r>
              <w:rPr>
                <w:rFonts w:ascii="Calibri" w:hAnsi="Calibri" w:eastAsia="Calibri"/>
                <w:b w:val="0"/>
                <w:sz w:val="20"/>
              </w:rPr>
              <w:t>auto</w:t>
            </w:r>
          </w:p>
        </w:tc>
        <w:tc>
          <w:tcPr>
            <w:tcW w:w="2268" w:type="dxa"/>
            <w:shd w:val="clear" w:color="auto" w:fill="FFFFFF"/>
          </w:tcPr>
          <w:p w14:paraId="01DC1EFE">
            <w:pPr>
              <w:spacing w:after="0" w:line="240" w:lineRule="auto"/>
            </w:pPr>
            <w:r>
              <w:rPr>
                <w:rFonts w:ascii="Calibri" w:hAnsi="Calibri" w:eastAsia="Calibri"/>
                <w:b w:val="0"/>
                <w:sz w:val="20"/>
              </w:rPr>
              <w:t>Charging mode</w:t>
            </w:r>
          </w:p>
        </w:tc>
        <w:tc>
          <w:tcPr>
            <w:tcW w:w="2268" w:type="dxa"/>
            <w:shd w:val="clear" w:color="auto" w:fill="FFFFFF"/>
          </w:tcPr>
          <w:p w14:paraId="04FA4A4E">
            <w:pPr>
              <w:spacing w:after="0" w:line="240" w:lineRule="auto"/>
            </w:pPr>
            <w:r>
              <w:rPr>
                <w:rFonts w:ascii="Calibri" w:hAnsi="Calibri" w:eastAsia="Calibri"/>
                <w:b w:val="0"/>
                <w:sz w:val="20"/>
              </w:rPr>
              <w:t>0 = Auto / 1 = Scan-to-charge</w:t>
            </w:r>
          </w:p>
        </w:tc>
        <w:tc>
          <w:tcPr>
            <w:tcW w:w="2268" w:type="dxa"/>
            <w:shd w:val="clear" w:color="auto" w:fill="FFFFFF"/>
          </w:tcPr>
          <w:p w14:paraId="69E92201">
            <w:pPr>
              <w:spacing w:after="0" w:line="240" w:lineRule="auto"/>
            </w:pPr>
            <w:r>
              <w:rPr>
                <w:rFonts w:ascii="Calibri" w:hAnsi="Calibri" w:eastAsia="Calibri"/>
                <w:b w:val="0"/>
                <w:sz w:val="20"/>
              </w:rPr>
              <w:t>0</w:t>
            </w:r>
          </w:p>
        </w:tc>
      </w:tr>
      <w:tr w14:paraId="0834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6F6318EB">
            <w:pPr>
              <w:spacing w:after="0" w:line="240" w:lineRule="auto"/>
            </w:pPr>
            <w:r>
              <w:rPr>
                <w:rFonts w:ascii="Calibri" w:hAnsi="Calibri" w:eastAsia="Calibri"/>
                <w:b w:val="0"/>
                <w:sz w:val="20"/>
              </w:rPr>
              <w:t>powr</w:t>
            </w:r>
          </w:p>
        </w:tc>
        <w:tc>
          <w:tcPr>
            <w:tcW w:w="2268" w:type="dxa"/>
            <w:shd w:val="clear" w:color="auto" w:fill="F2F2F2"/>
          </w:tcPr>
          <w:p w14:paraId="1237F723">
            <w:pPr>
              <w:spacing w:after="0" w:line="240" w:lineRule="auto"/>
            </w:pPr>
            <w:r>
              <w:rPr>
                <w:rFonts w:ascii="Calibri" w:hAnsi="Calibri" w:eastAsia="Calibri"/>
                <w:b w:val="0"/>
                <w:sz w:val="20"/>
              </w:rPr>
              <w:t>Charging energy limit (scan mode)</w:t>
            </w:r>
          </w:p>
        </w:tc>
        <w:tc>
          <w:tcPr>
            <w:tcW w:w="2268" w:type="dxa"/>
            <w:shd w:val="clear" w:color="auto" w:fill="F2F2F2"/>
          </w:tcPr>
          <w:p w14:paraId="7F6E3E53">
            <w:pPr>
              <w:spacing w:after="0" w:line="240" w:lineRule="auto"/>
            </w:pPr>
            <w:r>
              <w:rPr>
                <w:rFonts w:ascii="Calibri" w:hAnsi="Calibri" w:eastAsia="Calibri"/>
                <w:b w:val="0"/>
                <w:sz w:val="20"/>
              </w:rPr>
              <w:t>Unit: 100 mW·H</w:t>
            </w:r>
          </w:p>
        </w:tc>
        <w:tc>
          <w:tcPr>
            <w:tcW w:w="2268" w:type="dxa"/>
            <w:shd w:val="clear" w:color="auto" w:fill="F2F2F2"/>
          </w:tcPr>
          <w:p w14:paraId="726E34BE">
            <w:pPr>
              <w:spacing w:after="0" w:line="240" w:lineRule="auto"/>
            </w:pPr>
            <w:r>
              <w:rPr>
                <w:rFonts w:ascii="Calibri" w:hAnsi="Calibri" w:eastAsia="Calibri"/>
                <w:b w:val="0"/>
                <w:sz w:val="20"/>
              </w:rPr>
              <w:t>0</w:t>
            </w:r>
          </w:p>
        </w:tc>
      </w:tr>
      <w:tr w14:paraId="68D1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56A75370">
            <w:pPr>
              <w:spacing w:after="0" w:line="240" w:lineRule="auto"/>
            </w:pPr>
            <w:r>
              <w:rPr>
                <w:rFonts w:ascii="Calibri" w:hAnsi="Calibri" w:eastAsia="Calibri"/>
                <w:b w:val="0"/>
                <w:sz w:val="20"/>
              </w:rPr>
              <w:t>time</w:t>
            </w:r>
          </w:p>
        </w:tc>
        <w:tc>
          <w:tcPr>
            <w:tcW w:w="2268" w:type="dxa"/>
            <w:shd w:val="clear" w:color="auto" w:fill="FFFFFF"/>
          </w:tcPr>
          <w:p w14:paraId="74A06964">
            <w:pPr>
              <w:spacing w:after="0" w:line="240" w:lineRule="auto"/>
            </w:pPr>
            <w:r>
              <w:rPr>
                <w:rFonts w:ascii="Calibri" w:hAnsi="Calibri" w:eastAsia="Calibri"/>
                <w:b w:val="0"/>
                <w:sz w:val="20"/>
              </w:rPr>
              <w:t>Cumulative charging time (scan mode)</w:t>
            </w:r>
          </w:p>
        </w:tc>
        <w:tc>
          <w:tcPr>
            <w:tcW w:w="2268" w:type="dxa"/>
            <w:shd w:val="clear" w:color="auto" w:fill="FFFFFF"/>
          </w:tcPr>
          <w:p w14:paraId="5EF92E02">
            <w:pPr>
              <w:spacing w:after="0" w:line="240" w:lineRule="auto"/>
            </w:pPr>
            <w:r>
              <w:rPr>
                <w:rFonts w:ascii="Calibri" w:hAnsi="Calibri" w:eastAsia="Calibri"/>
                <w:b w:val="0"/>
                <w:sz w:val="20"/>
              </w:rPr>
              <w:t>Minutes</w:t>
            </w:r>
          </w:p>
        </w:tc>
        <w:tc>
          <w:tcPr>
            <w:tcW w:w="2268" w:type="dxa"/>
            <w:shd w:val="clear" w:color="auto" w:fill="FFFFFF"/>
          </w:tcPr>
          <w:p w14:paraId="7800D542">
            <w:pPr>
              <w:spacing w:after="0" w:line="240" w:lineRule="auto"/>
            </w:pPr>
            <w:r>
              <w:rPr>
                <w:rFonts w:ascii="Calibri" w:hAnsi="Calibri" w:eastAsia="Calibri"/>
                <w:b w:val="0"/>
                <w:sz w:val="20"/>
              </w:rPr>
              <w:t>0</w:t>
            </w:r>
          </w:p>
        </w:tc>
      </w:tr>
    </w:tbl>
    <w:p w14:paraId="6856C78B"/>
    <w:p w14:paraId="78ACF039">
      <w:pPr>
        <w:spacing w:before="200" w:after="120"/>
      </w:pPr>
      <w:r>
        <w:rPr>
          <w:rFonts w:ascii="Calibri" w:hAnsi="Calibri" w:eastAsia="Calibri"/>
          <w:b/>
          <w:color w:val="1F497D"/>
          <w:sz w:val="28"/>
        </w:rPr>
        <w:t>2. Writing “addr” — Locating a Battery Bay (Figure 1)</w:t>
      </w:r>
    </w:p>
    <w:p w14:paraId="0B074225">
      <w:pPr>
        <w:spacing w:before="120" w:after="120"/>
        <w:jc w:val="center"/>
      </w:pPr>
      <w:r>
        <w:drawing>
          <wp:inline distT="0" distB="0" distL="114300" distR="114300">
            <wp:extent cx="3959860" cy="857948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60000" cy="8580000"/>
                    </a:xfrm>
                    <a:prstGeom prst="rect">
                      <a:avLst/>
                    </a:prstGeom>
                  </pic:spPr>
                </pic:pic>
              </a:graphicData>
            </a:graphic>
          </wp:inline>
        </w:drawing>
      </w:r>
    </w:p>
    <w:p w14:paraId="04B641F1">
      <w:pPr>
        <w:spacing w:after="200"/>
        <w:jc w:val="center"/>
        <w:rPr>
          <w:rFonts w:hint="eastAsia" w:eastAsia="宋体"/>
          <w:lang w:eastAsia="zh-CN"/>
        </w:rPr>
      </w:pPr>
      <w:r>
        <w:rPr>
          <w:rFonts w:ascii="Calibri" w:hAnsi="Calibri" w:eastAsia="Calibri"/>
          <w:b w:val="0"/>
          <w:color w:val="595959"/>
          <w:sz w:val="18"/>
        </w:rPr>
        <w:t xml:space="preserve">Figure 1  BLE parameter page — addr / </w:t>
      </w:r>
      <w:r>
        <w:rPr>
          <w:rFonts w:hint="eastAsia" w:eastAsia="宋体"/>
          <w:b w:val="0"/>
          <w:color w:val="595959"/>
          <w:sz w:val="18"/>
          <w:lang w:val="en-US" w:eastAsia="zh-CN"/>
        </w:rPr>
        <w:t xml:space="preserve"> </w:t>
      </w:r>
    </w:p>
    <w:p w14:paraId="68EFF68D">
      <w:pPr>
        <w:spacing w:before="200" w:after="120"/>
      </w:pPr>
      <w:r>
        <w:rPr>
          <w:rFonts w:ascii="Calibri" w:hAnsi="Calibri" w:eastAsia="Calibri"/>
          <w:b/>
          <w:color w:val="1F497D"/>
          <w:sz w:val="28"/>
        </w:rPr>
        <w:t>How to Operate</w:t>
      </w:r>
    </w:p>
    <w:p w14:paraId="4A46323E">
      <w:pPr>
        <w:spacing w:after="80" w:line="360" w:lineRule="auto"/>
        <w:ind w:firstLine="360"/>
      </w:pPr>
      <w:r>
        <w:rPr>
          <w:rFonts w:ascii="Calibri" w:hAnsi="Calibri" w:eastAsia="Calibri"/>
          <w:b w:val="0"/>
          <w:sz w:val="21"/>
        </w:rPr>
        <w:t>Perform a [Write] operation on the “addr” field to select the battery bay to be viewed or controlled. The writable value ranges from 0 to N, where N is the number of charging bays actually configured on the cabinet. For example, if N = 8, valid values are 0–8, corresponding to bays 1–8.</w:t>
      </w:r>
    </w:p>
    <w:p w14:paraId="549E8857">
      <w:pPr>
        <w:spacing w:before="200" w:after="120"/>
      </w:pPr>
      <w:r>
        <w:rPr>
          <w:rFonts w:ascii="Calibri" w:hAnsi="Calibri" w:eastAsia="Calibri"/>
          <w:b/>
          <w:color w:val="1F497D"/>
          <w:sz w:val="28"/>
        </w:rPr>
        <w:t>What Is Displayed</w:t>
      </w:r>
    </w:p>
    <w:p w14:paraId="7471F046">
      <w:pPr>
        <w:spacing w:after="80" w:line="360" w:lineRule="auto"/>
        <w:ind w:firstLine="360"/>
      </w:pPr>
      <w:r>
        <w:rPr>
          <w:rFonts w:ascii="Calibri" w:hAnsi="Calibri" w:eastAsia="Calibri"/>
          <w:b w:val="0"/>
          <w:sz w:val="21"/>
        </w:rPr>
        <w:t>After an address is written, the battery data shown on the APP main page or log (voltage, current, temperature, SOC, etc.) corresponds to the battery installed in the selected bay, making it easy to inspect the status of each bay one by one on site.</w:t>
      </w:r>
    </w:p>
    <w:p w14:paraId="15B73866">
      <w:pPr>
        <w:spacing w:before="200" w:after="120"/>
      </w:pPr>
      <w:r>
        <w:rPr>
          <w:rFonts w:ascii="Calibri" w:hAnsi="Calibri" w:eastAsia="Calibri"/>
          <w:b/>
          <w:color w:val="1F497D"/>
          <w:sz w:val="28"/>
        </w:rPr>
        <w:t>Key Fields in Figure 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tblGrid>
      <w:tr w14:paraId="267D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97D"/>
          </w:tcPr>
          <w:p w14:paraId="46869014">
            <w:pPr>
              <w:spacing w:after="0" w:line="240" w:lineRule="auto"/>
              <w:jc w:val="center"/>
            </w:pPr>
            <w:r>
              <w:rPr>
                <w:rFonts w:ascii="Calibri" w:hAnsi="Calibri" w:eastAsia="Calibri"/>
                <w:b/>
                <w:color w:val="FFFFFF"/>
                <w:sz w:val="21"/>
              </w:rPr>
              <w:t>Field</w:t>
            </w:r>
          </w:p>
        </w:tc>
        <w:tc>
          <w:tcPr>
            <w:tcW w:w="2268" w:type="dxa"/>
            <w:shd w:val="clear" w:color="auto" w:fill="1F497D"/>
          </w:tcPr>
          <w:p w14:paraId="6DCDAA3C">
            <w:pPr>
              <w:spacing w:after="0" w:line="240" w:lineRule="auto"/>
              <w:jc w:val="center"/>
            </w:pPr>
            <w:r>
              <w:rPr>
                <w:rFonts w:ascii="Calibri" w:hAnsi="Calibri" w:eastAsia="Calibri"/>
                <w:b/>
                <w:color w:val="FFFFFF"/>
                <w:sz w:val="21"/>
              </w:rPr>
              <w:t>Description (as shown in APP)</w:t>
            </w:r>
          </w:p>
        </w:tc>
        <w:tc>
          <w:tcPr>
            <w:tcW w:w="2268" w:type="dxa"/>
            <w:shd w:val="clear" w:color="auto" w:fill="1F497D"/>
          </w:tcPr>
          <w:p w14:paraId="2FC9BF50">
            <w:pPr>
              <w:spacing w:after="0" w:line="240" w:lineRule="auto"/>
              <w:jc w:val="center"/>
            </w:pPr>
            <w:r>
              <w:rPr>
                <w:rFonts w:ascii="Calibri" w:hAnsi="Calibri" w:eastAsia="Calibri"/>
                <w:b/>
                <w:color w:val="FFFFFF"/>
                <w:sz w:val="21"/>
              </w:rPr>
              <w:t>Notes</w:t>
            </w:r>
          </w:p>
        </w:tc>
      </w:tr>
      <w:tr w14:paraId="3D4B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889BFF6">
            <w:pPr>
              <w:spacing w:after="0" w:line="240" w:lineRule="auto"/>
            </w:pPr>
            <w:r>
              <w:rPr>
                <w:rFonts w:ascii="Calibri" w:hAnsi="Calibri" w:eastAsia="Calibri"/>
                <w:b w:val="0"/>
                <w:sz w:val="20"/>
              </w:rPr>
              <w:t>addr</w:t>
            </w:r>
          </w:p>
        </w:tc>
        <w:tc>
          <w:tcPr>
            <w:tcW w:w="2268" w:type="dxa"/>
            <w:shd w:val="clear" w:color="auto" w:fill="F2F2F2"/>
          </w:tcPr>
          <w:p w14:paraId="54BEEA75">
            <w:pPr>
              <w:spacing w:after="0" w:line="240" w:lineRule="auto"/>
            </w:pPr>
            <w:r>
              <w:rPr>
                <w:rFonts w:ascii="Calibri" w:hAnsi="Calibri" w:eastAsia="Calibri"/>
                <w:b w:val="0"/>
                <w:sz w:val="20"/>
              </w:rPr>
              <w:t>Device Address (0~65536)</w:t>
            </w:r>
          </w:p>
        </w:tc>
        <w:tc>
          <w:tcPr>
            <w:tcW w:w="2268" w:type="dxa"/>
            <w:shd w:val="clear" w:color="auto" w:fill="F2F2F2"/>
          </w:tcPr>
          <w:p w14:paraId="6EF6EF06">
            <w:pPr>
              <w:spacing w:after="0" w:line="240" w:lineRule="auto"/>
            </w:pPr>
            <w:r>
              <w:rPr>
                <w:rFonts w:ascii="Calibri" w:hAnsi="Calibri" w:eastAsia="Calibri"/>
                <w:b w:val="0"/>
                <w:sz w:val="20"/>
              </w:rPr>
              <w:t>Bay address to be written. The APP displays an upper limit of 65536, but the effective range is determined by the actual number of bays N.</w:t>
            </w:r>
          </w:p>
        </w:tc>
      </w:tr>
    </w:tbl>
    <w:p w14:paraId="136524DC"/>
    <w:p w14:paraId="76DD6F76">
      <w:pPr>
        <w:spacing w:before="200" w:after="120"/>
      </w:pPr>
      <w:r>
        <w:rPr>
          <w:rFonts w:ascii="Calibri" w:hAnsi="Calibri" w:eastAsia="Calibri"/>
          <w:b/>
          <w:color w:val="1F497D"/>
          <w:sz w:val="28"/>
        </w:rPr>
        <w:t>3. Writing “auto” and “powr” — Charging Mode and Power (Figure 2)</w:t>
      </w:r>
    </w:p>
    <w:p w14:paraId="7B669382">
      <w:pPr>
        <w:spacing w:before="120" w:after="120"/>
        <w:jc w:val="center"/>
      </w:pPr>
      <w:r>
        <w:drawing>
          <wp:inline distT="0" distB="0" distL="114300" distR="114300">
            <wp:extent cx="3959860" cy="857948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60000" cy="8580000"/>
                    </a:xfrm>
                    <a:prstGeom prst="rect">
                      <a:avLst/>
                    </a:prstGeom>
                  </pic:spPr>
                </pic:pic>
              </a:graphicData>
            </a:graphic>
          </wp:inline>
        </w:drawing>
      </w:r>
    </w:p>
    <w:p w14:paraId="0CD831D2">
      <w:pPr>
        <w:spacing w:after="200"/>
        <w:jc w:val="center"/>
      </w:pPr>
      <w:r>
        <w:rPr>
          <w:rFonts w:ascii="Calibri" w:hAnsi="Calibri" w:eastAsia="Calibri"/>
          <w:b w:val="0"/>
          <w:color w:val="595959"/>
          <w:sz w:val="18"/>
        </w:rPr>
        <w:t>Figure 2  BLE parameter page — auto / powr / hbfq / gctw</w:t>
      </w:r>
    </w:p>
    <w:p w14:paraId="472BAEAC">
      <w:pPr>
        <w:spacing w:before="200" w:after="120"/>
      </w:pPr>
      <w:r>
        <w:rPr>
          <w:rFonts w:ascii="Calibri" w:hAnsi="Calibri" w:eastAsia="Calibri"/>
          <w:b/>
          <w:color w:val="1F497D"/>
          <w:sz w:val="28"/>
        </w:rPr>
        <w:t>3.1 auto — Charging Mode</w:t>
      </w:r>
    </w:p>
    <w:p w14:paraId="466EFF1F">
      <w:pPr>
        <w:spacing w:after="80" w:line="360" w:lineRule="auto"/>
        <w:ind w:firstLine="360"/>
      </w:pPr>
      <w:r>
        <w:rPr>
          <w:rFonts w:ascii="Calibri" w:hAnsi="Calibri" w:eastAsia="Calibri"/>
          <w:b w:val="0"/>
          <w:sz w:val="21"/>
        </w:rPr>
        <w:t>Perform a [Write] operation on the “auto” field:</w:t>
      </w:r>
    </w:p>
    <w:p w14:paraId="620CEA37">
      <w:pPr>
        <w:spacing w:after="80" w:line="360" w:lineRule="auto"/>
      </w:pPr>
      <w:r>
        <w:rPr>
          <w:rFonts w:ascii="Calibri" w:hAnsi="Calibri" w:eastAsia="Calibri"/>
          <w:b w:val="0"/>
          <w:sz w:val="21"/>
        </w:rPr>
        <w:t xml:space="preserve">  • Write 0 — Automatic charging mode: place the battery on the charging rack, connect the RCU's CAN bus, then install the battery; charging starts automatically, with no scan code or manual trigger required.</w:t>
      </w:r>
    </w:p>
    <w:p w14:paraId="45265732">
      <w:pPr>
        <w:spacing w:after="80" w:line="360" w:lineRule="auto"/>
      </w:pPr>
      <w:r>
        <w:rPr>
          <w:rFonts w:ascii="Calibri" w:hAnsi="Calibri" w:eastAsia="Calibri"/>
          <w:b w:val="0"/>
          <w:sz w:val="21"/>
        </w:rPr>
        <w:t xml:space="preserve">  • Write 1 — Scan-to-charge mode: each charging session must be triggered by scanning a QR code. Suitable for order-based billing, per-session charging, or scenarios that require user identification.</w:t>
      </w:r>
    </w:p>
    <w:p w14:paraId="08469E78">
      <w:pPr>
        <w:spacing w:before="200" w:after="120"/>
      </w:pPr>
      <w:r>
        <w:rPr>
          <w:rFonts w:ascii="Calibri" w:hAnsi="Calibri" w:eastAsia="Calibri"/>
          <w:b/>
          <w:color w:val="1F497D"/>
          <w:sz w:val="28"/>
        </w:rPr>
        <w:t>3.2 powr — Charging Power (Scan Mode)</w:t>
      </w:r>
    </w:p>
    <w:p w14:paraId="13FA03C8">
      <w:pPr>
        <w:spacing w:after="80" w:line="360" w:lineRule="auto"/>
        <w:ind w:firstLine="360"/>
      </w:pPr>
      <w:r>
        <w:rPr>
          <w:rFonts w:ascii="Calibri" w:hAnsi="Calibri" w:eastAsia="Calibri"/>
          <w:b w:val="0"/>
          <w:sz w:val="21"/>
        </w:rPr>
        <w:t>The “powr” field sets the cumulative charging energy limit in scan-to-charge mode, in units of 100 mW·H. During a scan-triggered charging session, charging stops automatically when the cumulative energy reaches the powr setting, or when the battery is detected as fully charged, preventing overcharging.</w:t>
      </w:r>
    </w:p>
    <w:p w14:paraId="135F7A1D">
      <w:pPr>
        <w:spacing w:after="80" w:line="360" w:lineRule="auto"/>
        <w:ind w:firstLine="360"/>
      </w:pPr>
      <w:r>
        <w:rPr>
          <w:rFonts w:ascii="Calibri" w:hAnsi="Calibri" w:eastAsia="Calibri"/>
          <w:b w:val="0"/>
          <w:color w:val="595959"/>
          <w:sz w:val="21"/>
        </w:rPr>
        <w:t>Note: when auto = 0 (automatic mode), powr generally does not take effect and charging stops according to the battery's own full-charge condition. powr only participates in the stop decision when auto = 1 (scan mode).</w:t>
      </w:r>
    </w:p>
    <w:p w14:paraId="5AC8DBAE"/>
    <w:p w14:paraId="06948867">
      <w:pPr>
        <w:spacing w:before="200" w:after="120"/>
      </w:pPr>
      <w:r>
        <w:rPr>
          <w:rFonts w:ascii="Calibri" w:hAnsi="Calibri" w:eastAsia="Calibri"/>
          <w:b/>
          <w:color w:val="1F497D"/>
          <w:sz w:val="28"/>
        </w:rPr>
        <w:t>4. Writing “time” — Charging Duration in Scan Mode (Figure 3)</w:t>
      </w:r>
    </w:p>
    <w:p w14:paraId="56B8C2A8">
      <w:pPr>
        <w:spacing w:before="120" w:after="120"/>
        <w:jc w:val="center"/>
      </w:pPr>
      <w:r>
        <w:drawing>
          <wp:inline distT="0" distB="0" distL="114300" distR="114300">
            <wp:extent cx="3959860" cy="857948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60000" cy="8580000"/>
                    </a:xfrm>
                    <a:prstGeom prst="rect">
                      <a:avLst/>
                    </a:prstGeom>
                  </pic:spPr>
                </pic:pic>
              </a:graphicData>
            </a:graphic>
          </wp:inline>
        </w:drawing>
      </w:r>
    </w:p>
    <w:p w14:paraId="02FA5AA1">
      <w:pPr>
        <w:spacing w:after="200"/>
        <w:jc w:val="center"/>
      </w:pPr>
      <w:r>
        <w:rPr>
          <w:rFonts w:ascii="Calibri" w:hAnsi="Calibri" w:eastAsia="Calibri"/>
          <w:b w:val="0"/>
          <w:color w:val="595959"/>
          <w:sz w:val="18"/>
        </w:rPr>
        <w:t>Figure 3  BLE parameter page — gstw / nqpn / time</w:t>
      </w:r>
    </w:p>
    <w:p w14:paraId="73B2EAD1">
      <w:pPr>
        <w:spacing w:before="200" w:after="120"/>
      </w:pPr>
      <w:r>
        <w:rPr>
          <w:rFonts w:ascii="Calibri" w:hAnsi="Calibri" w:eastAsia="Calibri"/>
          <w:b/>
          <w:color w:val="1F497D"/>
          <w:sz w:val="28"/>
        </w:rPr>
        <w:t>How to Operate</w:t>
      </w:r>
    </w:p>
    <w:p w14:paraId="5DFB71B8">
      <w:pPr>
        <w:spacing w:after="80" w:line="360" w:lineRule="auto"/>
        <w:ind w:firstLine="360"/>
      </w:pPr>
      <w:r>
        <w:rPr>
          <w:rFonts w:ascii="Calibri" w:hAnsi="Calibri" w:eastAsia="Calibri"/>
          <w:b w:val="0"/>
          <w:sz w:val="21"/>
        </w:rPr>
        <w:t>Perform a [Write] operation on the “time” field to set the cumulative charging time limit in scan-to-charge mode, in minutes. When the cumulative duration of a scan-triggered session reaches the time setting, charging stops automatically, protecting the battery and controlling the cost of each session.</w:t>
      </w:r>
    </w:p>
    <w:p w14:paraId="64E49BF6">
      <w:pPr>
        <w:spacing w:before="200" w:after="120"/>
      </w:pPr>
      <w:r>
        <w:rPr>
          <w:rFonts w:ascii="Calibri" w:hAnsi="Calibri" w:eastAsia="Calibri"/>
          <w:b/>
          <w:color w:val="1F497D"/>
          <w:sz w:val="28"/>
        </w:rPr>
        <w:t>Using time Together with powr</w:t>
      </w:r>
    </w:p>
    <w:p w14:paraId="0B111934">
      <w:pPr>
        <w:spacing w:after="80" w:line="360" w:lineRule="auto"/>
        <w:ind w:firstLine="360"/>
      </w:pPr>
      <w:r>
        <w:rPr>
          <w:rFonts w:ascii="Calibri" w:hAnsi="Calibri" w:eastAsia="Calibri"/>
          <w:b w:val="0"/>
          <w:sz w:val="21"/>
        </w:rPr>
        <w:t>In scan mode, time and powr are usually used together as two stop conditions:</w:t>
      </w:r>
    </w:p>
    <w:p w14:paraId="4DBD6A4A">
      <w:pPr>
        <w:spacing w:after="80" w:line="360" w:lineRule="auto"/>
      </w:pPr>
      <w:r>
        <w:rPr>
          <w:rFonts w:ascii="Calibri" w:hAnsi="Calibri" w:eastAsia="Calibri"/>
          <w:b w:val="0"/>
          <w:sz w:val="21"/>
        </w:rPr>
        <w:t xml:space="preserve">  ① Cumulative charging energy reaches the powr setting → charging stops;</w:t>
      </w:r>
    </w:p>
    <w:p w14:paraId="2EF50D58">
      <w:pPr>
        <w:spacing w:after="80" w:line="360" w:lineRule="auto"/>
      </w:pPr>
      <w:r>
        <w:rPr>
          <w:rFonts w:ascii="Calibri" w:hAnsi="Calibri" w:eastAsia="Calibri"/>
          <w:b w:val="0"/>
          <w:sz w:val="21"/>
        </w:rPr>
        <w:t xml:space="preserve">  ② Cumulative charging time reaches the time setting → charging stops;</w:t>
      </w:r>
    </w:p>
    <w:p w14:paraId="49D9B5F6">
      <w:pPr>
        <w:spacing w:after="80" w:line="360" w:lineRule="auto"/>
      </w:pPr>
      <w:r>
        <w:rPr>
          <w:rFonts w:ascii="Calibri" w:hAnsi="Calibri" w:eastAsia="Calibri"/>
          <w:b w:val="0"/>
          <w:sz w:val="21"/>
        </w:rPr>
        <w:t xml:space="preserve">  ③ The battery is detected as fully charged → charging stops.</w:t>
      </w:r>
    </w:p>
    <w:p w14:paraId="4AD2A2ED">
      <w:pPr>
        <w:spacing w:after="80" w:line="360" w:lineRule="auto"/>
        <w:ind w:firstLine="360"/>
      </w:pPr>
      <w:r>
        <w:rPr>
          <w:rFonts w:ascii="Calibri" w:hAnsi="Calibri" w:eastAsia="Calibri"/>
          <w:b w:val="0"/>
          <w:sz w:val="21"/>
        </w:rPr>
        <w:t>Charging ends as soon as any one of the above conditions is met. Used together, the three conditions provide flexible control over per-session energy, duration, and safety margins.</w:t>
      </w:r>
    </w:p>
    <w:p w14:paraId="5D0D9677"/>
    <w:p w14:paraId="47875DB8">
      <w:pPr>
        <w:spacing w:before="200" w:after="120"/>
      </w:pPr>
      <w:r>
        <w:rPr>
          <w:rFonts w:ascii="Calibri" w:hAnsi="Calibri" w:eastAsia="Calibri"/>
          <w:b/>
          <w:color w:val="1F497D"/>
          <w:sz w:val="28"/>
        </w:rPr>
        <w:t>5. Typical Configuration Examples</w:t>
      </w:r>
    </w:p>
    <w:p w14:paraId="6F7670F3">
      <w:pPr>
        <w:spacing w:after="80" w:line="360" w:lineRule="auto"/>
        <w:ind w:firstLine="360"/>
      </w:pPr>
      <w:r>
        <w:rPr>
          <w:rFonts w:ascii="Calibri" w:hAnsi="Calibri" w:eastAsia="Calibri"/>
          <w:b w:val="0"/>
          <w:sz w:val="21"/>
        </w:rPr>
        <w:t>The following examples show recommended configurations for an 8-bay charging cabinet under different operating scenarios: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gridCol w:w="1863"/>
        <w:gridCol w:w="1876"/>
        <w:gridCol w:w="1862"/>
        <w:gridCol w:w="2035"/>
      </w:tblGrid>
      <w:tr w14:paraId="59AC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97D"/>
          </w:tcPr>
          <w:p w14:paraId="40763D2A">
            <w:pPr>
              <w:spacing w:after="0" w:line="240" w:lineRule="auto"/>
              <w:jc w:val="center"/>
            </w:pPr>
            <w:r>
              <w:rPr>
                <w:rFonts w:ascii="Calibri" w:hAnsi="Calibri" w:eastAsia="Calibri"/>
                <w:b/>
                <w:color w:val="FFFFFF"/>
                <w:sz w:val="21"/>
              </w:rPr>
              <w:t>Scenario</w:t>
            </w:r>
          </w:p>
        </w:tc>
        <w:tc>
          <w:tcPr>
            <w:tcW w:w="2268" w:type="dxa"/>
            <w:shd w:val="clear" w:color="auto" w:fill="1F497D"/>
          </w:tcPr>
          <w:p w14:paraId="4A9F4258">
            <w:pPr>
              <w:spacing w:after="0" w:line="240" w:lineRule="auto"/>
              <w:jc w:val="center"/>
            </w:pPr>
            <w:r>
              <w:rPr>
                <w:rFonts w:ascii="Calibri" w:hAnsi="Calibri" w:eastAsia="Calibri"/>
                <w:b/>
                <w:color w:val="FFFFFF"/>
                <w:sz w:val="21"/>
              </w:rPr>
              <w:t>auto</w:t>
            </w:r>
          </w:p>
        </w:tc>
        <w:tc>
          <w:tcPr>
            <w:tcW w:w="2268" w:type="dxa"/>
            <w:shd w:val="clear" w:color="auto" w:fill="1F497D"/>
          </w:tcPr>
          <w:p w14:paraId="54804824">
            <w:pPr>
              <w:spacing w:after="0" w:line="240" w:lineRule="auto"/>
              <w:jc w:val="center"/>
            </w:pPr>
            <w:r>
              <w:rPr>
                <w:rFonts w:ascii="Calibri" w:hAnsi="Calibri" w:eastAsia="Calibri"/>
                <w:b/>
                <w:color w:val="FFFFFF"/>
                <w:sz w:val="21"/>
              </w:rPr>
              <w:t>powr</w:t>
            </w:r>
          </w:p>
        </w:tc>
        <w:tc>
          <w:tcPr>
            <w:tcW w:w="2268" w:type="dxa"/>
            <w:shd w:val="clear" w:color="auto" w:fill="1F497D"/>
          </w:tcPr>
          <w:p w14:paraId="31AAA9BD">
            <w:pPr>
              <w:spacing w:after="0" w:line="240" w:lineRule="auto"/>
              <w:jc w:val="center"/>
            </w:pPr>
            <w:r>
              <w:rPr>
                <w:rFonts w:ascii="Calibri" w:hAnsi="Calibri" w:eastAsia="Calibri"/>
                <w:b/>
                <w:color w:val="FFFFFF"/>
                <w:sz w:val="21"/>
              </w:rPr>
              <w:t>time</w:t>
            </w:r>
          </w:p>
        </w:tc>
        <w:tc>
          <w:tcPr>
            <w:tcW w:w="2268" w:type="dxa"/>
            <w:shd w:val="clear" w:color="auto" w:fill="1F497D"/>
          </w:tcPr>
          <w:p w14:paraId="71BE0AF7">
            <w:pPr>
              <w:spacing w:after="0" w:line="240" w:lineRule="auto"/>
              <w:jc w:val="center"/>
            </w:pPr>
            <w:r>
              <w:rPr>
                <w:rFonts w:ascii="Calibri" w:hAnsi="Calibri" w:eastAsia="Calibri"/>
                <w:b/>
                <w:color w:val="FFFFFF"/>
                <w:sz w:val="21"/>
              </w:rPr>
              <w:t>Remarks</w:t>
            </w:r>
          </w:p>
        </w:tc>
      </w:tr>
      <w:tr w14:paraId="6742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791E159C">
            <w:pPr>
              <w:spacing w:after="0" w:line="240" w:lineRule="auto"/>
            </w:pPr>
            <w:r>
              <w:rPr>
                <w:rFonts w:ascii="Calibri" w:hAnsi="Calibri" w:eastAsia="Calibri"/>
                <w:b w:val="0"/>
                <w:sz w:val="20"/>
              </w:rPr>
              <w:t>Automatic charging (maintenance/debugging)</w:t>
            </w:r>
          </w:p>
        </w:tc>
        <w:tc>
          <w:tcPr>
            <w:tcW w:w="2268" w:type="dxa"/>
            <w:shd w:val="clear" w:color="auto" w:fill="FFFFFF"/>
          </w:tcPr>
          <w:p w14:paraId="17E1E444">
            <w:pPr>
              <w:spacing w:after="0" w:line="240" w:lineRule="auto"/>
            </w:pPr>
            <w:r>
              <w:rPr>
                <w:rFonts w:ascii="Calibri" w:hAnsi="Calibri" w:eastAsia="Calibri"/>
                <w:b w:val="0"/>
                <w:sz w:val="20"/>
              </w:rPr>
              <w:t>0</w:t>
            </w:r>
          </w:p>
        </w:tc>
        <w:tc>
          <w:tcPr>
            <w:tcW w:w="2268" w:type="dxa"/>
            <w:shd w:val="clear" w:color="auto" w:fill="FFFFFF"/>
          </w:tcPr>
          <w:p w14:paraId="161B8C9E">
            <w:pPr>
              <w:spacing w:after="0" w:line="240" w:lineRule="auto"/>
            </w:pPr>
            <w:r>
              <w:rPr>
                <w:rFonts w:ascii="Calibri" w:hAnsi="Calibri" w:eastAsia="Calibri"/>
                <w:b w:val="0"/>
                <w:sz w:val="20"/>
              </w:rPr>
              <w:t>—</w:t>
            </w:r>
          </w:p>
        </w:tc>
        <w:tc>
          <w:tcPr>
            <w:tcW w:w="2268" w:type="dxa"/>
            <w:shd w:val="clear" w:color="auto" w:fill="FFFFFF"/>
          </w:tcPr>
          <w:p w14:paraId="06832579">
            <w:pPr>
              <w:spacing w:after="0" w:line="240" w:lineRule="auto"/>
            </w:pPr>
            <w:r>
              <w:rPr>
                <w:rFonts w:ascii="Calibri" w:hAnsi="Calibri" w:eastAsia="Calibri"/>
                <w:b w:val="0"/>
                <w:sz w:val="20"/>
              </w:rPr>
              <w:t>—</w:t>
            </w:r>
          </w:p>
        </w:tc>
        <w:tc>
          <w:tcPr>
            <w:tcW w:w="2268" w:type="dxa"/>
            <w:shd w:val="clear" w:color="auto" w:fill="FFFFFF"/>
          </w:tcPr>
          <w:p w14:paraId="556097FD">
            <w:pPr>
              <w:spacing w:after="0" w:line="240" w:lineRule="auto"/>
            </w:pPr>
            <w:r>
              <w:rPr>
                <w:rFonts w:ascii="Calibri" w:hAnsi="Calibri" w:eastAsia="Calibri"/>
                <w:b w:val="0"/>
                <w:sz w:val="20"/>
              </w:rPr>
              <w:t>No scan required; charging starts on insertion and stops when full.</w:t>
            </w:r>
          </w:p>
        </w:tc>
      </w:tr>
      <w:tr w14:paraId="0996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BB41F04">
            <w:pPr>
              <w:spacing w:after="0" w:line="240" w:lineRule="auto"/>
            </w:pPr>
            <w:r>
              <w:rPr>
                <w:rFonts w:ascii="Calibri" w:hAnsi="Calibri" w:eastAsia="Calibri"/>
                <w:b w:val="0"/>
                <w:sz w:val="20"/>
              </w:rPr>
              <w:t>Scan-to-charge · energy-based billing</w:t>
            </w:r>
          </w:p>
        </w:tc>
        <w:tc>
          <w:tcPr>
            <w:tcW w:w="2268" w:type="dxa"/>
            <w:shd w:val="clear" w:color="auto" w:fill="F2F2F2"/>
          </w:tcPr>
          <w:p w14:paraId="7FD8BD51">
            <w:pPr>
              <w:spacing w:after="0" w:line="240" w:lineRule="auto"/>
            </w:pPr>
            <w:r>
              <w:rPr>
                <w:rFonts w:ascii="Calibri" w:hAnsi="Calibri" w:eastAsia="Calibri"/>
                <w:b w:val="0"/>
                <w:sz w:val="20"/>
              </w:rPr>
              <w:t>1</w:t>
            </w:r>
          </w:p>
        </w:tc>
        <w:tc>
          <w:tcPr>
            <w:tcW w:w="2268" w:type="dxa"/>
            <w:shd w:val="clear" w:color="auto" w:fill="F2F2F2"/>
          </w:tcPr>
          <w:p w14:paraId="69212B9C">
            <w:pPr>
              <w:spacing w:after="0" w:line="240" w:lineRule="auto"/>
            </w:pPr>
            <w:r>
              <w:rPr>
                <w:rFonts w:ascii="Calibri" w:hAnsi="Calibri" w:eastAsia="Calibri"/>
                <w:b w:val="0"/>
                <w:sz w:val="20"/>
              </w:rPr>
              <w:t>5000</w:t>
            </w:r>
          </w:p>
        </w:tc>
        <w:tc>
          <w:tcPr>
            <w:tcW w:w="2268" w:type="dxa"/>
            <w:shd w:val="clear" w:color="auto" w:fill="F2F2F2"/>
          </w:tcPr>
          <w:p w14:paraId="2AF46903">
            <w:pPr>
              <w:spacing w:after="0" w:line="240" w:lineRule="auto"/>
            </w:pPr>
            <w:r>
              <w:rPr>
                <w:rFonts w:ascii="Calibri" w:hAnsi="Calibri" w:eastAsia="Calibri"/>
                <w:b w:val="0"/>
                <w:sz w:val="20"/>
              </w:rPr>
              <w:t>—</w:t>
            </w:r>
          </w:p>
        </w:tc>
        <w:tc>
          <w:tcPr>
            <w:tcW w:w="2268" w:type="dxa"/>
            <w:shd w:val="clear" w:color="auto" w:fill="F2F2F2"/>
          </w:tcPr>
          <w:p w14:paraId="7D93BB70">
            <w:pPr>
              <w:spacing w:after="0" w:line="240" w:lineRule="auto"/>
            </w:pPr>
            <w:r>
              <w:rPr>
                <w:rFonts w:ascii="Calibri" w:hAnsi="Calibri" w:eastAsia="Calibri"/>
                <w:b w:val="0"/>
                <w:sz w:val="20"/>
              </w:rPr>
              <w:t>powr = 5000 (i.e. 500 × 100 mW·H); charging stops when reached.</w:t>
            </w:r>
          </w:p>
        </w:tc>
      </w:tr>
      <w:tr w14:paraId="3461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56000582">
            <w:pPr>
              <w:spacing w:after="0" w:line="240" w:lineRule="auto"/>
            </w:pPr>
            <w:r>
              <w:rPr>
                <w:rFonts w:ascii="Calibri" w:hAnsi="Calibri" w:eastAsia="Calibri"/>
                <w:b w:val="0"/>
                <w:sz w:val="20"/>
              </w:rPr>
              <w:t>Scan-to-charge · time-based billing</w:t>
            </w:r>
          </w:p>
        </w:tc>
        <w:tc>
          <w:tcPr>
            <w:tcW w:w="2268" w:type="dxa"/>
            <w:shd w:val="clear" w:color="auto" w:fill="FFFFFF"/>
          </w:tcPr>
          <w:p w14:paraId="545D715A">
            <w:pPr>
              <w:spacing w:after="0" w:line="240" w:lineRule="auto"/>
            </w:pPr>
            <w:r>
              <w:rPr>
                <w:rFonts w:ascii="Calibri" w:hAnsi="Calibri" w:eastAsia="Calibri"/>
                <w:b w:val="0"/>
                <w:sz w:val="20"/>
              </w:rPr>
              <w:t>1</w:t>
            </w:r>
          </w:p>
        </w:tc>
        <w:tc>
          <w:tcPr>
            <w:tcW w:w="2268" w:type="dxa"/>
            <w:shd w:val="clear" w:color="auto" w:fill="FFFFFF"/>
          </w:tcPr>
          <w:p w14:paraId="6FF6A43C">
            <w:pPr>
              <w:spacing w:after="0" w:line="240" w:lineRule="auto"/>
            </w:pPr>
            <w:r>
              <w:rPr>
                <w:rFonts w:ascii="Calibri" w:hAnsi="Calibri" w:eastAsia="Calibri"/>
                <w:b w:val="0"/>
                <w:sz w:val="20"/>
              </w:rPr>
              <w:t>—</w:t>
            </w:r>
          </w:p>
        </w:tc>
        <w:tc>
          <w:tcPr>
            <w:tcW w:w="2268" w:type="dxa"/>
            <w:shd w:val="clear" w:color="auto" w:fill="FFFFFF"/>
          </w:tcPr>
          <w:p w14:paraId="5B58691B">
            <w:pPr>
              <w:spacing w:after="0" w:line="240" w:lineRule="auto"/>
            </w:pPr>
            <w:r>
              <w:rPr>
                <w:rFonts w:ascii="Calibri" w:hAnsi="Calibri" w:eastAsia="Calibri"/>
                <w:b w:val="0"/>
                <w:sz w:val="20"/>
              </w:rPr>
              <w:t>120</w:t>
            </w:r>
          </w:p>
        </w:tc>
        <w:tc>
          <w:tcPr>
            <w:tcW w:w="2268" w:type="dxa"/>
            <w:shd w:val="clear" w:color="auto" w:fill="FFFFFF"/>
          </w:tcPr>
          <w:p w14:paraId="5800A1B3">
            <w:pPr>
              <w:spacing w:after="0" w:line="240" w:lineRule="auto"/>
            </w:pPr>
            <w:r>
              <w:rPr>
                <w:rFonts w:ascii="Calibri" w:hAnsi="Calibri" w:eastAsia="Calibri"/>
                <w:b w:val="0"/>
                <w:sz w:val="20"/>
              </w:rPr>
              <w:t>time = 120 minutes; charging stops automatically after 2 hours.</w:t>
            </w:r>
          </w:p>
        </w:tc>
      </w:tr>
      <w:tr w14:paraId="0DDA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B106C88">
            <w:pPr>
              <w:spacing w:after="0" w:line="240" w:lineRule="auto"/>
            </w:pPr>
            <w:r>
              <w:rPr>
                <w:rFonts w:ascii="Calibri" w:hAnsi="Calibri" w:eastAsia="Calibri"/>
                <w:b w:val="0"/>
                <w:sz w:val="20"/>
              </w:rPr>
              <w:t>Scan-to-charge · dual protection</w:t>
            </w:r>
          </w:p>
        </w:tc>
        <w:tc>
          <w:tcPr>
            <w:tcW w:w="2268" w:type="dxa"/>
            <w:shd w:val="clear" w:color="auto" w:fill="F2F2F2"/>
          </w:tcPr>
          <w:p w14:paraId="594FAC3C">
            <w:pPr>
              <w:spacing w:after="0" w:line="240" w:lineRule="auto"/>
            </w:pPr>
            <w:r>
              <w:rPr>
                <w:rFonts w:ascii="Calibri" w:hAnsi="Calibri" w:eastAsia="Calibri"/>
                <w:b w:val="0"/>
                <w:sz w:val="20"/>
              </w:rPr>
              <w:t>1</w:t>
            </w:r>
          </w:p>
        </w:tc>
        <w:tc>
          <w:tcPr>
            <w:tcW w:w="2268" w:type="dxa"/>
            <w:shd w:val="clear" w:color="auto" w:fill="F2F2F2"/>
          </w:tcPr>
          <w:p w14:paraId="71C82754">
            <w:pPr>
              <w:spacing w:after="0" w:line="240" w:lineRule="auto"/>
            </w:pPr>
            <w:r>
              <w:rPr>
                <w:rFonts w:ascii="Calibri" w:hAnsi="Calibri" w:eastAsia="Calibri"/>
                <w:b w:val="0"/>
                <w:sz w:val="20"/>
              </w:rPr>
              <w:t>5000</w:t>
            </w:r>
          </w:p>
        </w:tc>
        <w:tc>
          <w:tcPr>
            <w:tcW w:w="2268" w:type="dxa"/>
            <w:shd w:val="clear" w:color="auto" w:fill="F2F2F2"/>
          </w:tcPr>
          <w:p w14:paraId="5F885005">
            <w:pPr>
              <w:spacing w:after="0" w:line="240" w:lineRule="auto"/>
            </w:pPr>
            <w:r>
              <w:rPr>
                <w:rFonts w:ascii="Calibri" w:hAnsi="Calibri" w:eastAsia="Calibri"/>
                <w:b w:val="0"/>
                <w:sz w:val="20"/>
              </w:rPr>
              <w:t>120</w:t>
            </w:r>
          </w:p>
        </w:tc>
        <w:tc>
          <w:tcPr>
            <w:tcW w:w="2268" w:type="dxa"/>
            <w:shd w:val="clear" w:color="auto" w:fill="F2F2F2"/>
          </w:tcPr>
          <w:p w14:paraId="1CAA5ADB">
            <w:pPr>
              <w:spacing w:after="0" w:line="240" w:lineRule="auto"/>
            </w:pPr>
            <w:r>
              <w:rPr>
                <w:rFonts w:ascii="Calibri" w:hAnsi="Calibri" w:eastAsia="Calibri"/>
                <w:b w:val="0"/>
                <w:sz w:val="20"/>
              </w:rPr>
              <w:t>Charging stops as soon as either condition is met — the safest option.</w:t>
            </w:r>
          </w:p>
        </w:tc>
      </w:tr>
    </w:tbl>
    <w:p w14:paraId="7C7E4E63"/>
    <w:p w14:paraId="78F4C225">
      <w:pPr>
        <w:spacing w:before="200" w:after="120"/>
      </w:pPr>
      <w:r>
        <w:rPr>
          <w:rFonts w:ascii="Calibri" w:hAnsi="Calibri" w:eastAsia="Calibri"/>
          <w:b/>
          <w:color w:val="1F497D"/>
          <w:sz w:val="28"/>
        </w:rPr>
        <w:t>6. Precautions</w:t>
      </w:r>
    </w:p>
    <w:p w14:paraId="2AE5422A">
      <w:pPr>
        <w:spacing w:after="80" w:line="360" w:lineRule="auto"/>
      </w:pPr>
      <w:r>
        <w:rPr>
          <w:rFonts w:ascii="Calibri" w:hAnsi="Calibri" w:eastAsia="Calibri"/>
          <w:b w:val="0"/>
          <w:sz w:val="21"/>
        </w:rPr>
        <w:t xml:space="preserve">  1. Before writing any parameter, confirm that the BLE connection is established (the APP header shows “Shenzhen-Service”);</w:t>
      </w:r>
    </w:p>
    <w:p w14:paraId="4813EAA6">
      <w:pPr>
        <w:spacing w:after="80" w:line="360" w:lineRule="auto"/>
      </w:pPr>
      <w:r>
        <w:rPr>
          <w:rFonts w:ascii="Calibri" w:hAnsi="Calibri" w:eastAsia="Calibri"/>
          <w:b w:val="0"/>
          <w:sz w:val="21"/>
        </w:rPr>
        <w:t xml:space="preserve">  2. The addr value must not exceed the actual number of bays N, otherwise invalid data may be read;</w:t>
      </w:r>
    </w:p>
    <w:p w14:paraId="46EBE029">
      <w:pPr>
        <w:spacing w:after="80" w:line="360" w:lineRule="auto"/>
      </w:pPr>
      <w:r>
        <w:rPr>
          <w:rFonts w:ascii="Calibri" w:hAnsi="Calibri" w:eastAsia="Calibri"/>
          <w:b w:val="0"/>
          <w:sz w:val="21"/>
        </w:rPr>
        <w:t xml:space="preserve">  3. After switching auto, wait 2–3 seconds before triggering a charge to ensure the new mode has taken effect;</w:t>
      </w:r>
    </w:p>
    <w:p w14:paraId="6E38BD83">
      <w:pPr>
        <w:spacing w:after="80" w:line="360" w:lineRule="auto"/>
      </w:pPr>
      <w:r>
        <w:rPr>
          <w:rFonts w:ascii="Calibri" w:hAnsi="Calibri" w:eastAsia="Calibri"/>
          <w:b w:val="0"/>
          <w:sz w:val="21"/>
        </w:rPr>
        <w:t xml:space="preserve">  4. powr is expressed in units of 100 mW·H — for example, 1000 = 100 W·H;</w:t>
      </w:r>
    </w:p>
    <w:p w14:paraId="612B49D9">
      <w:pPr>
        <w:spacing w:after="80" w:line="360" w:lineRule="auto"/>
      </w:pPr>
      <w:r>
        <w:rPr>
          <w:rFonts w:ascii="Calibri" w:hAnsi="Calibri" w:eastAsia="Calibri"/>
          <w:b w:val="0"/>
          <w:sz w:val="21"/>
        </w:rPr>
        <w:t xml:space="preserve">  5. time is expressed in minutes; set it reasonably according to battery capacity and business needs to avoid durations that are too short or too long;</w:t>
      </w:r>
    </w:p>
    <w:p w14:paraId="764EA524">
      <w:pPr>
        <w:spacing w:after="80" w:line="360" w:lineRule="auto"/>
        <w:ind w:firstLine="360"/>
      </w:pPr>
      <w:bookmarkStart w:id="0" w:name="_GoBack"/>
      <w:bookmarkEnd w:id="0"/>
      <w:r>
        <w:rPr>
          <w:rFonts w:ascii="Calibri" w:hAnsi="Calibri" w:eastAsia="Calibri"/>
          <w:b w:val="0"/>
          <w:color w:val="7F7F7F"/>
          <w:sz w:val="21"/>
        </w:rPr>
        <w:t>— End of Document —</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87BE8"/>
    <w:rsid w:val="2E966270"/>
    <w:rsid w:val="46A2233C"/>
    <w:rsid w:val="53FA17CC"/>
    <w:rsid w:val="604C4EBE"/>
    <w:rsid w:val="799B65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1119</Words>
  <Characters>5608</Characters>
  <Lines>0</Lines>
  <Paragraphs>0</Paragraphs>
  <TotalTime>0</TotalTime>
  <ScaleCrop>false</ScaleCrop>
  <LinksUpToDate>false</LinksUpToDate>
  <CharactersWithSpaces>6602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WPS_1762739689</cp:lastModifiedBy>
  <dcterms:modified xsi:type="dcterms:W3CDTF">2026-09-03T09:02:46Z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eyJoZGlkIjoiMzNlNTBmYzc5ZDcwZGNmYTE1ZWU2ZmJhNWFhMzJmZGIiLCJ1c2VySWQiOiIxNzY4NzkwNzI0In0=</vt:lpwstr>
  </property>
  <property fmtid="{D5CDD505-2E9C-101B-9397-08002B2CF9AE}" pid="3" name="KSOProductBuildVer">
    <vt:lpwstr>2052-12.1.0.28505</vt:lpwstr>
  </property>
  <property fmtid="{D5CDD505-2E9C-101B-9397-08002B2CF9AE}" pid="4" name="ICV">
    <vt:lpwstr>8F0DF697BA074CAFBD9976A9D59D7077_12</vt:lpwstr>
  </property>
</Properties>
</file>