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1E1E73">
      <w:pPr>
        <w:spacing w:before="0" w:after="60"/>
        <w:jc w:val="center"/>
      </w:pPr>
      <w:r>
        <w:rPr>
          <w:b/>
          <w:color w:val="1F3864"/>
          <w:sz w:val="34"/>
          <w:szCs w:val="34"/>
        </w:rPr>
        <w:t>充电与功率分配控制状态机</w:t>
      </w:r>
    </w:p>
    <w:p w14:paraId="72122781">
      <w:pPr>
        <w:spacing w:before="0" w:after="160"/>
        <w:jc w:val="center"/>
      </w:pPr>
      <w:r>
        <w:rPr>
          <w:color w:val="595959"/>
          <w:sz w:val="22"/>
          <w:szCs w:val="22"/>
        </w:rPr>
        <w:t>基于 CanProc / vcu_canbox_cur / CanRecoveryProc 的代码逆向建模</w:t>
      </w:r>
    </w:p>
    <w:p w14:paraId="30C57721">
      <w:pPr>
        <w:spacing w:before="200" w:after="120"/>
      </w:pPr>
      <w:r>
        <w:rPr>
          <w:b/>
          <w:color w:val="1F3864"/>
          <w:sz w:val="30"/>
          <w:szCs w:val="30"/>
        </w:rPr>
        <w:t>一、状态机概述</w:t>
      </w:r>
    </w:p>
    <w:p w14:paraId="353687F8">
      <w:pPr>
        <w:spacing w:before="80" w:after="80"/>
      </w:pPr>
      <w:r>
        <w:rPr>
          <w:sz w:val="22"/>
          <w:szCs w:val="22"/>
        </w:rPr>
        <w:t>充电站主控在每个调度周期调用 CanProc()（can.c）。该函数并非线性流程，而是一个由定时器驱动的周期性控制状态机：在“总线在线监测”守卫下，不断完成“设备数据采集 → 充电使能广播 → 总功率测算 → 功率分配决策 → 逐设备下发”等动作；同时监测子设备的在线/失联状态。CAN 总线离线（BUS-OFF）恢复作为并发守卫子状态机，离线期间禁止一切下发。该状态机与上述“功率动态分配算法”紧密衔接——功率分配决策与逐设备下发正是功率分配算法的载体。</w:t>
      </w:r>
    </w:p>
    <w:p w14:paraId="648FC473">
      <w:pPr>
        <w:spacing w:before="200" w:after="120"/>
      </w:pPr>
      <w:r>
        <w:rPr>
          <w:b/>
          <w:color w:val="1F3864"/>
          <w:sz w:val="30"/>
          <w:szCs w:val="30"/>
        </w:rPr>
        <w:t>二、状态定义</w:t>
      </w:r>
    </w:p>
    <w:tbl>
      <w:tblPr>
        <w:tblStyle w:val="2"/>
        <w:tblW w:w="9360" w:type="dxa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6000"/>
        <w:gridCol w:w="1860"/>
      </w:tblGrid>
      <w:tr w14:paraId="607DAC78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4009DF">
            <w:r>
              <w:rPr>
                <w:b/>
                <w:sz w:val="18"/>
                <w:szCs w:val="18"/>
              </w:rPr>
              <w:t>状态</w:t>
            </w:r>
          </w:p>
        </w:tc>
        <w:tc>
          <w:tcPr>
            <w:tcW w:w="6000" w:type="dxa"/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930124">
            <w:r>
              <w:rPr>
                <w:b/>
                <w:sz w:val="18"/>
                <w:szCs w:val="18"/>
              </w:rPr>
              <w:t>说明</w:t>
            </w:r>
          </w:p>
        </w:tc>
        <w:tc>
          <w:tcPr>
            <w:tcW w:w="1860" w:type="dxa"/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AEFF17">
            <w:r>
              <w:rPr>
                <w:b/>
                <w:sz w:val="18"/>
                <w:szCs w:val="18"/>
              </w:rPr>
              <w:t>代码位置</w:t>
            </w:r>
          </w:p>
        </w:tc>
      </w:tr>
      <w:tr w14:paraId="24724F49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1FB1E2">
            <w:r>
              <w:rPr>
                <w:sz w:val="18"/>
                <w:szCs w:val="18"/>
              </w:rPr>
              <w:t>S0 初始化</w:t>
            </w:r>
          </w:p>
        </w:tc>
        <w:tc>
          <w:tcPr>
            <w:tcW w:w="6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AEE49C">
            <w:r>
              <w:rPr>
                <w:sz w:val="18"/>
                <w:szCs w:val="18"/>
              </w:rPr>
              <w:t>上电/复位后调用 CanRamInit() 清零各 BMS/AP/电量结构体与定时器，进入运行。</w:t>
            </w:r>
          </w:p>
        </w:tc>
        <w:tc>
          <w:tcPr>
            <w:tcW w:w="18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028438">
            <w:r>
              <w:rPr>
                <w:sz w:val="18"/>
                <w:szCs w:val="18"/>
              </w:rPr>
              <w:t>can.c CanRamInit / 启动</w:t>
            </w:r>
          </w:p>
        </w:tc>
      </w:tr>
      <w:tr w14:paraId="49D031EF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8FBD3F">
            <w:r>
              <w:rPr>
                <w:sz w:val="18"/>
                <w:szCs w:val="18"/>
              </w:rPr>
              <w:t>S1 总线监测</w:t>
            </w:r>
          </w:p>
        </w:tc>
        <w:tc>
          <w:tcPr>
            <w:tcW w:w="60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DA7039">
            <w:r>
              <w:rPr>
                <w:sz w:val="18"/>
                <w:szCs w:val="18"/>
              </w:rPr>
              <w:t>CanRecoveryProc()：检测 BUS-OFF 与漏应答(MISS_ACK)，维护 BUSOFF_NONE/SLOW/QUICK 与 MISS_ACK_* 子状态，离线时 tx_disable=TRUE。</w:t>
            </w:r>
          </w:p>
        </w:tc>
        <w:tc>
          <w:tcPr>
            <w:tcW w:w="186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BD64D9">
            <w:r>
              <w:rPr>
                <w:sz w:val="18"/>
                <w:szCs w:val="18"/>
              </w:rPr>
              <w:t>can.c:81-182</w:t>
            </w:r>
          </w:p>
        </w:tc>
      </w:tr>
      <w:tr w14:paraId="10529052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105FAC">
            <w:r>
              <w:rPr>
                <w:sz w:val="18"/>
                <w:szCs w:val="18"/>
              </w:rPr>
              <w:t>S2 数据采集</w:t>
            </w:r>
          </w:p>
        </w:tc>
        <w:tc>
          <w:tcPr>
            <w:tcW w:w="6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51C35B">
            <w:r>
              <w:rPr>
                <w:sz w:val="18"/>
                <w:szCs w:val="18"/>
              </w:rPr>
              <w:t>解析 BMS/AP 报文，刷新 g_SlotBmsInfor[i].Soc、ChargeCurrent 与 g_BmsSysAP[i] 额定值；统计在线数 bat_act_number 与最大 SOC 设备 max_soc_numb。</w:t>
            </w:r>
          </w:p>
        </w:tc>
        <w:tc>
          <w:tcPr>
            <w:tcW w:w="18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0C43D0">
            <w:r>
              <w:rPr>
                <w:sz w:val="18"/>
                <w:szCs w:val="18"/>
              </w:rPr>
              <w:t>can.c:617-634</w:t>
            </w:r>
          </w:p>
        </w:tc>
      </w:tr>
      <w:tr w14:paraId="65374166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74F29D">
            <w:r>
              <w:rPr>
                <w:sz w:val="18"/>
                <w:szCs w:val="18"/>
              </w:rPr>
              <w:t>S3 使能广播</w:t>
            </w:r>
          </w:p>
        </w:tc>
        <w:tc>
          <w:tcPr>
            <w:tcW w:w="60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81762B">
            <w:r>
              <w:rPr>
                <w:sz w:val="18"/>
                <w:szCs w:val="18"/>
              </w:rPr>
              <w:t>每 10s(t200ms≥1</w:t>
            </w:r>
            <w:bookmarkStart w:id="0" w:name="_GoBack"/>
            <w:bookmarkEnd w:id="0"/>
            <w:r>
              <w:rPr>
                <w:sz w:val="18"/>
                <w:szCs w:val="18"/>
              </w:rPr>
              <w:t>000) 调 vcu_canbox_mode() 向 0x1806E640 广播：PaygGetPayState() 决定 TargetChargeVoltageH(0xff=暂停)，power&gt;1.0 置 ChargeEnable=0x55。</w:t>
            </w:r>
          </w:p>
        </w:tc>
        <w:tc>
          <w:tcPr>
            <w:tcW w:w="186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35F263">
            <w:r>
              <w:rPr>
                <w:sz w:val="18"/>
                <w:szCs w:val="18"/>
              </w:rPr>
              <w:t>can.c:702-706 / 507-542</w:t>
            </w:r>
          </w:p>
        </w:tc>
      </w:tr>
      <w:tr w14:paraId="192723C1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92C3EF">
            <w:r>
              <w:rPr>
                <w:sz w:val="18"/>
                <w:szCs w:val="18"/>
              </w:rPr>
              <w:t>S4 总功率测算</w:t>
            </w:r>
          </w:p>
        </w:tc>
        <w:tc>
          <w:tcPr>
            <w:tcW w:w="6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10BBFC">
            <w:r>
              <w:rPr>
                <w:sz w:val="18"/>
                <w:szCs w:val="18"/>
              </w:rPr>
              <w:t>每 5s(t500ms≥5000) 累加 Σ(ap_vol[i]×ap_cur[i])，得到 total_power_all = 总和/1e7。</w:t>
            </w:r>
          </w:p>
        </w:tc>
        <w:tc>
          <w:tcPr>
            <w:tcW w:w="18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34D2FD">
            <w:r>
              <w:rPr>
                <w:sz w:val="18"/>
                <w:szCs w:val="18"/>
              </w:rPr>
              <w:t>can.c:710-723</w:t>
            </w:r>
          </w:p>
        </w:tc>
      </w:tr>
      <w:tr w14:paraId="1B9D5895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BA8A63">
            <w:r>
              <w:rPr>
                <w:sz w:val="18"/>
                <w:szCs w:val="18"/>
              </w:rPr>
              <w:t>S5 分配决策</w:t>
            </w:r>
          </w:p>
        </w:tc>
        <w:tc>
          <w:tcPr>
            <w:tcW w:w="60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012A67">
            <w:r>
              <w:rPr>
                <w:sz w:val="18"/>
                <w:szCs w:val="18"/>
              </w:rPr>
              <w:t>读取设置功率 power，与 total_power_all 比较：≥ 则全额定；&lt; 则按 SOC 从大到小动态分配剩余功率。</w:t>
            </w:r>
          </w:p>
        </w:tc>
        <w:tc>
          <w:tcPr>
            <w:tcW w:w="186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D401B5">
            <w:r>
              <w:rPr>
                <w:sz w:val="18"/>
                <w:szCs w:val="18"/>
              </w:rPr>
              <w:t>can.c vcu_canbox_cur:552</w:t>
            </w:r>
          </w:p>
        </w:tc>
      </w:tr>
      <w:tr w14:paraId="3001DB17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019B4B">
            <w:r>
              <w:rPr>
                <w:sz w:val="18"/>
                <w:szCs w:val="18"/>
              </w:rPr>
              <w:t>S6 逐设备下发</w:t>
            </w:r>
          </w:p>
        </w:tc>
        <w:tc>
          <w:tcPr>
            <w:tcW w:w="6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D51D81">
            <w:r>
              <w:rPr>
                <w:sz w:val="18"/>
                <w:szCs w:val="18"/>
              </w:rPr>
              <w:t>遍历 i=0…CHARGE_NUM-1，candi=0x1803F000+i；电压=额定、电流=分配/额定，ChargeEnable=(power&gt;1.0 且电流&gt;0)?0x55:0，CanTransmit 发送 8 字节。</w:t>
            </w:r>
          </w:p>
        </w:tc>
        <w:tc>
          <w:tcPr>
            <w:tcW w:w="18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AC3627">
            <w:r>
              <w:rPr>
                <w:sz w:val="18"/>
                <w:szCs w:val="18"/>
              </w:rPr>
              <w:t>can.c vcu_canbox_cur:629-644</w:t>
            </w:r>
          </w:p>
        </w:tc>
      </w:tr>
      <w:tr w14:paraId="45BB56ED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DB41DE">
            <w:r>
              <w:rPr>
                <w:sz w:val="18"/>
                <w:szCs w:val="18"/>
              </w:rPr>
              <w:t>S7 失联处理</w:t>
            </w:r>
          </w:p>
        </w:tc>
        <w:tc>
          <w:tcPr>
            <w:tcW w:w="60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3FDC8E">
            <w:r>
              <w:rPr>
                <w:sz w:val="18"/>
                <w:szCs w:val="18"/>
              </w:rPr>
              <w:t>g_BmsLostTimeCount[i]≥6 的子设备判定离线，清零其 SN 与 g_SlotBmsInfor[i]，退出本轮分配。</w:t>
            </w:r>
          </w:p>
        </w:tc>
        <w:tc>
          <w:tcPr>
            <w:tcW w:w="186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EADC72">
            <w:r>
              <w:rPr>
                <w:sz w:val="18"/>
                <w:szCs w:val="18"/>
              </w:rPr>
              <w:t xml:space="preserve">can.c:1393- </w:t>
            </w:r>
          </w:p>
        </w:tc>
      </w:tr>
    </w:tbl>
    <w:p w14:paraId="4E127B7D">
      <w:pPr>
        <w:spacing w:before="200" w:after="120"/>
      </w:pPr>
      <w:r>
        <w:rPr>
          <w:b/>
          <w:color w:val="1F3864"/>
          <w:sz w:val="30"/>
          <w:szCs w:val="30"/>
        </w:rPr>
        <w:t>三、状态转移表</w:t>
      </w:r>
    </w:p>
    <w:tbl>
      <w:tblPr>
        <w:tblStyle w:val="2"/>
        <w:tblW w:w="9360" w:type="dxa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0"/>
        <w:gridCol w:w="2200"/>
        <w:gridCol w:w="3460"/>
        <w:gridCol w:w="2000"/>
      </w:tblGrid>
      <w:tr w14:paraId="3C2C83A6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BE759D">
            <w:r>
              <w:rPr>
                <w:b/>
                <w:sz w:val="18"/>
                <w:szCs w:val="18"/>
              </w:rPr>
              <w:t>当前状态</w:t>
            </w:r>
          </w:p>
        </w:tc>
        <w:tc>
          <w:tcPr>
            <w:tcW w:w="2200" w:type="dxa"/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0CF3A2">
            <w:r>
              <w:rPr>
                <w:b/>
                <w:sz w:val="18"/>
                <w:szCs w:val="18"/>
              </w:rPr>
              <w:t>触发条件</w:t>
            </w:r>
          </w:p>
        </w:tc>
        <w:tc>
          <w:tcPr>
            <w:tcW w:w="3460" w:type="dxa"/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1BC204">
            <w:r>
              <w:rPr>
                <w:b/>
                <w:sz w:val="18"/>
                <w:szCs w:val="18"/>
              </w:rPr>
              <w:t>动作 / 事件</w:t>
            </w:r>
          </w:p>
        </w:tc>
        <w:tc>
          <w:tcPr>
            <w:tcW w:w="2000" w:type="dxa"/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1EBFAA">
            <w:r>
              <w:rPr>
                <w:b/>
                <w:sz w:val="18"/>
                <w:szCs w:val="18"/>
              </w:rPr>
              <w:t>下一状态</w:t>
            </w:r>
          </w:p>
        </w:tc>
      </w:tr>
      <w:tr w14:paraId="10727991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ACA88B">
            <w:r>
              <w:rPr>
                <w:sz w:val="18"/>
                <w:szCs w:val="18"/>
              </w:rPr>
              <w:t>S0 初始化</w:t>
            </w:r>
          </w:p>
        </w:tc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F802ED">
            <w:r>
              <w:rPr>
                <w:sz w:val="18"/>
                <w:szCs w:val="18"/>
              </w:rPr>
              <w:t>上电 / 复位</w:t>
            </w:r>
          </w:p>
        </w:tc>
        <w:tc>
          <w:tcPr>
            <w:tcW w:w="3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224B97">
            <w:r>
              <w:rPr>
                <w:sz w:val="18"/>
                <w:szCs w:val="18"/>
              </w:rPr>
              <w:t>CanRamInit 清结构体与定时器</w:t>
            </w:r>
          </w:p>
        </w:tc>
        <w:tc>
          <w:tcPr>
            <w:tcW w:w="2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403DF7">
            <w:r>
              <w:rPr>
                <w:sz w:val="18"/>
                <w:szCs w:val="18"/>
              </w:rPr>
              <w:t>S1 总线监测</w:t>
            </w:r>
          </w:p>
        </w:tc>
      </w:tr>
      <w:tr w14:paraId="2DE78F6D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100E66">
            <w:r>
              <w:rPr>
                <w:sz w:val="18"/>
                <w:szCs w:val="18"/>
              </w:rPr>
              <w:t>S1 总线监测</w:t>
            </w:r>
          </w:p>
        </w:tc>
        <w:tc>
          <w:tcPr>
            <w:tcW w:w="22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6529AD">
            <w:r>
              <w:rPr>
                <w:sz w:val="18"/>
                <w:szCs w:val="18"/>
              </w:rPr>
              <w:t>每个 CanProc 周期</w:t>
            </w:r>
          </w:p>
        </w:tc>
        <w:tc>
          <w:tcPr>
            <w:tcW w:w="346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DAA4FF">
            <w:r>
              <w:rPr>
                <w:sz w:val="18"/>
                <w:szCs w:val="18"/>
              </w:rPr>
              <w:t>检测 BUS-OFF/漏应答；离线则 tx_disable</w:t>
            </w:r>
          </w:p>
        </w:tc>
        <w:tc>
          <w:tcPr>
            <w:tcW w:w="20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985E82">
            <w:r>
              <w:rPr>
                <w:sz w:val="18"/>
                <w:szCs w:val="18"/>
              </w:rPr>
              <w:t>S2 数据采集</w:t>
            </w:r>
          </w:p>
        </w:tc>
      </w:tr>
      <w:tr w14:paraId="00863D5F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BF5877">
            <w:r>
              <w:rPr>
                <w:sz w:val="18"/>
                <w:szCs w:val="18"/>
              </w:rPr>
              <w:t>S1 总线监测</w:t>
            </w:r>
          </w:p>
        </w:tc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358B62">
            <w:r>
              <w:rPr>
                <w:sz w:val="18"/>
                <w:szCs w:val="18"/>
              </w:rPr>
              <w:t>检测到 BUS-OFF 错误</w:t>
            </w:r>
          </w:p>
        </w:tc>
        <w:tc>
          <w:tcPr>
            <w:tcW w:w="3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5C2903">
            <w:r>
              <w:rPr>
                <w:sz w:val="18"/>
                <w:szCs w:val="18"/>
              </w:rPr>
              <w:t>进入 BUSOFF_SLOW/QUICK 子状态</w:t>
            </w:r>
          </w:p>
        </w:tc>
        <w:tc>
          <w:tcPr>
            <w:tcW w:w="2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F66780">
            <w:r>
              <w:rPr>
                <w:sz w:val="18"/>
                <w:szCs w:val="18"/>
              </w:rPr>
              <w:t>S1(离线,禁止下发)</w:t>
            </w:r>
          </w:p>
        </w:tc>
      </w:tr>
      <w:tr w14:paraId="58C02A16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9C223C">
            <w:r>
              <w:rPr>
                <w:sz w:val="18"/>
                <w:szCs w:val="18"/>
              </w:rPr>
              <w:t>S1 总线监测</w:t>
            </w:r>
          </w:p>
        </w:tc>
        <w:tc>
          <w:tcPr>
            <w:tcW w:w="22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E01D4E">
            <w:r>
              <w:rPr>
                <w:sz w:val="18"/>
                <w:szCs w:val="18"/>
              </w:rPr>
              <w:t>超时恢复且无错误</w:t>
            </w:r>
          </w:p>
        </w:tc>
        <w:tc>
          <w:tcPr>
            <w:tcW w:w="346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0A96C6">
            <w:r>
              <w:rPr>
                <w:sz w:val="18"/>
                <w:szCs w:val="18"/>
              </w:rPr>
              <w:t>busoff_state=BUSOFF_NONE, tx_disable=FALSE</w:t>
            </w:r>
          </w:p>
        </w:tc>
        <w:tc>
          <w:tcPr>
            <w:tcW w:w="20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8B4DD4">
            <w:r>
              <w:rPr>
                <w:sz w:val="18"/>
                <w:szCs w:val="18"/>
              </w:rPr>
              <w:t>S2 数据采集</w:t>
            </w:r>
          </w:p>
        </w:tc>
      </w:tr>
      <w:tr w14:paraId="2BED160F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CC3ED6">
            <w:r>
              <w:rPr>
                <w:sz w:val="18"/>
                <w:szCs w:val="18"/>
              </w:rPr>
              <w:t>S2 数据采集</w:t>
            </w:r>
          </w:p>
        </w:tc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DB014D">
            <w:r>
              <w:rPr>
                <w:sz w:val="18"/>
                <w:szCs w:val="18"/>
              </w:rPr>
              <w:t>每周期</w:t>
            </w:r>
          </w:p>
        </w:tc>
        <w:tc>
          <w:tcPr>
            <w:tcW w:w="3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7DFDE7">
            <w:r>
              <w:rPr>
                <w:sz w:val="18"/>
                <w:szCs w:val="18"/>
              </w:rPr>
              <w:t>刷新 SOC/电流/额定值、在线数、最大SOC</w:t>
            </w:r>
          </w:p>
        </w:tc>
        <w:tc>
          <w:tcPr>
            <w:tcW w:w="2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8D0546">
            <w:r>
              <w:rPr>
                <w:sz w:val="18"/>
                <w:szCs w:val="18"/>
              </w:rPr>
              <w:t>S3/S4/S5/S6(按定时器)</w:t>
            </w:r>
          </w:p>
        </w:tc>
      </w:tr>
      <w:tr w14:paraId="6723F662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41A5D7">
            <w:r>
              <w:rPr>
                <w:sz w:val="18"/>
                <w:szCs w:val="18"/>
              </w:rPr>
              <w:t>S2 数据采集</w:t>
            </w:r>
          </w:p>
        </w:tc>
        <w:tc>
          <w:tcPr>
            <w:tcW w:w="22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F395C8">
            <w:r>
              <w:rPr>
                <w:sz w:val="18"/>
                <w:szCs w:val="18"/>
              </w:rPr>
              <w:t>某设备 LostTime≥6</w:t>
            </w:r>
          </w:p>
        </w:tc>
        <w:tc>
          <w:tcPr>
            <w:tcW w:w="346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A92279">
            <w:r>
              <w:rPr>
                <w:sz w:val="18"/>
                <w:szCs w:val="18"/>
              </w:rPr>
              <w:t>清零该设备数据</w:t>
            </w:r>
          </w:p>
        </w:tc>
        <w:tc>
          <w:tcPr>
            <w:tcW w:w="20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91F9A8">
            <w:r>
              <w:rPr>
                <w:sz w:val="18"/>
                <w:szCs w:val="18"/>
              </w:rPr>
              <w:t>S7 失联处理 → S2</w:t>
            </w:r>
          </w:p>
        </w:tc>
      </w:tr>
      <w:tr w14:paraId="6E63972C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DCE339">
            <w:r>
              <w:rPr>
                <w:sz w:val="18"/>
                <w:szCs w:val="18"/>
              </w:rPr>
              <w:t>S3 使能广播</w:t>
            </w:r>
          </w:p>
        </w:tc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3FE50F">
            <w:r>
              <w:rPr>
                <w:sz w:val="18"/>
                <w:szCs w:val="18"/>
              </w:rPr>
              <w:t>t200ms≥1000(1s)</w:t>
            </w:r>
          </w:p>
        </w:tc>
        <w:tc>
          <w:tcPr>
            <w:tcW w:w="3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D41327">
            <w:r>
              <w:rPr>
                <w:sz w:val="18"/>
                <w:szCs w:val="18"/>
              </w:rPr>
              <w:t>vcu_canbox_mode → 0x1806E640</w:t>
            </w:r>
          </w:p>
        </w:tc>
        <w:tc>
          <w:tcPr>
            <w:tcW w:w="2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B8A11B">
            <w:r>
              <w:rPr>
                <w:sz w:val="18"/>
                <w:szCs w:val="18"/>
              </w:rPr>
              <w:t>S2 数据采集</w:t>
            </w:r>
          </w:p>
        </w:tc>
      </w:tr>
      <w:tr w14:paraId="4158557B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89B6F6">
            <w:r>
              <w:rPr>
                <w:sz w:val="18"/>
                <w:szCs w:val="18"/>
              </w:rPr>
              <w:t>S4 总功率测算</w:t>
            </w:r>
          </w:p>
        </w:tc>
        <w:tc>
          <w:tcPr>
            <w:tcW w:w="22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F0B7D9">
            <w:r>
              <w:rPr>
                <w:sz w:val="18"/>
                <w:szCs w:val="18"/>
              </w:rPr>
              <w:t>t500ms≥5000(5s)</w:t>
            </w:r>
          </w:p>
        </w:tc>
        <w:tc>
          <w:tcPr>
            <w:tcW w:w="346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D7F075">
            <w:r>
              <w:rPr>
                <w:sz w:val="18"/>
                <w:szCs w:val="18"/>
              </w:rPr>
              <w:t>算 total_power_all</w:t>
            </w:r>
          </w:p>
        </w:tc>
        <w:tc>
          <w:tcPr>
            <w:tcW w:w="20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EB47B2">
            <w:r>
              <w:rPr>
                <w:sz w:val="18"/>
                <w:szCs w:val="18"/>
              </w:rPr>
              <w:t>S5 分配决策</w:t>
            </w:r>
          </w:p>
        </w:tc>
      </w:tr>
      <w:tr w14:paraId="734B7C75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E3BBDF">
            <w:r>
              <w:rPr>
                <w:sz w:val="18"/>
                <w:szCs w:val="18"/>
              </w:rPr>
              <w:t>S5 分配决策</w:t>
            </w:r>
          </w:p>
        </w:tc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DC37A4">
            <w:r>
              <w:rPr>
                <w:sz w:val="18"/>
                <w:szCs w:val="18"/>
              </w:rPr>
              <w:t>power ≥ total_power_all</w:t>
            </w:r>
          </w:p>
        </w:tc>
        <w:tc>
          <w:tcPr>
            <w:tcW w:w="3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FA56AA">
            <w:r>
              <w:rPr>
                <w:sz w:val="18"/>
                <w:szCs w:val="18"/>
              </w:rPr>
              <w:t>全部 out_cur=额定</w:t>
            </w:r>
          </w:p>
        </w:tc>
        <w:tc>
          <w:tcPr>
            <w:tcW w:w="2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0526D6">
            <w:r>
              <w:rPr>
                <w:sz w:val="18"/>
                <w:szCs w:val="18"/>
              </w:rPr>
              <w:t>S6 逐设备下发</w:t>
            </w:r>
          </w:p>
        </w:tc>
      </w:tr>
      <w:tr w14:paraId="7CF2FC9C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D0CD0E">
            <w:r>
              <w:rPr>
                <w:sz w:val="18"/>
                <w:szCs w:val="18"/>
              </w:rPr>
              <w:t>S5 分配决策</w:t>
            </w:r>
          </w:p>
        </w:tc>
        <w:tc>
          <w:tcPr>
            <w:tcW w:w="22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28F819">
            <w:r>
              <w:rPr>
                <w:sz w:val="18"/>
                <w:szCs w:val="18"/>
              </w:rPr>
              <w:t>power &lt; total_power_all</w:t>
            </w:r>
          </w:p>
        </w:tc>
        <w:tc>
          <w:tcPr>
            <w:tcW w:w="346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623FFC">
            <w:r>
              <w:rPr>
                <w:sz w:val="18"/>
                <w:szCs w:val="18"/>
              </w:rPr>
              <w:t>按 SOC 排序动态分配剩余功率</w:t>
            </w:r>
          </w:p>
        </w:tc>
        <w:tc>
          <w:tcPr>
            <w:tcW w:w="20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889537">
            <w:r>
              <w:rPr>
                <w:sz w:val="18"/>
                <w:szCs w:val="18"/>
              </w:rPr>
              <w:t>S6 逐设备下发</w:t>
            </w:r>
          </w:p>
        </w:tc>
      </w:tr>
      <w:tr w14:paraId="6200A370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90ABC5">
            <w:r>
              <w:rPr>
                <w:sz w:val="18"/>
                <w:szCs w:val="18"/>
              </w:rPr>
              <w:t>S6 逐设备下发</w:t>
            </w:r>
          </w:p>
        </w:tc>
        <w:tc>
          <w:tcPr>
            <w:tcW w:w="2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F33E70">
            <w:r>
              <w:rPr>
                <w:sz w:val="18"/>
                <w:szCs w:val="18"/>
              </w:rPr>
              <w:t>完成遍历发送</w:t>
            </w:r>
          </w:p>
        </w:tc>
        <w:tc>
          <w:tcPr>
            <w:tcW w:w="34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4621EE">
            <w:r>
              <w:rPr>
                <w:sz w:val="18"/>
                <w:szCs w:val="18"/>
              </w:rPr>
              <w:t>CanTransmit 各子设备</w:t>
            </w:r>
          </w:p>
        </w:tc>
        <w:tc>
          <w:tcPr>
            <w:tcW w:w="20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D5DAD2">
            <w:r>
              <w:rPr>
                <w:sz w:val="18"/>
                <w:szCs w:val="18"/>
              </w:rPr>
              <w:t>S2 数据采集</w:t>
            </w:r>
          </w:p>
        </w:tc>
      </w:tr>
    </w:tbl>
    <w:p w14:paraId="756A56D5">
      <w:pPr>
        <w:spacing w:before="200" w:after="120"/>
      </w:pPr>
      <w:r>
        <w:rPr>
          <w:b/>
          <w:color w:val="1F3864"/>
          <w:sz w:val="30"/>
          <w:szCs w:val="30"/>
        </w:rPr>
        <w:t>四、状态转移图（主控制状态机）</w:t>
      </w:r>
    </w:p>
    <w:p w14:paraId="7E3354E9">
      <w:pPr>
        <w:spacing w:before="20" w:after="20"/>
      </w:pPr>
    </w:p>
    <w:tbl>
      <w:tblPr>
        <w:tblStyle w:val="2"/>
        <w:tblW w:w="7000" w:type="dxa"/>
        <w:tblInd w:w="0" w:type="dxa"/>
        <w:tblBorders>
          <w:top w:val="single" w:color="2E75B6" w:sz="6" w:space="0"/>
          <w:left w:val="single" w:color="2E75B6" w:sz="6" w:space="0"/>
          <w:bottom w:val="single" w:color="2E75B6" w:sz="6" w:space="0"/>
          <w:right w:val="single" w:color="2E75B6" w:sz="6" w:space="0"/>
          <w:insideH w:val="single" w:color="2E75B6" w:sz="6" w:space="0"/>
          <w:insideV w:val="single" w:color="2E75B6" w:sz="6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0"/>
      </w:tblGrid>
      <w:tr w14:paraId="012352A8">
        <w:tblPrEx>
          <w:tblBorders>
            <w:top w:val="single" w:color="2E75B6" w:sz="6" w:space="0"/>
            <w:left w:val="single" w:color="2E75B6" w:sz="6" w:space="0"/>
            <w:bottom w:val="single" w:color="2E75B6" w:sz="6" w:space="0"/>
            <w:right w:val="single" w:color="2E75B6" w:sz="6" w:space="0"/>
            <w:insideH w:val="single" w:color="2E75B6" w:sz="6" w:space="0"/>
            <w:insideV w:val="single" w:color="2E75B6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0" w:type="dxa"/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7D2D0D">
            <w:pPr>
              <w:jc w:val="center"/>
            </w:pPr>
            <w:r>
              <w:rPr>
                <w:b/>
                <w:sz w:val="22"/>
                <w:szCs w:val="22"/>
              </w:rPr>
              <w:t>S0 初始化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CanRamInit()</w:t>
            </w:r>
          </w:p>
        </w:tc>
      </w:tr>
    </w:tbl>
    <w:p w14:paraId="63612F57">
      <w:pPr>
        <w:spacing w:before="20" w:after="20"/>
      </w:pPr>
    </w:p>
    <w:p w14:paraId="2BE437F4">
      <w:pPr>
        <w:spacing w:before="0" w:after="0"/>
        <w:jc w:val="center"/>
      </w:pPr>
      <w:r>
        <w:rPr>
          <w:b/>
          <w:color w:val="2E75B6"/>
          <w:sz w:val="24"/>
          <w:szCs w:val="24"/>
        </w:rPr>
        <w:t>↓</w:t>
      </w:r>
    </w:p>
    <w:p w14:paraId="1CF84FCC">
      <w:pPr>
        <w:spacing w:before="20" w:after="20"/>
      </w:pPr>
    </w:p>
    <w:tbl>
      <w:tblPr>
        <w:tblStyle w:val="2"/>
        <w:tblW w:w="7000" w:type="dxa"/>
        <w:tblInd w:w="0" w:type="dxa"/>
        <w:tblBorders>
          <w:top w:val="single" w:color="2E75B6" w:sz="6" w:space="0"/>
          <w:left w:val="single" w:color="2E75B6" w:sz="6" w:space="0"/>
          <w:bottom w:val="single" w:color="2E75B6" w:sz="6" w:space="0"/>
          <w:right w:val="single" w:color="2E75B6" w:sz="6" w:space="0"/>
          <w:insideH w:val="single" w:color="2E75B6" w:sz="6" w:space="0"/>
          <w:insideV w:val="single" w:color="2E75B6" w:sz="6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0"/>
      </w:tblGrid>
      <w:tr w14:paraId="04E2CBCE">
        <w:tblPrEx>
          <w:tblBorders>
            <w:top w:val="single" w:color="2E75B6" w:sz="6" w:space="0"/>
            <w:left w:val="single" w:color="2E75B6" w:sz="6" w:space="0"/>
            <w:bottom w:val="single" w:color="2E75B6" w:sz="6" w:space="0"/>
            <w:right w:val="single" w:color="2E75B6" w:sz="6" w:space="0"/>
            <w:insideH w:val="single" w:color="2E75B6" w:sz="6" w:space="0"/>
            <w:insideV w:val="single" w:color="2E75B6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0" w:type="dxa"/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C4CEAA">
            <w:pPr>
              <w:jc w:val="center"/>
            </w:pPr>
            <w:r>
              <w:rPr>
                <w:b/>
                <w:sz w:val="22"/>
                <w:szCs w:val="22"/>
              </w:rPr>
              <w:t>S1 总线监测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CanRecoveryProc()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BUSOFF_NONE / SLOW / QUICK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MISS_ACK_NONE / TIMEOUT / RECOVERY</w:t>
            </w:r>
          </w:p>
        </w:tc>
      </w:tr>
    </w:tbl>
    <w:p w14:paraId="26F6F836">
      <w:pPr>
        <w:spacing w:before="20" w:after="20"/>
      </w:pPr>
    </w:p>
    <w:p w14:paraId="4EF94EFB">
      <w:pPr>
        <w:spacing w:before="0" w:after="0"/>
        <w:jc w:val="center"/>
      </w:pPr>
      <w:r>
        <w:rPr>
          <w:b/>
          <w:color w:val="2E75B6"/>
          <w:sz w:val="24"/>
          <w:szCs w:val="24"/>
        </w:rPr>
        <w:t>↓</w:t>
      </w:r>
    </w:p>
    <w:p w14:paraId="2F6A41D2">
      <w:pPr>
        <w:spacing w:before="20" w:after="20"/>
      </w:pPr>
    </w:p>
    <w:tbl>
      <w:tblPr>
        <w:tblStyle w:val="2"/>
        <w:tblW w:w="7000" w:type="dxa"/>
        <w:tblInd w:w="0" w:type="dxa"/>
        <w:tblBorders>
          <w:top w:val="single" w:color="2E75B6" w:sz="6" w:space="0"/>
          <w:left w:val="single" w:color="2E75B6" w:sz="6" w:space="0"/>
          <w:bottom w:val="single" w:color="2E75B6" w:sz="6" w:space="0"/>
          <w:right w:val="single" w:color="2E75B6" w:sz="6" w:space="0"/>
          <w:insideH w:val="single" w:color="2E75B6" w:sz="6" w:space="0"/>
          <w:insideV w:val="single" w:color="2E75B6" w:sz="6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0"/>
      </w:tblGrid>
      <w:tr w14:paraId="20875841">
        <w:tblPrEx>
          <w:tblBorders>
            <w:top w:val="single" w:color="2E75B6" w:sz="6" w:space="0"/>
            <w:left w:val="single" w:color="2E75B6" w:sz="6" w:space="0"/>
            <w:bottom w:val="single" w:color="2E75B6" w:sz="6" w:space="0"/>
            <w:right w:val="single" w:color="2E75B6" w:sz="6" w:space="0"/>
            <w:insideH w:val="single" w:color="2E75B6" w:sz="6" w:space="0"/>
            <w:insideV w:val="single" w:color="2E75B6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0" w:type="dxa"/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62D28A">
            <w:pPr>
              <w:jc w:val="center"/>
            </w:pPr>
            <w:r>
              <w:rPr>
                <w:b/>
                <w:sz w:val="22"/>
                <w:szCs w:val="22"/>
              </w:rPr>
              <w:t>S2 数据采集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刷新 Soc / 电流 / 额定值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统计在线数 &amp; 最大SOC</w:t>
            </w:r>
          </w:p>
        </w:tc>
      </w:tr>
    </w:tbl>
    <w:p w14:paraId="143CAE98">
      <w:pPr>
        <w:spacing w:before="20" w:after="20"/>
      </w:pPr>
    </w:p>
    <w:p w14:paraId="23EC4FD9">
      <w:pPr>
        <w:spacing w:before="0" w:after="0"/>
        <w:jc w:val="center"/>
      </w:pPr>
      <w:r>
        <w:rPr>
          <w:b/>
          <w:color w:val="2E75B6"/>
          <w:sz w:val="24"/>
          <w:szCs w:val="24"/>
        </w:rPr>
        <w:t>每周期</w:t>
      </w:r>
    </w:p>
    <w:p w14:paraId="6CDE55E8">
      <w:pPr>
        <w:spacing w:before="20" w:after="20"/>
      </w:pPr>
    </w:p>
    <w:tbl>
      <w:tblPr>
        <w:tblStyle w:val="2"/>
        <w:tblW w:w="7000" w:type="dxa"/>
        <w:tblInd w:w="0" w:type="dxa"/>
        <w:tblBorders>
          <w:top w:val="single" w:color="2E75B6" w:sz="6" w:space="0"/>
          <w:left w:val="single" w:color="2E75B6" w:sz="6" w:space="0"/>
          <w:bottom w:val="single" w:color="2E75B6" w:sz="6" w:space="0"/>
          <w:right w:val="single" w:color="2E75B6" w:sz="6" w:space="0"/>
          <w:insideH w:val="single" w:color="2E75B6" w:sz="6" w:space="0"/>
          <w:insideV w:val="single" w:color="2E75B6" w:sz="6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0"/>
      </w:tblGrid>
      <w:tr w14:paraId="18AA4126">
        <w:tblPrEx>
          <w:tblBorders>
            <w:top w:val="single" w:color="2E75B6" w:sz="6" w:space="0"/>
            <w:left w:val="single" w:color="2E75B6" w:sz="6" w:space="0"/>
            <w:bottom w:val="single" w:color="2E75B6" w:sz="6" w:space="0"/>
            <w:right w:val="single" w:color="2E75B6" w:sz="6" w:space="0"/>
            <w:insideH w:val="single" w:color="2E75B6" w:sz="6" w:space="0"/>
            <w:insideV w:val="single" w:color="2E75B6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0" w:type="dxa"/>
            <w:shd w:val="clear" w:color="auto" w:fill="FFF2C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311A1B">
            <w:pPr>
              <w:jc w:val="center"/>
            </w:pPr>
            <w:r>
              <w:rPr>
                <w:b/>
                <w:sz w:val="22"/>
                <w:szCs w:val="22"/>
              </w:rPr>
              <w:t>定时器分支判断</w:t>
            </w:r>
          </w:p>
        </w:tc>
      </w:tr>
    </w:tbl>
    <w:p w14:paraId="7FDA1E65">
      <w:pPr>
        <w:spacing w:before="20" w:after="20"/>
      </w:pPr>
    </w:p>
    <w:p w14:paraId="3C02ECA3">
      <w:pPr>
        <w:spacing w:before="0" w:after="0"/>
        <w:jc w:val="center"/>
      </w:pPr>
      <w:r>
        <w:rPr>
          <w:b/>
          <w:color w:val="2E75B6"/>
          <w:sz w:val="24"/>
          <w:szCs w:val="24"/>
        </w:rPr>
        <w:t>t200ms≥1s (1s)</w:t>
      </w:r>
    </w:p>
    <w:p w14:paraId="680E8ECA">
      <w:pPr>
        <w:spacing w:before="20" w:after="20"/>
      </w:pPr>
    </w:p>
    <w:tbl>
      <w:tblPr>
        <w:tblStyle w:val="2"/>
        <w:tblW w:w="7000" w:type="dxa"/>
        <w:tblInd w:w="0" w:type="dxa"/>
        <w:tblBorders>
          <w:top w:val="single" w:color="2E75B6" w:sz="6" w:space="0"/>
          <w:left w:val="single" w:color="2E75B6" w:sz="6" w:space="0"/>
          <w:bottom w:val="single" w:color="2E75B6" w:sz="6" w:space="0"/>
          <w:right w:val="single" w:color="2E75B6" w:sz="6" w:space="0"/>
          <w:insideH w:val="single" w:color="2E75B6" w:sz="6" w:space="0"/>
          <w:insideV w:val="single" w:color="2E75B6" w:sz="6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0"/>
      </w:tblGrid>
      <w:tr w14:paraId="2DAD449D">
        <w:tblPrEx>
          <w:tblBorders>
            <w:top w:val="single" w:color="2E75B6" w:sz="6" w:space="0"/>
            <w:left w:val="single" w:color="2E75B6" w:sz="6" w:space="0"/>
            <w:bottom w:val="single" w:color="2E75B6" w:sz="6" w:space="0"/>
            <w:right w:val="single" w:color="2E75B6" w:sz="6" w:space="0"/>
            <w:insideH w:val="single" w:color="2E75B6" w:sz="6" w:space="0"/>
            <w:insideV w:val="single" w:color="2E75B6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0" w:type="dxa"/>
            <w:shd w:val="clear" w:color="auto" w:fill="DDEB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801153">
            <w:pPr>
              <w:jc w:val="center"/>
            </w:pPr>
            <w:r>
              <w:rPr>
                <w:b/>
                <w:sz w:val="22"/>
                <w:szCs w:val="22"/>
              </w:rPr>
              <w:t>S3 使能广播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vcu_canbox_mode → 0x1806E640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PaygGetPayState 门控 / power&gt;1.0 使能</w:t>
            </w:r>
          </w:p>
        </w:tc>
      </w:tr>
    </w:tbl>
    <w:p w14:paraId="57F9C70C">
      <w:pPr>
        <w:spacing w:before="20" w:after="20"/>
      </w:pPr>
    </w:p>
    <w:p w14:paraId="59F78167">
      <w:pPr>
        <w:spacing w:before="0" w:after="0"/>
        <w:jc w:val="center"/>
      </w:pPr>
      <w:r>
        <w:rPr>
          <w:b/>
          <w:color w:val="2E75B6"/>
          <w:sz w:val="24"/>
          <w:szCs w:val="24"/>
        </w:rPr>
        <w:t>t500ms≥5s (5s)</w:t>
      </w:r>
    </w:p>
    <w:p w14:paraId="29C3AC42">
      <w:pPr>
        <w:spacing w:before="20" w:after="20"/>
      </w:pPr>
    </w:p>
    <w:tbl>
      <w:tblPr>
        <w:tblStyle w:val="2"/>
        <w:tblW w:w="7000" w:type="dxa"/>
        <w:tblInd w:w="0" w:type="dxa"/>
        <w:tblBorders>
          <w:top w:val="single" w:color="2E75B6" w:sz="6" w:space="0"/>
          <w:left w:val="single" w:color="2E75B6" w:sz="6" w:space="0"/>
          <w:bottom w:val="single" w:color="2E75B6" w:sz="6" w:space="0"/>
          <w:right w:val="single" w:color="2E75B6" w:sz="6" w:space="0"/>
          <w:insideH w:val="single" w:color="2E75B6" w:sz="6" w:space="0"/>
          <w:insideV w:val="single" w:color="2E75B6" w:sz="6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0"/>
      </w:tblGrid>
      <w:tr w14:paraId="770E710B">
        <w:tblPrEx>
          <w:tblBorders>
            <w:top w:val="single" w:color="2E75B6" w:sz="6" w:space="0"/>
            <w:left w:val="single" w:color="2E75B6" w:sz="6" w:space="0"/>
            <w:bottom w:val="single" w:color="2E75B6" w:sz="6" w:space="0"/>
            <w:right w:val="single" w:color="2E75B6" w:sz="6" w:space="0"/>
            <w:insideH w:val="single" w:color="2E75B6" w:sz="6" w:space="0"/>
            <w:insideV w:val="single" w:color="2E75B6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0" w:type="dxa"/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E768DE">
            <w:pPr>
              <w:jc w:val="center"/>
            </w:pPr>
            <w:r>
              <w:rPr>
                <w:b/>
                <w:sz w:val="22"/>
                <w:szCs w:val="22"/>
              </w:rPr>
              <w:t>S4 总功率测算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total_power_all = Σ(ap×cur)/1e7</w:t>
            </w:r>
          </w:p>
        </w:tc>
      </w:tr>
    </w:tbl>
    <w:p w14:paraId="22526134">
      <w:pPr>
        <w:spacing w:before="20" w:after="20"/>
      </w:pPr>
    </w:p>
    <w:p w14:paraId="687A2DD1">
      <w:pPr>
        <w:spacing w:before="0" w:after="0"/>
        <w:jc w:val="center"/>
      </w:pPr>
      <w:r>
        <w:rPr>
          <w:b/>
          <w:color w:val="2E75B6"/>
          <w:sz w:val="24"/>
          <w:szCs w:val="24"/>
        </w:rPr>
        <w:t>↓</w:t>
      </w:r>
    </w:p>
    <w:p w14:paraId="614B199B">
      <w:pPr>
        <w:spacing w:before="20" w:after="20"/>
      </w:pPr>
    </w:p>
    <w:tbl>
      <w:tblPr>
        <w:tblStyle w:val="2"/>
        <w:tblW w:w="7000" w:type="dxa"/>
        <w:tblInd w:w="0" w:type="dxa"/>
        <w:tblBorders>
          <w:top w:val="single" w:color="2E75B6" w:sz="6" w:space="0"/>
          <w:left w:val="single" w:color="2E75B6" w:sz="6" w:space="0"/>
          <w:bottom w:val="single" w:color="2E75B6" w:sz="6" w:space="0"/>
          <w:right w:val="single" w:color="2E75B6" w:sz="6" w:space="0"/>
          <w:insideH w:val="single" w:color="2E75B6" w:sz="6" w:space="0"/>
          <w:insideV w:val="single" w:color="2E75B6" w:sz="6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0"/>
      </w:tblGrid>
      <w:tr w14:paraId="51EF0B8E">
        <w:tblPrEx>
          <w:tblBorders>
            <w:top w:val="single" w:color="2E75B6" w:sz="6" w:space="0"/>
            <w:left w:val="single" w:color="2E75B6" w:sz="6" w:space="0"/>
            <w:bottom w:val="single" w:color="2E75B6" w:sz="6" w:space="0"/>
            <w:right w:val="single" w:color="2E75B6" w:sz="6" w:space="0"/>
            <w:insideH w:val="single" w:color="2E75B6" w:sz="6" w:space="0"/>
            <w:insideV w:val="single" w:color="2E75B6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0" w:type="dxa"/>
            <w:shd w:val="clear" w:color="auto" w:fill="FFF2C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9858C0">
            <w:pPr>
              <w:jc w:val="center"/>
            </w:pPr>
            <w:r>
              <w:rPr>
                <w:b/>
                <w:sz w:val="22"/>
                <w:szCs w:val="22"/>
              </w:rPr>
              <w:t>S5 分配决策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power ≥ total_power_all ?</w:t>
            </w:r>
          </w:p>
        </w:tc>
      </w:tr>
    </w:tbl>
    <w:p w14:paraId="5AE5C119">
      <w:pPr>
        <w:spacing w:before="20" w:after="20"/>
      </w:pPr>
    </w:p>
    <w:p w14:paraId="000BD1ED">
      <w:pPr>
        <w:spacing w:before="0" w:after="0"/>
        <w:jc w:val="center"/>
      </w:pPr>
      <w:r>
        <w:rPr>
          <w:b/>
          <w:color w:val="2E75B6"/>
          <w:sz w:val="24"/>
          <w:szCs w:val="24"/>
        </w:rPr>
        <w:t>是（充足）</w:t>
      </w:r>
    </w:p>
    <w:p w14:paraId="18BBB62E">
      <w:pPr>
        <w:spacing w:before="20" w:after="20"/>
      </w:pPr>
    </w:p>
    <w:tbl>
      <w:tblPr>
        <w:tblStyle w:val="2"/>
        <w:tblW w:w="7000" w:type="dxa"/>
        <w:tblInd w:w="0" w:type="dxa"/>
        <w:tblBorders>
          <w:top w:val="single" w:color="2E75B6" w:sz="6" w:space="0"/>
          <w:left w:val="single" w:color="2E75B6" w:sz="6" w:space="0"/>
          <w:bottom w:val="single" w:color="2E75B6" w:sz="6" w:space="0"/>
          <w:right w:val="single" w:color="2E75B6" w:sz="6" w:space="0"/>
          <w:insideH w:val="single" w:color="2E75B6" w:sz="6" w:space="0"/>
          <w:insideV w:val="single" w:color="2E75B6" w:sz="6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0"/>
      </w:tblGrid>
      <w:tr w14:paraId="6788EF9E">
        <w:tblPrEx>
          <w:tblBorders>
            <w:top w:val="single" w:color="2E75B6" w:sz="6" w:space="0"/>
            <w:left w:val="single" w:color="2E75B6" w:sz="6" w:space="0"/>
            <w:bottom w:val="single" w:color="2E75B6" w:sz="6" w:space="0"/>
            <w:right w:val="single" w:color="2E75B6" w:sz="6" w:space="0"/>
            <w:insideH w:val="single" w:color="2E75B6" w:sz="6" w:space="0"/>
            <w:insideV w:val="single" w:color="2E75B6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0" w:type="dxa"/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AC21AC">
            <w:pPr>
              <w:jc w:val="center"/>
            </w:pPr>
            <w:r>
              <w:rPr>
                <w:b/>
                <w:sz w:val="22"/>
                <w:szCs w:val="22"/>
              </w:rPr>
              <w:t>全额定下发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out_cur[i] = ap_cur[i]</w:t>
            </w:r>
          </w:p>
        </w:tc>
      </w:tr>
    </w:tbl>
    <w:p w14:paraId="7934A68E">
      <w:pPr>
        <w:spacing w:before="20" w:after="20"/>
      </w:pPr>
    </w:p>
    <w:p w14:paraId="0477E758">
      <w:pPr>
        <w:spacing w:before="0" w:after="0"/>
        <w:jc w:val="center"/>
      </w:pPr>
      <w:r>
        <w:rPr>
          <w:b/>
          <w:color w:val="2E75B6"/>
          <w:sz w:val="24"/>
          <w:szCs w:val="24"/>
        </w:rPr>
        <w:t>否（不足）</w:t>
      </w:r>
    </w:p>
    <w:p w14:paraId="17F08825">
      <w:pPr>
        <w:spacing w:before="20" w:after="20"/>
      </w:pPr>
    </w:p>
    <w:tbl>
      <w:tblPr>
        <w:tblStyle w:val="2"/>
        <w:tblW w:w="7000" w:type="dxa"/>
        <w:tblInd w:w="0" w:type="dxa"/>
        <w:tblBorders>
          <w:top w:val="single" w:color="2E75B6" w:sz="6" w:space="0"/>
          <w:left w:val="single" w:color="2E75B6" w:sz="6" w:space="0"/>
          <w:bottom w:val="single" w:color="2E75B6" w:sz="6" w:space="0"/>
          <w:right w:val="single" w:color="2E75B6" w:sz="6" w:space="0"/>
          <w:insideH w:val="single" w:color="2E75B6" w:sz="6" w:space="0"/>
          <w:insideV w:val="single" w:color="2E75B6" w:sz="6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0"/>
      </w:tblGrid>
      <w:tr w14:paraId="0359B053">
        <w:tblPrEx>
          <w:tblBorders>
            <w:top w:val="single" w:color="2E75B6" w:sz="6" w:space="0"/>
            <w:left w:val="single" w:color="2E75B6" w:sz="6" w:space="0"/>
            <w:bottom w:val="single" w:color="2E75B6" w:sz="6" w:space="0"/>
            <w:right w:val="single" w:color="2E75B6" w:sz="6" w:space="0"/>
            <w:insideH w:val="single" w:color="2E75B6" w:sz="6" w:space="0"/>
            <w:insideV w:val="single" w:color="2E75B6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0" w:type="dxa"/>
            <w:shd w:val="clear" w:color="auto" w:fill="D5E8F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3B8DFE">
            <w:pPr>
              <w:jc w:val="center"/>
            </w:pPr>
            <w:r>
              <w:rPr>
                <w:b/>
                <w:sz w:val="22"/>
                <w:szCs w:val="22"/>
              </w:rPr>
              <w:t>按 SOC 从大到小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动态分配剩余功率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电流 = 剩余 / 额定电压</w:t>
            </w:r>
          </w:p>
        </w:tc>
      </w:tr>
    </w:tbl>
    <w:p w14:paraId="79EF8AF6">
      <w:pPr>
        <w:spacing w:before="20" w:after="20"/>
      </w:pPr>
    </w:p>
    <w:p w14:paraId="543649B7">
      <w:pPr>
        <w:spacing w:before="0" w:after="0"/>
        <w:jc w:val="center"/>
      </w:pPr>
      <w:r>
        <w:rPr>
          <w:b/>
          <w:color w:val="2E75B6"/>
          <w:sz w:val="24"/>
          <w:szCs w:val="24"/>
        </w:rPr>
        <w:t>↓</w:t>
      </w:r>
    </w:p>
    <w:p w14:paraId="4FC8288C">
      <w:pPr>
        <w:spacing w:before="20" w:after="20"/>
      </w:pPr>
    </w:p>
    <w:tbl>
      <w:tblPr>
        <w:tblStyle w:val="2"/>
        <w:tblW w:w="7000" w:type="dxa"/>
        <w:tblInd w:w="0" w:type="dxa"/>
        <w:tblBorders>
          <w:top w:val="single" w:color="2E75B6" w:sz="6" w:space="0"/>
          <w:left w:val="single" w:color="2E75B6" w:sz="6" w:space="0"/>
          <w:bottom w:val="single" w:color="2E75B6" w:sz="6" w:space="0"/>
          <w:right w:val="single" w:color="2E75B6" w:sz="6" w:space="0"/>
          <w:insideH w:val="single" w:color="2E75B6" w:sz="6" w:space="0"/>
          <w:insideV w:val="single" w:color="2E75B6" w:sz="6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0"/>
      </w:tblGrid>
      <w:tr w14:paraId="7A920527">
        <w:tblPrEx>
          <w:tblBorders>
            <w:top w:val="single" w:color="2E75B6" w:sz="6" w:space="0"/>
            <w:left w:val="single" w:color="2E75B6" w:sz="6" w:space="0"/>
            <w:bottom w:val="single" w:color="2E75B6" w:sz="6" w:space="0"/>
            <w:right w:val="single" w:color="2E75B6" w:sz="6" w:space="0"/>
            <w:insideH w:val="single" w:color="2E75B6" w:sz="6" w:space="0"/>
            <w:insideV w:val="single" w:color="2E75B6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0" w:type="dxa"/>
            <w:shd w:val="clear" w:color="auto" w:fill="DDEB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E321C7">
            <w:pPr>
              <w:jc w:val="center"/>
            </w:pPr>
            <w:r>
              <w:rPr>
                <w:b/>
                <w:sz w:val="22"/>
                <w:szCs w:val="22"/>
              </w:rPr>
              <w:t>S6 逐设备下发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candi = 0x1803F000 + i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电压=额定, 电流=分配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ChargeEnable=(power&gt;1.0 &amp;&amp; cur&gt;0)?0x55:0</w:t>
            </w:r>
          </w:p>
        </w:tc>
      </w:tr>
    </w:tbl>
    <w:p w14:paraId="207E9089">
      <w:pPr>
        <w:spacing w:before="20" w:after="20"/>
      </w:pPr>
    </w:p>
    <w:p w14:paraId="67808775">
      <w:pPr>
        <w:spacing w:before="0" w:after="0"/>
        <w:jc w:val="center"/>
      </w:pPr>
      <w:r>
        <w:rPr>
          <w:b/>
          <w:color w:val="2E75B6"/>
          <w:sz w:val="24"/>
          <w:szCs w:val="24"/>
        </w:rPr>
        <w:t>回到 S2</w:t>
      </w:r>
    </w:p>
    <w:p w14:paraId="298AA6C2">
      <w:pPr>
        <w:spacing w:before="200" w:after="120"/>
      </w:pPr>
      <w:r>
        <w:rPr>
          <w:b/>
          <w:color w:val="1F3864"/>
          <w:sz w:val="26"/>
          <w:szCs w:val="26"/>
        </w:rPr>
        <w:t>四-B、CAN 总线离线恢复子状态机（S1 守卫）</w:t>
      </w:r>
    </w:p>
    <w:p w14:paraId="48C0C85B">
      <w:pPr>
        <w:spacing w:before="20" w:after="20"/>
      </w:pPr>
    </w:p>
    <w:tbl>
      <w:tblPr>
        <w:tblStyle w:val="2"/>
        <w:tblW w:w="7000" w:type="dxa"/>
        <w:tblInd w:w="0" w:type="dxa"/>
        <w:tblBorders>
          <w:top w:val="single" w:color="2E75B6" w:sz="6" w:space="0"/>
          <w:left w:val="single" w:color="2E75B6" w:sz="6" w:space="0"/>
          <w:bottom w:val="single" w:color="2E75B6" w:sz="6" w:space="0"/>
          <w:right w:val="single" w:color="2E75B6" w:sz="6" w:space="0"/>
          <w:insideH w:val="single" w:color="2E75B6" w:sz="6" w:space="0"/>
          <w:insideV w:val="single" w:color="2E75B6" w:sz="6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0"/>
      </w:tblGrid>
      <w:tr w14:paraId="4B026EBD">
        <w:tblPrEx>
          <w:tblBorders>
            <w:top w:val="single" w:color="2E75B6" w:sz="6" w:space="0"/>
            <w:left w:val="single" w:color="2E75B6" w:sz="6" w:space="0"/>
            <w:bottom w:val="single" w:color="2E75B6" w:sz="6" w:space="0"/>
            <w:right w:val="single" w:color="2E75B6" w:sz="6" w:space="0"/>
            <w:insideH w:val="single" w:color="2E75B6" w:sz="6" w:space="0"/>
            <w:insideV w:val="single" w:color="2E75B6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0" w:type="dxa"/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4175B5">
            <w:pPr>
              <w:jc w:val="center"/>
            </w:pPr>
            <w:r>
              <w:rPr>
                <w:b/>
                <w:sz w:val="22"/>
                <w:szCs w:val="22"/>
              </w:rPr>
              <w:t>BUSOFF_NONE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(总线正常, tx_disable=FALSE)</w:t>
            </w:r>
          </w:p>
        </w:tc>
      </w:tr>
    </w:tbl>
    <w:p w14:paraId="6F0B806E">
      <w:pPr>
        <w:spacing w:before="20" w:after="20"/>
      </w:pPr>
    </w:p>
    <w:p w14:paraId="2231EA9A">
      <w:pPr>
        <w:spacing w:before="0" w:after="0"/>
        <w:jc w:val="center"/>
      </w:pPr>
      <w:r>
        <w:rPr>
          <w:b/>
          <w:color w:val="2E75B6"/>
          <w:sz w:val="24"/>
          <w:szCs w:val="24"/>
        </w:rPr>
        <w:t>检测到 BUS-OFF 错误 (CAN_ERR_BOERR)</w:t>
      </w:r>
    </w:p>
    <w:p w14:paraId="2BE11160">
      <w:pPr>
        <w:spacing w:before="20" w:after="20"/>
      </w:pPr>
    </w:p>
    <w:tbl>
      <w:tblPr>
        <w:tblStyle w:val="2"/>
        <w:tblW w:w="7000" w:type="dxa"/>
        <w:tblInd w:w="0" w:type="dxa"/>
        <w:tblBorders>
          <w:top w:val="single" w:color="2E75B6" w:sz="6" w:space="0"/>
          <w:left w:val="single" w:color="2E75B6" w:sz="6" w:space="0"/>
          <w:bottom w:val="single" w:color="2E75B6" w:sz="6" w:space="0"/>
          <w:right w:val="single" w:color="2E75B6" w:sz="6" w:space="0"/>
          <w:insideH w:val="single" w:color="2E75B6" w:sz="6" w:space="0"/>
          <w:insideV w:val="single" w:color="2E75B6" w:sz="6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0"/>
      </w:tblGrid>
      <w:tr w14:paraId="7AE57B9C">
        <w:tblPrEx>
          <w:tblBorders>
            <w:top w:val="single" w:color="2E75B6" w:sz="6" w:space="0"/>
            <w:left w:val="single" w:color="2E75B6" w:sz="6" w:space="0"/>
            <w:bottom w:val="single" w:color="2E75B6" w:sz="6" w:space="0"/>
            <w:right w:val="single" w:color="2E75B6" w:sz="6" w:space="0"/>
            <w:insideH w:val="single" w:color="2E75B6" w:sz="6" w:space="0"/>
            <w:insideV w:val="single" w:color="2E75B6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0" w:type="dxa"/>
            <w:shd w:val="clear" w:color="auto" w:fill="FFF2C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7DA35D">
            <w:pPr>
              <w:jc w:val="center"/>
            </w:pPr>
            <w:r>
              <w:rPr>
                <w:b/>
                <w:sz w:val="22"/>
                <w:szCs w:val="22"/>
              </w:rPr>
              <w:t>BUSOFF_QUICK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(counter&lt;5, 快恢复 100ms)</w:t>
            </w:r>
          </w:p>
        </w:tc>
      </w:tr>
    </w:tbl>
    <w:p w14:paraId="05CF95A5">
      <w:pPr>
        <w:spacing w:before="20" w:after="20"/>
      </w:pPr>
    </w:p>
    <w:p w14:paraId="7A9CA2D1">
      <w:pPr>
        <w:spacing w:before="0" w:after="0"/>
        <w:jc w:val="center"/>
      </w:pPr>
      <w:r>
        <w:rPr>
          <w:b/>
          <w:color w:val="2E75B6"/>
          <w:sz w:val="24"/>
          <w:szCs w:val="24"/>
        </w:rPr>
        <w:t>busoff_counter≥5</w:t>
      </w:r>
    </w:p>
    <w:p w14:paraId="763B92E3">
      <w:pPr>
        <w:spacing w:before="20" w:after="20"/>
      </w:pPr>
    </w:p>
    <w:tbl>
      <w:tblPr>
        <w:tblStyle w:val="2"/>
        <w:tblW w:w="7000" w:type="dxa"/>
        <w:tblInd w:w="0" w:type="dxa"/>
        <w:tblBorders>
          <w:top w:val="single" w:color="2E75B6" w:sz="6" w:space="0"/>
          <w:left w:val="single" w:color="2E75B6" w:sz="6" w:space="0"/>
          <w:bottom w:val="single" w:color="2E75B6" w:sz="6" w:space="0"/>
          <w:right w:val="single" w:color="2E75B6" w:sz="6" w:space="0"/>
          <w:insideH w:val="single" w:color="2E75B6" w:sz="6" w:space="0"/>
          <w:insideV w:val="single" w:color="2E75B6" w:sz="6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0"/>
      </w:tblGrid>
      <w:tr w14:paraId="00497DA2">
        <w:tblPrEx>
          <w:tblBorders>
            <w:top w:val="single" w:color="2E75B6" w:sz="6" w:space="0"/>
            <w:left w:val="single" w:color="2E75B6" w:sz="6" w:space="0"/>
            <w:bottom w:val="single" w:color="2E75B6" w:sz="6" w:space="0"/>
            <w:right w:val="single" w:color="2E75B6" w:sz="6" w:space="0"/>
            <w:insideH w:val="single" w:color="2E75B6" w:sz="6" w:space="0"/>
            <w:insideV w:val="single" w:color="2E75B6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0" w:type="dxa"/>
            <w:shd w:val="clear" w:color="auto" w:fill="FFF2C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2AFA97">
            <w:pPr>
              <w:jc w:val="center"/>
            </w:pPr>
            <w:r>
              <w:rPr>
                <w:b/>
                <w:sz w:val="22"/>
                <w:szCs w:val="22"/>
              </w:rPr>
              <w:t>BUSOFF_SLOW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(慢恢复 1000ms)</w:t>
            </w:r>
          </w:p>
        </w:tc>
      </w:tr>
    </w:tbl>
    <w:p w14:paraId="2AF4D49E">
      <w:pPr>
        <w:spacing w:before="20" w:after="20"/>
      </w:pPr>
    </w:p>
    <w:p w14:paraId="067D2C12">
      <w:pPr>
        <w:spacing w:before="0" w:after="0"/>
        <w:jc w:val="center"/>
      </w:pPr>
      <w:r>
        <w:rPr>
          <w:b/>
          <w:color w:val="2E75B6"/>
          <w:sz w:val="24"/>
          <w:szCs w:val="24"/>
        </w:rPr>
        <w:t>↓</w:t>
      </w:r>
    </w:p>
    <w:p w14:paraId="5E5C5B55">
      <w:pPr>
        <w:spacing w:before="20" w:after="20"/>
      </w:pPr>
    </w:p>
    <w:tbl>
      <w:tblPr>
        <w:tblStyle w:val="2"/>
        <w:tblW w:w="7000" w:type="dxa"/>
        <w:tblInd w:w="0" w:type="dxa"/>
        <w:tblBorders>
          <w:top w:val="single" w:color="2E75B6" w:sz="6" w:space="0"/>
          <w:left w:val="single" w:color="2E75B6" w:sz="6" w:space="0"/>
          <w:bottom w:val="single" w:color="2E75B6" w:sz="6" w:space="0"/>
          <w:right w:val="single" w:color="2E75B6" w:sz="6" w:space="0"/>
          <w:insideH w:val="single" w:color="2E75B6" w:sz="6" w:space="0"/>
          <w:insideV w:val="single" w:color="2E75B6" w:sz="6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0"/>
      </w:tblGrid>
      <w:tr w14:paraId="384E3BBB">
        <w:tblPrEx>
          <w:tblBorders>
            <w:top w:val="single" w:color="2E75B6" w:sz="6" w:space="0"/>
            <w:left w:val="single" w:color="2E75B6" w:sz="6" w:space="0"/>
            <w:bottom w:val="single" w:color="2E75B6" w:sz="6" w:space="0"/>
            <w:right w:val="single" w:color="2E75B6" w:sz="6" w:space="0"/>
            <w:insideH w:val="single" w:color="2E75B6" w:sz="6" w:space="0"/>
            <w:insideV w:val="single" w:color="2E75B6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0" w:type="dxa"/>
            <w:shd w:val="clear" w:color="auto" w:fill="E2EFD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D0E7CA">
            <w:pPr>
              <w:jc w:val="center"/>
            </w:pPr>
            <w:r>
              <w:rPr>
                <w:b/>
                <w:sz w:val="22"/>
                <w:szCs w:val="22"/>
              </w:rPr>
              <w:t>超时后重新初始化 CAN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清 BOERR, tx_disable=FALSE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busoff_state=NONE</w:t>
            </w:r>
          </w:p>
        </w:tc>
      </w:tr>
    </w:tbl>
    <w:p w14:paraId="7970766D">
      <w:pPr>
        <w:spacing w:before="20" w:after="20"/>
      </w:pPr>
    </w:p>
    <w:p w14:paraId="3A18A8E4">
      <w:pPr>
        <w:spacing w:before="0" w:after="0"/>
        <w:jc w:val="center"/>
      </w:pPr>
      <w:r>
        <w:rPr>
          <w:b/>
          <w:color w:val="2E75B6"/>
          <w:sz w:val="24"/>
          <w:szCs w:val="24"/>
        </w:rPr>
        <w:t>恢复</w:t>
      </w:r>
    </w:p>
    <w:p w14:paraId="11A6EB69">
      <w:pPr>
        <w:spacing w:before="20" w:after="20"/>
      </w:pPr>
    </w:p>
    <w:tbl>
      <w:tblPr>
        <w:tblStyle w:val="2"/>
        <w:tblW w:w="7000" w:type="dxa"/>
        <w:tblInd w:w="0" w:type="dxa"/>
        <w:tblBorders>
          <w:top w:val="single" w:color="2E75B6" w:sz="6" w:space="0"/>
          <w:left w:val="single" w:color="2E75B6" w:sz="6" w:space="0"/>
          <w:bottom w:val="single" w:color="2E75B6" w:sz="6" w:space="0"/>
          <w:right w:val="single" w:color="2E75B6" w:sz="6" w:space="0"/>
          <w:insideH w:val="single" w:color="2E75B6" w:sz="6" w:space="0"/>
          <w:insideV w:val="single" w:color="2E75B6" w:sz="6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00"/>
      </w:tblGrid>
      <w:tr w14:paraId="576D6D01">
        <w:tblPrEx>
          <w:tblBorders>
            <w:top w:val="single" w:color="2E75B6" w:sz="6" w:space="0"/>
            <w:left w:val="single" w:color="2E75B6" w:sz="6" w:space="0"/>
            <w:bottom w:val="single" w:color="2E75B6" w:sz="6" w:space="0"/>
            <w:right w:val="single" w:color="2E75B6" w:sz="6" w:space="0"/>
            <w:insideH w:val="single" w:color="2E75B6" w:sz="6" w:space="0"/>
            <w:insideV w:val="single" w:color="2E75B6" w:sz="6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0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DFB812">
            <w:pPr>
              <w:jc w:val="center"/>
            </w:pPr>
            <w:r>
              <w:rPr>
                <w:b/>
                <w:sz w:val="22"/>
                <w:szCs w:val="22"/>
              </w:rPr>
              <w:t>MISS_ACK_NONE → MISS_ACK_TIMEOUT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→ MISS_ACK_RECOVERY</w:t>
            </w:r>
            <w:r>
              <w:rPr>
                <w:b/>
                <w:sz w:val="22"/>
                <w:szCs w:val="22"/>
              </w:rPr>
              <w:br w:type="textWrapping"/>
            </w:r>
            <w:r>
              <w:rPr>
                <w:b/>
                <w:sz w:val="22"/>
                <w:szCs w:val="22"/>
              </w:rPr>
              <w:t>(漏应答时停发 TX_TIMEOUT, 再恢复)</w:t>
            </w:r>
          </w:p>
        </w:tc>
      </w:tr>
    </w:tbl>
    <w:p w14:paraId="18E20480">
      <w:pPr>
        <w:spacing w:before="20" w:after="20"/>
      </w:pPr>
    </w:p>
    <w:p w14:paraId="58213C43">
      <w:pPr>
        <w:spacing w:before="200" w:after="120"/>
      </w:pPr>
      <w:r>
        <w:rPr>
          <w:b/>
          <w:color w:val="1F3864"/>
          <w:sz w:val="30"/>
          <w:szCs w:val="30"/>
        </w:rPr>
        <w:t>五、关键说明</w:t>
      </w:r>
    </w:p>
    <w:p w14:paraId="337352A4">
      <w:pPr>
        <w:numPr>
          <w:ilvl w:val="0"/>
          <w:numId w:val="1"/>
        </w:numPr>
        <w:spacing w:before="40" w:after="40"/>
      </w:pPr>
      <w:r>
        <w:rPr>
          <w:sz w:val="22"/>
          <w:szCs w:val="22"/>
        </w:rPr>
        <w:t>守卫关系：S1 总线监测是全局守卫。只有 busoff_state==BUSOFF_NONE 且 tx_disable==FALSE 时，S3/S6 的下发才真正有效；离线期间所有 CanTransmit 被抑制。</w:t>
      </w:r>
    </w:p>
    <w:p w14:paraId="6A3AF23F">
      <w:pPr>
        <w:numPr>
          <w:ilvl w:val="0"/>
          <w:numId w:val="1"/>
        </w:numPr>
        <w:spacing w:before="40" w:after="40"/>
      </w:pPr>
      <w:r>
        <w:rPr>
          <w:sz w:val="22"/>
          <w:szCs w:val="22"/>
        </w:rPr>
        <w:t>并发而非互斥：S2 每周期都执行；S3（10s）与 S4/S5/S6（5s）按各自定时器触发，互相穿插，并非严格串行排队。</w:t>
      </w:r>
    </w:p>
    <w:p w14:paraId="6AC53077">
      <w:pPr>
        <w:numPr>
          <w:ilvl w:val="0"/>
          <w:numId w:val="1"/>
        </w:numPr>
        <w:spacing w:before="40" w:after="40"/>
      </w:pPr>
      <w:r>
        <w:rPr>
          <w:sz w:val="22"/>
          <w:szCs w:val="22"/>
        </w:rPr>
        <w:t>支付门控：S3 使能广播受 PaygGetPayState() 约束——未付费时 TargetChargeVoltageH 置 0xFF（暂停），设备据此停止充电。</w:t>
      </w:r>
    </w:p>
    <w:p w14:paraId="4B558922">
      <w:pPr>
        <w:numPr>
          <w:ilvl w:val="0"/>
          <w:numId w:val="1"/>
        </w:numPr>
        <w:spacing w:before="40" w:after="40"/>
      </w:pPr>
      <w:r>
        <w:rPr>
          <w:sz w:val="22"/>
          <w:szCs w:val="22"/>
        </w:rPr>
        <w:t>功率门控：power&gt;1.0 才允许 ChargeEnable=0x55；分配结果为 0 电流的设备同样被置为不使能，自然退出充电。</w:t>
      </w:r>
    </w:p>
    <w:p w14:paraId="395A6FD0">
      <w:pPr>
        <w:numPr>
          <w:ilvl w:val="0"/>
          <w:numId w:val="1"/>
        </w:numPr>
        <w:spacing w:before="40" w:after="40"/>
      </w:pPr>
      <w:r>
        <w:rPr>
          <w:sz w:val="22"/>
          <w:szCs w:val="22"/>
        </w:rPr>
        <w:t>失联自愈：S7 仅清零离线设备数据并使其退出本轮分配，不影响其他在线设备的功率分配与下发。</w:t>
      </w:r>
    </w:p>
    <w:p w14:paraId="41667383">
      <w:pPr>
        <w:numPr>
          <w:ilvl w:val="0"/>
          <w:numId w:val="1"/>
        </w:numPr>
        <w:spacing w:before="40" w:after="40"/>
      </w:pPr>
      <w:r>
        <w:rPr>
          <w:sz w:val="22"/>
          <w:szCs w:val="22"/>
        </w:rPr>
        <w:t>与功率分配算法的衔接：S5/S6 正是《充电功率动态分配算法说明》中流程图的具体实现，决策与下发逻辑完全一致。</w:t>
      </w:r>
    </w:p>
    <w:p w14:paraId="7FB08C83">
      <w:pPr>
        <w:spacing w:before="200" w:after="120"/>
      </w:pPr>
      <w:r>
        <w:rPr>
          <w:b/>
          <w:color w:val="1F3864"/>
          <w:sz w:val="30"/>
          <w:szCs w:val="30"/>
        </w:rPr>
        <w:t>六、与《充电功率动态分配算法说明》的对应关系</w:t>
      </w:r>
    </w:p>
    <w:tbl>
      <w:tblPr>
        <w:tblStyle w:val="2"/>
        <w:tblW w:w="9360" w:type="dxa"/>
        <w:tblInd w:w="0" w:type="dxa"/>
        <w:tblBorders>
          <w:top w:val="single" w:color="CCCCCC" w:sz="4" w:space="0"/>
          <w:left w:val="single" w:color="CCCCCC" w:sz="4" w:space="0"/>
          <w:bottom w:val="single" w:color="CCCCCC" w:sz="4" w:space="0"/>
          <w:right w:val="single" w:color="CCCCCC" w:sz="4" w:space="0"/>
          <w:insideH w:val="single" w:color="CCCCCC" w:sz="4" w:space="0"/>
          <w:insideV w:val="single" w:color="CCCCCC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3200"/>
        <w:gridCol w:w="2760"/>
      </w:tblGrid>
      <w:tr w14:paraId="1B5A5629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340626">
            <w:r>
              <w:rPr>
                <w:b/>
                <w:sz w:val="18"/>
                <w:szCs w:val="18"/>
              </w:rPr>
              <w:t>算法文档步骤</w:t>
            </w:r>
          </w:p>
        </w:tc>
        <w:tc>
          <w:tcPr>
            <w:tcW w:w="3200" w:type="dxa"/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E62394">
            <w:r>
              <w:rPr>
                <w:b/>
                <w:sz w:val="18"/>
                <w:szCs w:val="18"/>
              </w:rPr>
              <w:t>本状态机环节</w:t>
            </w:r>
          </w:p>
        </w:tc>
        <w:tc>
          <w:tcPr>
            <w:tcW w:w="2760" w:type="dxa"/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0485B0">
            <w:r>
              <w:rPr>
                <w:b/>
                <w:sz w:val="18"/>
                <w:szCs w:val="18"/>
              </w:rPr>
              <w:t>代码</w:t>
            </w:r>
          </w:p>
        </w:tc>
      </w:tr>
      <w:tr w14:paraId="1C95E7CB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A9C835">
            <w:r>
              <w:rPr>
                <w:sz w:val="18"/>
                <w:szCs w:val="18"/>
              </w:rPr>
              <w:t>读取设置功率 / 量纲换算</w:t>
            </w:r>
          </w:p>
        </w:tc>
        <w:tc>
          <w:tcPr>
            <w:tcW w:w="3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FE78BC">
            <w:r>
              <w:rPr>
                <w:sz w:val="18"/>
                <w:szCs w:val="18"/>
              </w:rPr>
              <w:t>S5 分配决策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34D7E8">
            <w:r>
              <w:rPr>
                <w:sz w:val="18"/>
                <w:szCs w:val="18"/>
              </w:rPr>
              <w:t>vcu_canbox_cur:564-596</w:t>
            </w:r>
          </w:p>
        </w:tc>
      </w:tr>
      <w:tr w14:paraId="3A6FD67B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6573C7">
            <w:r>
              <w:rPr>
                <w:sz w:val="18"/>
                <w:szCs w:val="18"/>
              </w:rPr>
              <w:t>SOC 排序（大者优先）</w:t>
            </w:r>
          </w:p>
        </w:tc>
        <w:tc>
          <w:tcPr>
            <w:tcW w:w="32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09781B">
            <w:r>
              <w:rPr>
                <w:sz w:val="18"/>
                <w:szCs w:val="18"/>
              </w:rPr>
              <w:t>S2 数据采集 + S5</w:t>
            </w:r>
          </w:p>
        </w:tc>
        <w:tc>
          <w:tcPr>
            <w:tcW w:w="276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9AED38">
            <w:r>
              <w:rPr>
                <w:sz w:val="18"/>
                <w:szCs w:val="18"/>
              </w:rPr>
              <w:t>g_bat_soc / soc_order</w:t>
            </w:r>
          </w:p>
        </w:tc>
      </w:tr>
      <w:tr w14:paraId="1A105556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D35350">
            <w:r>
              <w:rPr>
                <w:sz w:val="18"/>
                <w:szCs w:val="18"/>
              </w:rPr>
              <w:t>power≥total 全额定</w:t>
            </w:r>
          </w:p>
        </w:tc>
        <w:tc>
          <w:tcPr>
            <w:tcW w:w="3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0276AE">
            <w:r>
              <w:rPr>
                <w:sz w:val="18"/>
                <w:szCs w:val="18"/>
              </w:rPr>
              <w:t>S5→S6 充足分支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41503E">
            <w:r>
              <w:rPr>
                <w:sz w:val="18"/>
                <w:szCs w:val="18"/>
              </w:rPr>
              <w:t>vcu_canbox_cur:598-601</w:t>
            </w:r>
          </w:p>
        </w:tc>
      </w:tr>
      <w:tr w14:paraId="34A449FC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4E32EE">
            <w:r>
              <w:rPr>
                <w:sz w:val="18"/>
                <w:szCs w:val="18"/>
              </w:rPr>
              <w:t>功率不足动态分配</w:t>
            </w:r>
          </w:p>
        </w:tc>
        <w:tc>
          <w:tcPr>
            <w:tcW w:w="320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110655">
            <w:r>
              <w:rPr>
                <w:sz w:val="18"/>
                <w:szCs w:val="18"/>
              </w:rPr>
              <w:t>S5→S6 不足分支</w:t>
            </w:r>
          </w:p>
        </w:tc>
        <w:tc>
          <w:tcPr>
            <w:tcW w:w="2760" w:type="dxa"/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BA7F43">
            <w:r>
              <w:rPr>
                <w:sz w:val="18"/>
                <w:szCs w:val="18"/>
              </w:rPr>
              <w:t>vcu_canbox_cur:603-627</w:t>
            </w:r>
          </w:p>
        </w:tc>
      </w:tr>
      <w:tr w14:paraId="2FB5C89F">
        <w:tblPrEx>
          <w:tblBorders>
            <w:top w:val="single" w:color="CCCCCC" w:sz="4" w:space="0"/>
            <w:left w:val="single" w:color="CCCCCC" w:sz="4" w:space="0"/>
            <w:bottom w:val="single" w:color="CCCCCC" w:sz="4" w:space="0"/>
            <w:right w:val="single" w:color="CCCCCC" w:sz="4" w:space="0"/>
            <w:insideH w:val="single" w:color="CCCCCC" w:sz="4" w:space="0"/>
            <w:insideV w:val="single" w:color="CCCCCC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B7B556">
            <w:r>
              <w:rPr>
                <w:sz w:val="18"/>
                <w:szCs w:val="18"/>
              </w:rPr>
              <w:t>逐设备下发电压/电流/使能</w:t>
            </w:r>
          </w:p>
        </w:tc>
        <w:tc>
          <w:tcPr>
            <w:tcW w:w="320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8371D8">
            <w:r>
              <w:rPr>
                <w:sz w:val="18"/>
                <w:szCs w:val="18"/>
              </w:rPr>
              <w:t>S6 逐设备下发</w:t>
            </w:r>
          </w:p>
        </w:tc>
        <w:tc>
          <w:tcPr>
            <w:tcW w:w="2760" w:type="dxa"/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855EFB">
            <w:r>
              <w:rPr>
                <w:sz w:val="18"/>
                <w:szCs w:val="18"/>
              </w:rPr>
              <w:t>vcu_canbox_cur:629-644</w:t>
            </w:r>
          </w:p>
        </w:tc>
      </w:tr>
    </w:tbl>
    <w:p w14:paraId="0DE54C7B"/>
    <w:sectPr>
      <w:pgSz w:w="12240" w:h="15840"/>
      <w:pgMar w:top="1440" w:right="1440" w:bottom="144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4766696D"/>
    <w:rsid w:val="4E03092B"/>
    <w:rsid w:val="708A77FF"/>
    <w:rsid w:val="73A1735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1424</Words>
  <Characters>3044</Characters>
  <TotalTime>1</TotalTime>
  <ScaleCrop>false</ScaleCrop>
  <LinksUpToDate>false</LinksUpToDate>
  <CharactersWithSpaces>3281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2026-09-23T08:28:00Z</dcterms:created>
  <dc:creator>CodeBuddy</dc:creator>
  <cp:lastModifiedBy>WPS_1762739689</cp:lastModifiedBy>
  <dcterms:modified xsi:type="dcterms:W3CDTF">2026-09-23T08:32:04Z</dcterms:modified>
  <dc:title>充电与功率分配控制状态机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eyJoZGlkIjoiMzNlNTBmYzc5ZDcwZGNmYTE1ZWU2ZmJhNWFhMzJmZGIiLCJ1c2VySWQiOiIxNzY4NzkwNzI0In0=</vt:lpwstr>
  </property>
  <property fmtid="{D5CDD505-2E9C-101B-9397-08002B2CF9AE}" pid="3" name="KSOProductBuildVer">
    <vt:lpwstr>2052-12.1.0.28505</vt:lpwstr>
  </property>
  <property fmtid="{D5CDD505-2E9C-101B-9397-08002B2CF9AE}" pid="4" name="ICV">
    <vt:lpwstr>F4A64546788842588E87822780B39D35_12</vt:lpwstr>
  </property>
</Properties>
</file>