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0" w:after="60"/>
        <w:jc w:val="center"/>
      </w:pPr>
      <w:r>
        <w:rPr>
          <w:b/>
          <w:sz w:val="34"/>
          <w:szCs w:val="34"/>
          <w:color w:val="1F3864"/>
        </w:rPr>
        <w:t xml:space="preserve">充电功率动态分配算法说明</w:t>
      </w:r>
    </w:p>
    <w:p>
      <w:pPr>
        <w:spacing w:before="0" w:after="160"/>
        <w:jc w:val="center"/>
      </w:pPr>
      <w:r>
        <w:rPr>
          <w:sz w:val="22"/>
          <w:szCs w:val="22"/>
          <w:color w:val="595959"/>
        </w:rPr>
        <w:t xml:space="preserve">函数 vcu_canbox_cur() — 按子设备 SOC 大小分配并设置下发功率</w:t>
      </w:r>
    </w:p>
    <w:p>
      <w:pPr>
        <w:spacing w:before="200" w:after="120"/>
      </w:pPr>
      <w:r>
        <w:rPr>
          <w:b/>
          <w:sz w:val="30"/>
          <w:szCs w:val="30"/>
          <w:color w:val="1F3864"/>
        </w:rPr>
        <w:t xml:space="preserve">一、算法概述</w:t>
      </w:r>
    </w:p>
    <w:p>
      <w:pPr>
        <w:spacing w:before="80" w:after="80"/>
      </w:pPr>
      <w:r>
        <w:rPr>
          <w:sz w:val="22"/>
          <w:szCs w:val="22"/>
        </w:rPr>
        <w:t xml:space="preserve">在充电站应用中，系统通过 CAN 总线管理多个子设备（最多 CHARGE_NUM 个）。每个子设备上报自身的额定电压/额定电流（存入 g_BmsSysAP[i]），并实时上报 SOC（存入 g_SlotBmsInfor[i].Soc）。用户通过上位机设置一个总功率 power，系统同时计算出所有子设备额定功率之和 total_power_all。本算法根据“设置功率”与“全部负载额定功率之和”的大小关系，决定下发策略：</w:t>
      </w:r>
    </w:p>
    <w:p>
      <w:pPr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当 power ≥ total_power_all（功率充足）：所有子设备均按额定值（额定电压、额定电流）下发。</w:t>
      </w:r>
    </w:p>
    <w:p>
      <w:pPr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当 power &lt; total_power_all（功率不足）：按 SOC 从大到小排序，SOC 高的子设备优先获得充电功率；功率够时按额定下发，剩余功率不足时按“剩余功率 ÷ 额定电压”动态计算电流，依次分配直至功率用尽。</w:t>
      </w:r>
    </w:p>
    <w:p>
      <w:pPr>
        <w:spacing w:before="200" w:after="120"/>
      </w:pPr>
      <w:r>
        <w:rPr>
          <w:b/>
          <w:sz w:val="30"/>
          <w:szCs w:val="30"/>
          <w:color w:val="1F3864"/>
        </w:rPr>
        <w:t xml:space="preserve">二、关键变量说明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val="04A0"/>
      </w:tblPr>
      <w:tblGrid>
        <w:gridCol w:w="3200"/>
        <w:gridCol w:w="6160"/>
      </w:tblGrid>
      <w:tr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sz w:val="20"/>
                <w:szCs w:val="20"/>
              </w:rPr>
              <w:t xml:space="preserve">power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用户设置的功率（由 get_set_power() 经 MbUint8ToFloat 得到），与 total_power_all 同单位。</w:t>
            </w:r>
          </w:p>
        </w:tc>
      </w:tr>
      <w:tr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sz w:val="20"/>
                <w:szCs w:val="20"/>
              </w:rPr>
              <w:t xml:space="preserve">total_power_all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全部子设备额定功率之和 = Σ(ap_vol[i]×ap_cur[i]) / 1e7，由 CanProc() 周期性计算。</w:t>
            </w:r>
          </w:p>
        </w:tc>
      </w:tr>
      <w:tr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sz w:val="20"/>
                <w:szCs w:val="20"/>
              </w:rPr>
              <w:t xml:space="preserve">ap_vol[i] / ap_cur[i]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第 i 个子设备的额定电压 / 额定电流，来自 g_BmsSysAP[i]（TargetAPVoltageH/L、TargetAPCurrentH/L）。</w:t>
            </w:r>
          </w:p>
        </w:tc>
      </w:tr>
      <w:tr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sz w:val="20"/>
                <w:szCs w:val="20"/>
              </w:rPr>
              <w:t xml:space="preserve">power_raw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power 换算到与 ap_vol×ap_cur 相同量纲的值：power × 10000000.0f，作为可分配的总功率。</w:t>
            </w:r>
          </w:p>
        </w:tc>
      </w:tr>
      <w:tr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sz w:val="20"/>
                <w:szCs w:val="20"/>
              </w:rPr>
              <w:t xml:space="preserve">left_power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剩余可分配功率，初始 = power_raw；每分配一个设备后扣减，归零后其余设备电流为 0。</w:t>
            </w:r>
          </w:p>
        </w:tc>
      </w:tr>
      <w:tr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sz w:val="20"/>
                <w:szCs w:val="20"/>
              </w:rPr>
              <w:t xml:space="preserve">rated_power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第 j 个子设备的额定功率 = ap_vol[j] × ap_cur[j]，仅用于判断剩余功率是否够其满功率运行（非累计消耗）。</w:t>
            </w:r>
          </w:p>
        </w:tc>
      </w:tr>
      <w:tr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sz w:val="20"/>
                <w:szCs w:val="20"/>
              </w:rPr>
              <w:t xml:space="preserve">soc_order[]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按 g_SlotBmsInfor[i].Soc 从大到小排序后的子设备序号数组，决定分配优先级。</w:t>
            </w:r>
          </w:p>
        </w:tc>
      </w:tr>
      <w:tr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sz w:val="20"/>
                <w:szCs w:val="20"/>
              </w:rPr>
              <w:t xml:space="preserve">out_cur[i]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最终下发给第 i 个子设备的充电电流（已按功率分配/额定折算）。</w:t>
            </w:r>
          </w:p>
        </w:tc>
      </w:tr>
      <w:tr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sz w:val="20"/>
                <w:szCs w:val="20"/>
              </w:rPr>
              <w:t xml:space="preserve">candi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20"/>
                <w:szCs w:val="20"/>
              </w:rPr>
              <w:t xml:space="preserve">下发 CAN ID = 0x1803F000 + 子设备序号 i。</w:t>
            </w:r>
          </w:p>
        </w:tc>
      </w:tr>
    </w:tbl>
    <w:p>
      <w:pPr>
        <w:spacing w:before="200" w:after="120"/>
      </w:pPr>
      <w:r>
        <w:rPr>
          <w:b/>
          <w:sz w:val="30"/>
          <w:szCs w:val="30"/>
          <w:color w:val="1F3864"/>
        </w:rPr>
        <w:t xml:space="preserve">三、处理流程（文字步骤）</w:t>
      </w:r>
    </w:p>
    <w:p>
      <w:pPr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读取设置功率：set_power = get_set_power()，经 MbUint8ToFloat() 得到 float 型 power。</w:t>
      </w:r>
    </w:p>
    <w:p>
      <w:pPr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读取额定值：遍历 i = 0…CHARGE_NUM-1，从 g_BmsSysAP[i] 取出 ap_vol[i]、ap_cur[i]，初始化 out_cur[i]=0，并按 i 初始化 soc_order[i]。</w:t>
      </w:r>
    </w:p>
    <w:p>
      <w:pPr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SOC 排序：对所有子设备按 g_SlotBmsInfor[i].Soc 从大到小进行简单选择排序，排序结果存入 soc_order[]，使 SOC 大的排在前、优先分配。</w:t>
      </w:r>
    </w:p>
    <w:p>
      <w:pPr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量纲换算：power_raw = power × 10000000.0f，使其与 ap_vol×ap_cur 处于同一量纲。</w:t>
      </w:r>
    </w:p>
    <w:p>
      <w:pPr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分支判断：若 power ≥ total_power_all，则所有 out_cur[i] = ap_cur[i]（全部按额定下发）；否则进入动态分配。</w:t>
      </w:r>
    </w:p>
    <w:p>
      <w:pPr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动态分配（功率不足）：left_power = power_raw；按 soc_order 顺序，对每个设备 j：若额定电压或额定电流为 0，或 left_power≤0 则跳过；若 left_power ≥ 额定功率(ap_vol×ap_cur) 则下发额定电流并扣减；否则下发电流 = left_power / ap_vol[j]，并将 left_power 清零。</w:t>
      </w:r>
    </w:p>
    <w:p>
      <w:pPr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逐设备下发：遍历 i = 0…CHARGE_NUM-1，CAN ID = 0x1803F000 + i；电压按额定电压下发（H/L 拆分），电流按 out_cur[i] 下发；仅当 power &gt; 1.0 且 out_cur[i] &gt; 0 时 ChargeEnable = 0x55，否则为 0；调用 CanTransmit() 发送 8 字节。</w:t>
      </w:r>
    </w:p>
    <w:p>
      <w:pPr>
        <w:spacing w:before="200" w:after="120"/>
      </w:pPr>
      <w:r>
        <w:rPr>
          <w:b/>
          <w:sz w:val="30"/>
          <w:szCs w:val="30"/>
          <w:color w:val="1F3864"/>
        </w:rPr>
        <w:t xml:space="preserve">四、算法流程图</w:t>
      </w:r>
    </w:p>
    <w:p>
      <w:pPr>
        <w:spacing w:before="20" w:after="20"/>
      </w:pPr>
    </w:p>
    <w:tbl>
      <w:tblPr>
        <w:tblW w:w="7000" w:type="dxa"/>
        <w:tblBorders>
          <w:top w:val="single" w:sz="6" w:color="2E75B6"/>
          <w:left w:val="single" w:sz="6" w:color="2E75B6"/>
          <w:bottom w:val="single" w:sz="6" w:color="2E75B6"/>
          <w:right w:val="single" w:sz="6" w:color="2E75B6"/>
          <w:insideH w:val="single" w:sz="6" w:color="2E75B6"/>
          <w:insideV w:val="single" w:sz="6" w:color="2E75B6"/>
        </w:tblBorders>
        <w:tblLook w:val="04A0"/>
      </w:tblPr>
      <w:tblGrid>
        <w:gridCol w:w="7000"/>
      </w:tblGrid>
      <w:tr>
        <w:tc>
          <w:tcPr>
            <w:tcW w:w="7000" w:type="dxa"/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开始</w:t>
            </w:r>
          </w:p>
        </w:tc>
      </w:tr>
    </w:tbl>
    <w:p>
      <w:pPr>
        <w:spacing w:before="20" w:after="20"/>
      </w:pPr>
    </w:p>
    <w:p>
      <w:pPr>
        <w:spacing w:before="0" w:after="0"/>
        <w:jc w:val="center"/>
      </w:pPr>
      <w:r>
        <w:rPr>
          <w:b/>
          <w:sz w:val="24"/>
          <w:szCs w:val="24"/>
          <w:color w:val="2E75B6"/>
        </w:rPr>
        <w:t xml:space="preserve">↓</w:t>
      </w:r>
    </w:p>
    <w:p>
      <w:pPr>
        <w:spacing w:before="20" w:after="20"/>
      </w:pPr>
    </w:p>
    <w:tbl>
      <w:tblPr>
        <w:tblW w:w="7000" w:type="dxa"/>
        <w:tblBorders>
          <w:top w:val="single" w:sz="6" w:color="2E75B6"/>
          <w:left w:val="single" w:sz="6" w:color="2E75B6"/>
          <w:bottom w:val="single" w:sz="6" w:color="2E75B6"/>
          <w:right w:val="single" w:sz="6" w:color="2E75B6"/>
          <w:insideH w:val="single" w:sz="6" w:color="2E75B6"/>
          <w:insideV w:val="single" w:sz="6" w:color="2E75B6"/>
        </w:tblBorders>
        <w:tblLook w:val="04A0"/>
      </w:tblPr>
      <w:tblGrid>
        <w:gridCol w:w="7000"/>
      </w:tblGrid>
      <w:tr>
        <w:tc>
          <w:tcPr>
            <w:tcW w:w="7000" w:type="dxa"/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读取设置功率 power</w:t>
              <w:br/>
              <w:t xml:space="preserve">(get_set_power → MbUint8ToFloat)</w:t>
            </w:r>
          </w:p>
        </w:tc>
      </w:tr>
    </w:tbl>
    <w:p>
      <w:pPr>
        <w:spacing w:before="20" w:after="20"/>
      </w:pPr>
    </w:p>
    <w:p>
      <w:pPr>
        <w:spacing w:before="0" w:after="0"/>
        <w:jc w:val="center"/>
      </w:pPr>
      <w:r>
        <w:rPr>
          <w:b/>
          <w:sz w:val="24"/>
          <w:szCs w:val="24"/>
          <w:color w:val="2E75B6"/>
        </w:rPr>
        <w:t xml:space="preserve">↓</w:t>
      </w:r>
    </w:p>
    <w:p>
      <w:pPr>
        <w:spacing w:before="20" w:after="20"/>
      </w:pPr>
    </w:p>
    <w:tbl>
      <w:tblPr>
        <w:tblW w:w="7000" w:type="dxa"/>
        <w:tblBorders>
          <w:top w:val="single" w:sz="6" w:color="2E75B6"/>
          <w:left w:val="single" w:sz="6" w:color="2E75B6"/>
          <w:bottom w:val="single" w:sz="6" w:color="2E75B6"/>
          <w:right w:val="single" w:sz="6" w:color="2E75B6"/>
          <w:insideH w:val="single" w:sz="6" w:color="2E75B6"/>
          <w:insideV w:val="single" w:sz="6" w:color="2E75B6"/>
        </w:tblBorders>
        <w:tblLook w:val="04A0"/>
      </w:tblPr>
      <w:tblGrid>
        <w:gridCol w:w="7000"/>
      </w:tblGrid>
      <w:tr>
        <w:tc>
          <w:tcPr>
            <w:tcW w:w="7000" w:type="dxa"/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读取各子设备额定值</w:t>
              <w:br/>
              <w:t xml:space="preserve">ap_vol[i], ap_cur[i] ← g_BmsSysAP[i]</w:t>
            </w:r>
          </w:p>
        </w:tc>
      </w:tr>
    </w:tbl>
    <w:p>
      <w:pPr>
        <w:spacing w:before="20" w:after="20"/>
      </w:pPr>
    </w:p>
    <w:p>
      <w:pPr>
        <w:spacing w:before="0" w:after="0"/>
        <w:jc w:val="center"/>
      </w:pPr>
      <w:r>
        <w:rPr>
          <w:b/>
          <w:sz w:val="24"/>
          <w:szCs w:val="24"/>
          <w:color w:val="2E75B6"/>
        </w:rPr>
        <w:t xml:space="preserve">↓</w:t>
      </w:r>
    </w:p>
    <w:p>
      <w:pPr>
        <w:spacing w:before="20" w:after="20"/>
      </w:pPr>
    </w:p>
    <w:tbl>
      <w:tblPr>
        <w:tblW w:w="7000" w:type="dxa"/>
        <w:tblBorders>
          <w:top w:val="single" w:sz="6" w:color="2E75B6"/>
          <w:left w:val="single" w:sz="6" w:color="2E75B6"/>
          <w:bottom w:val="single" w:sz="6" w:color="2E75B6"/>
          <w:right w:val="single" w:sz="6" w:color="2E75B6"/>
          <w:insideH w:val="single" w:sz="6" w:color="2E75B6"/>
          <w:insideV w:val="single" w:sz="6" w:color="2E75B6"/>
        </w:tblBorders>
        <w:tblLook w:val="04A0"/>
      </w:tblPr>
      <w:tblGrid>
        <w:gridCol w:w="7000"/>
      </w:tblGrid>
      <w:tr>
        <w:tc>
          <w:tcPr>
            <w:tcW w:w="7000" w:type="dxa"/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按 SOC 从大到小排序</w:t>
              <w:br/>
              <w:t xml:space="preserve">生成 soc_order[]（SOC 大者优先）</w:t>
            </w:r>
          </w:p>
        </w:tc>
      </w:tr>
    </w:tbl>
    <w:p>
      <w:pPr>
        <w:spacing w:before="20" w:after="20"/>
      </w:pPr>
    </w:p>
    <w:p>
      <w:pPr>
        <w:spacing w:before="0" w:after="0"/>
        <w:jc w:val="center"/>
      </w:pPr>
      <w:r>
        <w:rPr>
          <w:b/>
          <w:sz w:val="24"/>
          <w:szCs w:val="24"/>
          <w:color w:val="2E75B6"/>
        </w:rPr>
        <w:t xml:space="preserve">↓</w:t>
      </w:r>
    </w:p>
    <w:p>
      <w:pPr>
        <w:spacing w:before="20" w:after="20"/>
      </w:pPr>
    </w:p>
    <w:tbl>
      <w:tblPr>
        <w:tblW w:w="7000" w:type="dxa"/>
        <w:tblBorders>
          <w:top w:val="single" w:sz="6" w:color="2E75B6"/>
          <w:left w:val="single" w:sz="6" w:color="2E75B6"/>
          <w:bottom w:val="single" w:sz="6" w:color="2E75B6"/>
          <w:right w:val="single" w:sz="6" w:color="2E75B6"/>
          <w:insideH w:val="single" w:sz="6" w:color="2E75B6"/>
          <w:insideV w:val="single" w:sz="6" w:color="2E75B6"/>
        </w:tblBorders>
        <w:tblLook w:val="04A0"/>
      </w:tblPr>
      <w:tblGrid>
        <w:gridCol w:w="7000"/>
      </w:tblGrid>
      <w:tr>
        <w:tc>
          <w:tcPr>
            <w:tcW w:w="7000" w:type="dxa"/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power_raw = power × 1e7</w:t>
            </w:r>
          </w:p>
        </w:tc>
      </w:tr>
    </w:tbl>
    <w:p>
      <w:pPr>
        <w:spacing w:before="20" w:after="20"/>
      </w:pPr>
    </w:p>
    <w:p>
      <w:pPr>
        <w:spacing w:before="0" w:after="0"/>
        <w:jc w:val="center"/>
      </w:pPr>
      <w:r>
        <w:rPr>
          <w:b/>
          <w:sz w:val="24"/>
          <w:szCs w:val="24"/>
          <w:color w:val="2E75B6"/>
        </w:rPr>
        <w:t xml:space="preserve">↓</w:t>
      </w:r>
    </w:p>
    <w:p>
      <w:pPr>
        <w:spacing w:before="20" w:after="20"/>
      </w:pPr>
    </w:p>
    <w:tbl>
      <w:tblPr>
        <w:tblW w:w="7000" w:type="dxa"/>
        <w:tblBorders>
          <w:top w:val="single" w:sz="6" w:color="2E75B6"/>
          <w:left w:val="single" w:sz="6" w:color="2E75B6"/>
          <w:bottom w:val="single" w:sz="6" w:color="2E75B6"/>
          <w:right w:val="single" w:sz="6" w:color="2E75B6"/>
          <w:insideH w:val="single" w:sz="6" w:color="2E75B6"/>
          <w:insideV w:val="single" w:sz="6" w:color="2E75B6"/>
        </w:tblBorders>
        <w:tblLook w:val="04A0"/>
      </w:tblPr>
      <w:tblGrid>
        <w:gridCol w:w="7000"/>
      </w:tblGrid>
      <w:tr>
        <w:tc>
          <w:tcPr>
            <w:tcW w:w="7000" w:type="dxa"/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power ≥ total_power_all ?</w:t>
            </w:r>
          </w:p>
        </w:tc>
      </w:tr>
    </w:tbl>
    <w:p>
      <w:pPr>
        <w:spacing w:before="20" w:after="20"/>
      </w:pPr>
    </w:p>
    <w:p>
      <w:pPr>
        <w:spacing w:before="0" w:after="0"/>
        <w:jc w:val="center"/>
      </w:pPr>
      <w:r>
        <w:rPr>
          <w:b/>
          <w:sz w:val="24"/>
          <w:szCs w:val="24"/>
          <w:color w:val="2E75B6"/>
        </w:rPr>
        <w:t xml:space="preserve">是（功率充足）</w:t>
      </w:r>
    </w:p>
    <w:p>
      <w:pPr>
        <w:spacing w:before="20" w:after="20"/>
      </w:pPr>
    </w:p>
    <w:tbl>
      <w:tblPr>
        <w:tblW w:w="7000" w:type="dxa"/>
        <w:tblBorders>
          <w:top w:val="single" w:sz="6" w:color="2E75B6"/>
          <w:left w:val="single" w:sz="6" w:color="2E75B6"/>
          <w:bottom w:val="single" w:sz="6" w:color="2E75B6"/>
          <w:right w:val="single" w:sz="6" w:color="2E75B6"/>
          <w:insideH w:val="single" w:sz="6" w:color="2E75B6"/>
          <w:insideV w:val="single" w:sz="6" w:color="2E75B6"/>
        </w:tblBorders>
        <w:tblLook w:val="04A0"/>
      </w:tblPr>
      <w:tblGrid>
        <w:gridCol w:w="7000"/>
      </w:tblGrid>
      <w:tr>
        <w:tc>
          <w:tcPr>
            <w:tcW w:w="7000" w:type="dxa"/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所有子设备 out_cur[i] = ap_cur[i]</w:t>
              <w:br/>
              <w:t xml:space="preserve">（按额定值全量下发）</w:t>
            </w:r>
          </w:p>
        </w:tc>
      </w:tr>
    </w:tbl>
    <w:p>
      <w:pPr>
        <w:spacing w:before="20" w:after="20"/>
      </w:pPr>
    </w:p>
    <w:p>
      <w:pPr>
        <w:spacing w:before="0" w:after="0"/>
        <w:jc w:val="center"/>
      </w:pPr>
      <w:r>
        <w:rPr>
          <w:b/>
          <w:sz w:val="24"/>
          <w:szCs w:val="24"/>
          <w:color w:val="2E75B6"/>
        </w:rPr>
        <w:t xml:space="preserve">否（功率不足）</w:t>
      </w:r>
    </w:p>
    <w:p>
      <w:pPr>
        <w:spacing w:before="20" w:after="20"/>
      </w:pPr>
    </w:p>
    <w:tbl>
      <w:tblPr>
        <w:tblW w:w="7000" w:type="dxa"/>
        <w:tblBorders>
          <w:top w:val="single" w:sz="6" w:color="2E75B6"/>
          <w:left w:val="single" w:sz="6" w:color="2E75B6"/>
          <w:bottom w:val="single" w:sz="6" w:color="2E75B6"/>
          <w:right w:val="single" w:sz="6" w:color="2E75B6"/>
          <w:insideH w:val="single" w:sz="6" w:color="2E75B6"/>
          <w:insideV w:val="single" w:sz="6" w:color="2E75B6"/>
        </w:tblBorders>
        <w:tblLook w:val="04A0"/>
      </w:tblPr>
      <w:tblGrid>
        <w:gridCol w:w="7000"/>
      </w:tblGrid>
      <w:tr>
        <w:tc>
          <w:tcPr>
            <w:tcW w:w="7000" w:type="dxa"/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left_power = power_raw</w:t>
              <w:br/>
              <w:t xml:space="preserve">依 soc_order 顺序遍历每个设备 j</w:t>
            </w:r>
          </w:p>
        </w:tc>
      </w:tr>
    </w:tbl>
    <w:p>
      <w:pPr>
        <w:spacing w:before="20" w:after="20"/>
      </w:pPr>
    </w:p>
    <w:p>
      <w:pPr>
        <w:spacing w:before="0" w:after="0"/>
        <w:jc w:val="center"/>
      </w:pPr>
      <w:r>
        <w:rPr>
          <w:b/>
          <w:sz w:val="24"/>
          <w:szCs w:val="24"/>
          <w:color w:val="2E75B6"/>
        </w:rPr>
        <w:t xml:space="preserve">↓</w:t>
      </w:r>
    </w:p>
    <w:p>
      <w:pPr>
        <w:spacing w:before="20" w:after="20"/>
      </w:pPr>
    </w:p>
    <w:tbl>
      <w:tblPr>
        <w:tblW w:w="7000" w:type="dxa"/>
        <w:tblBorders>
          <w:top w:val="single" w:sz="6" w:color="2E75B6"/>
          <w:left w:val="single" w:sz="6" w:color="2E75B6"/>
          <w:bottom w:val="single" w:sz="6" w:color="2E75B6"/>
          <w:right w:val="single" w:sz="6" w:color="2E75B6"/>
          <w:insideH w:val="single" w:sz="6" w:color="2E75B6"/>
          <w:insideV w:val="single" w:sz="6" w:color="2E75B6"/>
        </w:tblBorders>
        <w:tblLook w:val="04A0"/>
      </w:tblPr>
      <w:tblGrid>
        <w:gridCol w:w="7000"/>
      </w:tblGrid>
      <w:tr>
        <w:tc>
          <w:tcPr>
            <w:tcW w:w="7000" w:type="dxa"/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ap_vol[j]=0 或 ap_cur[j]=0</w:t>
              <w:br/>
              <w:t xml:space="preserve">或 left_power≤0 ?</w:t>
            </w:r>
          </w:p>
        </w:tc>
      </w:tr>
    </w:tbl>
    <w:p>
      <w:pPr>
        <w:spacing w:before="20" w:after="20"/>
      </w:pPr>
    </w:p>
    <w:p>
      <w:pPr>
        <w:spacing w:before="0" w:after="0"/>
        <w:jc w:val="center"/>
      </w:pPr>
      <w:r>
        <w:rPr>
          <w:b/>
          <w:sz w:val="24"/>
          <w:szCs w:val="24"/>
          <w:color w:val="2E75B6"/>
        </w:rPr>
        <w:t xml:space="preserve">是</w:t>
      </w:r>
    </w:p>
    <w:p>
      <w:pPr>
        <w:spacing w:before="20" w:after="20"/>
      </w:pPr>
    </w:p>
    <w:tbl>
      <w:tblPr>
        <w:tblW w:w="7000" w:type="dxa"/>
        <w:tblBorders>
          <w:top w:val="single" w:sz="6" w:color="2E75B6"/>
          <w:left w:val="single" w:sz="6" w:color="2E75B6"/>
          <w:bottom w:val="single" w:sz="6" w:color="2E75B6"/>
          <w:right w:val="single" w:sz="6" w:color="2E75B6"/>
          <w:insideH w:val="single" w:sz="6" w:color="2E75B6"/>
          <w:insideV w:val="single" w:sz="6" w:color="2E75B6"/>
        </w:tblBorders>
        <w:tblLook w:val="04A0"/>
      </w:tblPr>
      <w:tblGrid>
        <w:gridCol w:w="7000"/>
      </w:tblGrid>
      <w:tr>
        <w:tc>
          <w:tcPr>
            <w:tcW w:w="7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跳过该设备（out_cur[j] = 0）</w:t>
            </w:r>
          </w:p>
        </w:tc>
      </w:tr>
    </w:tbl>
    <w:p>
      <w:pPr>
        <w:spacing w:before="20" w:after="20"/>
      </w:pPr>
    </w:p>
    <w:p>
      <w:pPr>
        <w:spacing w:before="0" w:after="0"/>
        <w:jc w:val="center"/>
      </w:pPr>
      <w:r>
        <w:rPr>
          <w:b/>
          <w:sz w:val="24"/>
          <w:szCs w:val="24"/>
          <w:color w:val="2E75B6"/>
        </w:rPr>
        <w:t xml:space="preserve">否</w:t>
      </w:r>
    </w:p>
    <w:p>
      <w:pPr>
        <w:spacing w:before="20" w:after="20"/>
      </w:pPr>
    </w:p>
    <w:tbl>
      <w:tblPr>
        <w:tblW w:w="7000" w:type="dxa"/>
        <w:tblBorders>
          <w:top w:val="single" w:sz="6" w:color="2E75B6"/>
          <w:left w:val="single" w:sz="6" w:color="2E75B6"/>
          <w:bottom w:val="single" w:sz="6" w:color="2E75B6"/>
          <w:right w:val="single" w:sz="6" w:color="2E75B6"/>
          <w:insideH w:val="single" w:sz="6" w:color="2E75B6"/>
          <w:insideV w:val="single" w:sz="6" w:color="2E75B6"/>
        </w:tblBorders>
        <w:tblLook w:val="04A0"/>
      </w:tblPr>
      <w:tblGrid>
        <w:gridCol w:w="7000"/>
      </w:tblGrid>
      <w:tr>
        <w:tc>
          <w:tcPr>
            <w:tcW w:w="7000" w:type="dxa"/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left_power ≥ ap_vol[j]×ap_cur[j] ?</w:t>
            </w:r>
          </w:p>
        </w:tc>
      </w:tr>
    </w:tbl>
    <w:p>
      <w:pPr>
        <w:spacing w:before="20" w:after="20"/>
      </w:pPr>
    </w:p>
    <w:p>
      <w:pPr>
        <w:spacing w:before="0" w:after="0"/>
        <w:jc w:val="center"/>
      </w:pPr>
      <w:r>
        <w:rPr>
          <w:b/>
          <w:sz w:val="24"/>
          <w:szCs w:val="24"/>
          <w:color w:val="2E75B6"/>
        </w:rPr>
        <w:t xml:space="preserve">是</w:t>
      </w:r>
    </w:p>
    <w:p>
      <w:pPr>
        <w:spacing w:before="20" w:after="20"/>
      </w:pPr>
    </w:p>
    <w:tbl>
      <w:tblPr>
        <w:tblW w:w="7000" w:type="dxa"/>
        <w:tblBorders>
          <w:top w:val="single" w:sz="6" w:color="2E75B6"/>
          <w:left w:val="single" w:sz="6" w:color="2E75B6"/>
          <w:bottom w:val="single" w:sz="6" w:color="2E75B6"/>
          <w:right w:val="single" w:sz="6" w:color="2E75B6"/>
          <w:insideH w:val="single" w:sz="6" w:color="2E75B6"/>
          <w:insideV w:val="single" w:sz="6" w:color="2E75B6"/>
        </w:tblBorders>
        <w:tblLook w:val="04A0"/>
      </w:tblPr>
      <w:tblGrid>
        <w:gridCol w:w="7000"/>
      </w:tblGrid>
      <w:tr>
        <w:tc>
          <w:tcPr>
            <w:tcW w:w="7000" w:type="dxa"/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out_cur[j] = ap_cur[j]</w:t>
              <w:br/>
              <w:t xml:space="preserve">（满额定下发），left_power −= 额定功率</w:t>
            </w:r>
          </w:p>
        </w:tc>
      </w:tr>
    </w:tbl>
    <w:p>
      <w:pPr>
        <w:spacing w:before="20" w:after="20"/>
      </w:pPr>
    </w:p>
    <w:p>
      <w:pPr>
        <w:spacing w:before="0" w:after="0"/>
        <w:jc w:val="center"/>
      </w:pPr>
      <w:r>
        <w:rPr>
          <w:b/>
          <w:sz w:val="24"/>
          <w:szCs w:val="24"/>
          <w:color w:val="2E75B6"/>
        </w:rPr>
        <w:t xml:space="preserve">否</w:t>
      </w:r>
    </w:p>
    <w:p>
      <w:pPr>
        <w:spacing w:before="20" w:after="20"/>
      </w:pPr>
    </w:p>
    <w:tbl>
      <w:tblPr>
        <w:tblW w:w="7000" w:type="dxa"/>
        <w:tblBorders>
          <w:top w:val="single" w:sz="6" w:color="2E75B6"/>
          <w:left w:val="single" w:sz="6" w:color="2E75B6"/>
          <w:bottom w:val="single" w:sz="6" w:color="2E75B6"/>
          <w:right w:val="single" w:sz="6" w:color="2E75B6"/>
          <w:insideH w:val="single" w:sz="6" w:color="2E75B6"/>
          <w:insideV w:val="single" w:sz="6" w:color="2E75B6"/>
        </w:tblBorders>
        <w:tblLook w:val="04A0"/>
      </w:tblPr>
      <w:tblGrid>
        <w:gridCol w:w="7000"/>
      </w:tblGrid>
      <w:tr>
        <w:tc>
          <w:tcPr>
            <w:tcW w:w="7000" w:type="dxa"/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out_cur[j] = left_power / ap_vol[j]</w:t>
              <w:br/>
              <w:t xml:space="preserve">（剩余功率÷额定电压），left_power = 0</w:t>
            </w:r>
          </w:p>
        </w:tc>
      </w:tr>
    </w:tbl>
    <w:p>
      <w:pPr>
        <w:spacing w:before="20" w:after="20"/>
      </w:pPr>
    </w:p>
    <w:p>
      <w:pPr>
        <w:spacing w:before="0" w:after="0"/>
        <w:jc w:val="center"/>
      </w:pPr>
      <w:r>
        <w:rPr>
          <w:b/>
          <w:sz w:val="24"/>
          <w:szCs w:val="24"/>
          <w:color w:val="2E75B6"/>
        </w:rPr>
        <w:t xml:space="preserve">↓</w:t>
      </w:r>
    </w:p>
    <w:p>
      <w:pPr>
        <w:spacing w:before="20" w:after="20"/>
      </w:pPr>
    </w:p>
    <w:tbl>
      <w:tblPr>
        <w:tblW w:w="7000" w:type="dxa"/>
        <w:tblBorders>
          <w:top w:val="single" w:sz="6" w:color="2E75B6"/>
          <w:left w:val="single" w:sz="6" w:color="2E75B6"/>
          <w:bottom w:val="single" w:sz="6" w:color="2E75B6"/>
          <w:right w:val="single" w:sz="6" w:color="2E75B6"/>
          <w:insideH w:val="single" w:sz="6" w:color="2E75B6"/>
          <w:insideV w:val="single" w:sz="6" w:color="2E75B6"/>
        </w:tblBorders>
        <w:tblLook w:val="04A0"/>
      </w:tblPr>
      <w:tblGrid>
        <w:gridCol w:w="7000"/>
      </w:tblGrid>
      <w:tr>
        <w:tc>
          <w:tcPr>
            <w:tcW w:w="7000" w:type="dxa"/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遍历所有子设备，逐一下发：</w:t>
              <w:br/>
              <w:t xml:space="preserve">candi = 0x1803F000 + i</w:t>
              <w:br/>
              <w:t xml:space="preserve">电压=额定，电流=out_cur[i]</w:t>
              <w:br/>
              <w:t xml:space="preserve">ChargeEnable = (power&gt;1.0 且 out_cur&gt;0)?0x55:0</w:t>
            </w:r>
          </w:p>
        </w:tc>
      </w:tr>
    </w:tbl>
    <w:p>
      <w:pPr>
        <w:spacing w:before="20" w:after="20"/>
      </w:pPr>
    </w:p>
    <w:p>
      <w:pPr>
        <w:spacing w:before="0" w:after="0"/>
        <w:jc w:val="center"/>
      </w:pPr>
      <w:r>
        <w:rPr>
          <w:b/>
          <w:sz w:val="24"/>
          <w:szCs w:val="24"/>
          <w:color w:val="2E75B6"/>
        </w:rPr>
        <w:t xml:space="preserve">↓</w:t>
      </w:r>
    </w:p>
    <w:p>
      <w:pPr>
        <w:spacing w:before="20" w:after="20"/>
      </w:pPr>
    </w:p>
    <w:tbl>
      <w:tblPr>
        <w:tblW w:w="7000" w:type="dxa"/>
        <w:tblBorders>
          <w:top w:val="single" w:sz="6" w:color="2E75B6"/>
          <w:left w:val="single" w:sz="6" w:color="2E75B6"/>
          <w:bottom w:val="single" w:sz="6" w:color="2E75B6"/>
          <w:right w:val="single" w:sz="6" w:color="2E75B6"/>
          <w:insideH w:val="single" w:sz="6" w:color="2E75B6"/>
          <w:insideV w:val="single" w:sz="6" w:color="2E75B6"/>
        </w:tblBorders>
        <w:tblLook w:val="04A0"/>
      </w:tblPr>
      <w:tblGrid>
        <w:gridCol w:w="7000"/>
      </w:tblGrid>
      <w:tr>
        <w:tc>
          <w:tcPr>
            <w:tcW w:w="7000" w:type="dxa"/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结束</w:t>
            </w:r>
          </w:p>
        </w:tc>
      </w:tr>
    </w:tbl>
    <w:p>
      <w:pPr>
        <w:spacing w:before="20" w:after="20"/>
      </w:pPr>
    </w:p>
    <w:p>
      <w:pPr>
        <w:spacing w:before="200" w:after="120"/>
      </w:pPr>
      <w:r>
        <w:rPr>
          <w:b/>
          <w:sz w:val="30"/>
          <w:szCs w:val="30"/>
          <w:color w:val="1F3864"/>
        </w:rPr>
        <w:t xml:space="preserve">五、分配示例</w:t>
      </w:r>
    </w:p>
    <w:p>
      <w:pPr>
        <w:spacing w:before="80" w:after="80"/>
      </w:pPr>
      <w:r>
        <w:rPr>
          <w:sz w:val="22"/>
          <w:szCs w:val="22"/>
        </w:rPr>
        <w:t xml:space="preserve">假设 3 个子设备额定功率分别为 1000 / 1500 / 2000（同一量纲），设置总功率 power_raw = 2000，并设按 SOC 排序后顺序为设备 A(1000)、设备 B(1500)、设备 C(2000)：</w:t>
      </w:r>
    </w:p>
    <w:p>
      <w:pPr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设备 A：2000 ≥ 1000 → 下发额定电流，剩余 left_power = 1000。</w:t>
      </w:r>
    </w:p>
    <w:p>
      <w:pPr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设备 B：1000 &lt; 1500 → 电流 = 1000 / 额定电压，剩余功率清零。</w:t>
      </w:r>
    </w:p>
    <w:p>
      <w:pPr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设备 C：left_power 已为 0 → out_cur = 0，停止充电。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CodeBuddy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充电功率动态分配算法说明</dc:title>
  <dc:creator>CodeBuddy</dc:creator>
</cp:coreProperties>
</file>