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6C834" w14:textId="77777777" w:rsidR="00366BC8" w:rsidRDefault="00000000">
      <w:pPr>
        <w:spacing w:after="100"/>
      </w:pPr>
      <w:r>
        <w:rPr>
          <w:b/>
          <w:bCs/>
          <w:sz w:val="36"/>
          <w:szCs w:val="36"/>
        </w:rPr>
        <w:t>Reporting-Tutorial</w:t>
      </w:r>
    </w:p>
    <w:p w14:paraId="44CB5546" w14:textId="77777777" w:rsidR="00366BC8" w:rsidRDefault="00000000">
      <w:pPr>
        <w:spacing w:after="360"/>
      </w:pPr>
      <w:r>
        <w:rPr>
          <w:color w:val="444444"/>
          <w:sz w:val="26"/>
          <w:szCs w:val="26"/>
        </w:rPr>
        <w:t>Dashboard zum Wertstoffhandel in Power BI</w:t>
      </w:r>
    </w:p>
    <w:p w14:paraId="479324DD" w14:textId="77777777" w:rsidR="00366BC8" w:rsidRDefault="00000000">
      <w:pPr>
        <w:pStyle w:val="berschrift1"/>
        <w:spacing w:before="340" w:after="170"/>
      </w:pPr>
      <w:proofErr w:type="gramStart"/>
      <w:r>
        <w:t>1  Werkzeug</w:t>
      </w:r>
      <w:proofErr w:type="gramEnd"/>
      <w:r>
        <w:t xml:space="preserve"> und Datenbasis</w:t>
      </w:r>
    </w:p>
    <w:p w14:paraId="72FA023B" w14:textId="77777777" w:rsidR="00366BC8" w:rsidRDefault="00000000">
      <w:pPr>
        <w:spacing w:after="140" w:line="300" w:lineRule="auto"/>
        <w:jc w:val="both"/>
      </w:pPr>
      <w:r>
        <w:t>Als Reporting-Werkzeug wurde Power BI Desktop verwendet. Die Datenbasis bildet das im Data-Warehouse-Tutorial erstellte Warehouse, angebunden über den PostgreSQL-Connector im Verbindungsmodus Import. Dadurch liegt eine Kopie der Daten in der Berichtsdatei, die auch ohne laufende Datenbank geöffnet werden kann.</w:t>
      </w:r>
    </w:p>
    <w:p w14:paraId="7C348A5D" w14:textId="77777777" w:rsidR="00366BC8" w:rsidRDefault="00000000">
      <w:pPr>
        <w:spacing w:after="140" w:line="300" w:lineRule="auto"/>
        <w:jc w:val="both"/>
      </w:pPr>
      <w:r>
        <w:t xml:space="preserve">Übernommen wurden ausschließlich die sieben Tabellen des Schemas </w:t>
      </w:r>
      <w:proofErr w:type="spellStart"/>
      <w:r>
        <w:rPr>
          <w:rFonts w:ascii="Consolas" w:eastAsia="Consolas" w:hAnsi="Consolas" w:cs="Consolas"/>
          <w:sz w:val="20"/>
          <w:szCs w:val="20"/>
        </w:rPr>
        <w:t>business</w:t>
      </w:r>
      <w:proofErr w:type="spellEnd"/>
      <w:r>
        <w:t xml:space="preserve">: die Faktentabellen </w:t>
      </w:r>
      <w:proofErr w:type="spellStart"/>
      <w:r>
        <w:rPr>
          <w:rFonts w:ascii="Consolas" w:eastAsia="Consolas" w:hAnsi="Consolas" w:cs="Consolas"/>
          <w:sz w:val="20"/>
          <w:szCs w:val="20"/>
        </w:rPr>
        <w:t>fakt_ankauf</w:t>
      </w:r>
      <w:proofErr w:type="spellEnd"/>
      <w:r>
        <w:t xml:space="preserve"> und </w:t>
      </w:r>
      <w:proofErr w:type="spellStart"/>
      <w:r>
        <w:rPr>
          <w:rFonts w:ascii="Consolas" w:eastAsia="Consolas" w:hAnsi="Consolas" w:cs="Consolas"/>
          <w:sz w:val="20"/>
          <w:szCs w:val="20"/>
        </w:rPr>
        <w:t>fakt_verwertung</w:t>
      </w:r>
      <w:proofErr w:type="spellEnd"/>
      <w:r>
        <w:t xml:space="preserve"> sowie die Dimensionen Zeit, Standort, Material, Kunde und Anlage. Die Schichten </w:t>
      </w:r>
      <w:proofErr w:type="spellStart"/>
      <w:r>
        <w:t>Staging</w:t>
      </w:r>
      <w:proofErr w:type="spellEnd"/>
      <w:r>
        <w:t xml:space="preserve"> und Core blieben außen vor, da sie dieselben Daten in Zwischenstufen enthalten und das Modell nur unübersichtlich machen würden.</w:t>
      </w:r>
    </w:p>
    <w:p w14:paraId="06AD1896" w14:textId="77777777" w:rsidR="00366BC8" w:rsidRDefault="00000000">
      <w:pPr>
        <w:spacing w:after="140" w:line="300" w:lineRule="auto"/>
        <w:jc w:val="both"/>
      </w:pPr>
      <w:r>
        <w:t>Power BI hat die Beziehungen anhand der Surrogatschlüssel automatisch erkannt. Es entstehen acht Beziehungen: Zeit, Standort und Material sind mit beiden Faktentabellen verbunden, Kunde nur mit dem Ankauf und Anlage nur mit der Verwertung. Diese gemeinsam genutzten Dimensionen sind die Voraussetzung dafür, dass ein einzelner Datenschnitt beide Faktentabellen gleichzeitig filtert.</w:t>
      </w:r>
    </w:p>
    <w:p w14:paraId="3994DD47" w14:textId="77777777" w:rsidR="00366BC8" w:rsidRDefault="00000000">
      <w:pPr>
        <w:pStyle w:val="berschrift1"/>
        <w:spacing w:before="340" w:after="170"/>
      </w:pPr>
      <w:proofErr w:type="gramStart"/>
      <w:r>
        <w:t>2  Untersuchter</w:t>
      </w:r>
      <w:proofErr w:type="gramEnd"/>
      <w:r>
        <w:t xml:space="preserve"> Sachverhalt</w:t>
      </w:r>
    </w:p>
    <w:p w14:paraId="1EF9BBC5" w14:textId="77777777" w:rsidR="00366BC8" w:rsidRDefault="00000000">
      <w:pPr>
        <w:spacing w:after="140" w:line="300" w:lineRule="auto"/>
        <w:jc w:val="both"/>
      </w:pPr>
      <w:r>
        <w:t>Das Dashboard untersucht die Wirtschaftlichkeit der beiden Annahmestellen eines Wertstoffhandels. Eine liegt auf dem Land, eine in der Stadt. Beide kaufen Altmetall von Kunden an, das anschließend in einem gemeinsamen Werk sortiert und verwertet wird.</w:t>
      </w:r>
    </w:p>
    <w:p w14:paraId="6DA53946" w14:textId="77777777" w:rsidR="00366BC8" w:rsidRDefault="00000000">
      <w:pPr>
        <w:spacing w:after="140" w:line="300" w:lineRule="auto"/>
        <w:jc w:val="both"/>
      </w:pPr>
      <w:r>
        <w:t>Die Leitfrage lautet: Wo wird günstig eingekauft, und wie viel von dem eingekauften Material ist nach der Sortierung tatsächlich verwertbar?</w:t>
      </w:r>
    </w:p>
    <w:p w14:paraId="769321EC" w14:textId="77777777" w:rsidR="00366BC8" w:rsidRDefault="00000000">
      <w:pPr>
        <w:spacing w:after="140" w:line="300" w:lineRule="auto"/>
        <w:jc w:val="both"/>
      </w:pPr>
      <w:r>
        <w:t>Die Frage ist deshalb interessant, weil sich beide Teile gegenläufig verhalten. Der Landstandort zahlt mit 219 EUR je Tonne deutlich weniger als die Stadt mit 1.069 EUR je Tonne. Gleichzeitig liegt die Ausbeutequote des Landmaterials bei nur 74,2 Prozent, die des Stadtmaterials bei 86,6 Prozent. Der günstige Einkauf relativiert sich also durch den höheren Reststoffanteil.</w:t>
      </w:r>
    </w:p>
    <w:p w14:paraId="05893F5E" w14:textId="77777777" w:rsidR="00366BC8" w:rsidRDefault="00000000">
      <w:pPr>
        <w:spacing w:after="140" w:line="300" w:lineRule="auto"/>
        <w:jc w:val="both"/>
      </w:pPr>
      <w:r>
        <w:t>Das Dashboard soll diesen Zusammenhang sichtbar machen und erlauben, ihn nach Material, Kundentyp und Zeitraum aufzuschlüsseln.</w:t>
      </w:r>
    </w:p>
    <w:p w14:paraId="7D50AA86" w14:textId="77777777" w:rsidR="00366BC8" w:rsidRDefault="00000000">
      <w:pPr>
        <w:pStyle w:val="berschrift1"/>
        <w:spacing w:before="340" w:after="170"/>
      </w:pPr>
      <w:proofErr w:type="gramStart"/>
      <w:r>
        <w:t>3  Aufbau</w:t>
      </w:r>
      <w:proofErr w:type="gramEnd"/>
      <w:r>
        <w:t xml:space="preserve"> des Dashboards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
        <w:gridCol w:w="3125"/>
        <w:gridCol w:w="5000"/>
      </w:tblGrid>
      <w:tr w:rsidR="00366BC8" w14:paraId="6B9AE2C5" w14:textId="77777777">
        <w:tblPrEx>
          <w:tblCellMar>
            <w:top w:w="0" w:type="dxa"/>
            <w:bottom w:w="0" w:type="dxa"/>
          </w:tblCellMar>
        </w:tblPrEx>
        <w:trPr>
          <w:tblHeader/>
        </w:trPr>
        <w:tc>
          <w:tcPr>
            <w:tcW w:w="875" w:type="dxa"/>
            <w:shd w:val="clear" w:color="auto" w:fill="DDDDDD"/>
          </w:tcPr>
          <w:p w14:paraId="1AAACB6C" w14:textId="77777777" w:rsidR="00366BC8" w:rsidRDefault="00000000">
            <w:pPr>
              <w:spacing w:before="40" w:after="40"/>
            </w:pPr>
            <w:r>
              <w:rPr>
                <w:b/>
                <w:bCs/>
                <w:sz w:val="20"/>
                <w:szCs w:val="20"/>
              </w:rPr>
              <w:t>Element</w:t>
            </w:r>
          </w:p>
        </w:tc>
        <w:tc>
          <w:tcPr>
            <w:tcW w:w="3125" w:type="dxa"/>
            <w:shd w:val="clear" w:color="auto" w:fill="DDDDDD"/>
          </w:tcPr>
          <w:p w14:paraId="254AA1B6" w14:textId="77777777" w:rsidR="00366BC8" w:rsidRDefault="00000000">
            <w:pPr>
              <w:spacing w:before="40" w:after="40"/>
            </w:pPr>
            <w:r>
              <w:rPr>
                <w:b/>
                <w:bCs/>
                <w:sz w:val="20"/>
                <w:szCs w:val="20"/>
              </w:rPr>
              <w:t>Visual</w:t>
            </w:r>
          </w:p>
        </w:tc>
        <w:tc>
          <w:tcPr>
            <w:tcW w:w="5000" w:type="dxa"/>
            <w:shd w:val="clear" w:color="auto" w:fill="DDDDDD"/>
          </w:tcPr>
          <w:p w14:paraId="3B2A94CA" w14:textId="77777777" w:rsidR="00366BC8" w:rsidRDefault="00000000">
            <w:pPr>
              <w:spacing w:before="40" w:after="40"/>
            </w:pPr>
            <w:r>
              <w:rPr>
                <w:b/>
                <w:bCs/>
                <w:sz w:val="20"/>
                <w:szCs w:val="20"/>
              </w:rPr>
              <w:t>Inhalt</w:t>
            </w:r>
          </w:p>
        </w:tc>
      </w:tr>
      <w:tr w:rsidR="00366BC8" w14:paraId="7F0EB304" w14:textId="77777777">
        <w:tblPrEx>
          <w:tblCellMar>
            <w:top w:w="0" w:type="dxa"/>
            <w:bottom w:w="0" w:type="dxa"/>
          </w:tblCellMar>
        </w:tblPrEx>
        <w:tc>
          <w:tcPr>
            <w:tcW w:w="875" w:type="dxa"/>
          </w:tcPr>
          <w:p w14:paraId="2FFA9428" w14:textId="77777777" w:rsidR="00366BC8" w:rsidRDefault="00000000">
            <w:pPr>
              <w:spacing w:before="40" w:after="40"/>
            </w:pPr>
            <w:r>
              <w:rPr>
                <w:sz w:val="20"/>
                <w:szCs w:val="20"/>
              </w:rPr>
              <w:t>1</w:t>
            </w:r>
          </w:p>
        </w:tc>
        <w:tc>
          <w:tcPr>
            <w:tcW w:w="3125" w:type="dxa"/>
          </w:tcPr>
          <w:p w14:paraId="3B128E49" w14:textId="77777777" w:rsidR="00366BC8" w:rsidRDefault="00000000">
            <w:pPr>
              <w:spacing w:before="40" w:after="40"/>
            </w:pPr>
            <w:r>
              <w:rPr>
                <w:sz w:val="20"/>
                <w:szCs w:val="20"/>
              </w:rPr>
              <w:t>Gruppiertes Säulendiagramm</w:t>
            </w:r>
          </w:p>
        </w:tc>
        <w:tc>
          <w:tcPr>
            <w:tcW w:w="5000" w:type="dxa"/>
          </w:tcPr>
          <w:p w14:paraId="51E9527F" w14:textId="77777777" w:rsidR="00366BC8" w:rsidRDefault="00000000">
            <w:pPr>
              <w:spacing w:before="40" w:after="40"/>
            </w:pPr>
            <w:r>
              <w:rPr>
                <w:sz w:val="20"/>
                <w:szCs w:val="20"/>
              </w:rPr>
              <w:t>Ankaufswert je Standorttyp</w:t>
            </w:r>
          </w:p>
        </w:tc>
      </w:tr>
      <w:tr w:rsidR="00366BC8" w14:paraId="1DD2405C" w14:textId="77777777">
        <w:tblPrEx>
          <w:tblCellMar>
            <w:top w:w="0" w:type="dxa"/>
            <w:bottom w:w="0" w:type="dxa"/>
          </w:tblCellMar>
        </w:tblPrEx>
        <w:tc>
          <w:tcPr>
            <w:tcW w:w="875" w:type="dxa"/>
          </w:tcPr>
          <w:p w14:paraId="71F69B55" w14:textId="77777777" w:rsidR="00366BC8" w:rsidRDefault="00000000">
            <w:pPr>
              <w:spacing w:before="40" w:after="40"/>
            </w:pPr>
            <w:r>
              <w:rPr>
                <w:sz w:val="20"/>
                <w:szCs w:val="20"/>
              </w:rPr>
              <w:t>2</w:t>
            </w:r>
          </w:p>
        </w:tc>
        <w:tc>
          <w:tcPr>
            <w:tcW w:w="3125" w:type="dxa"/>
          </w:tcPr>
          <w:p w14:paraId="1CB207E3" w14:textId="77777777" w:rsidR="00366BC8" w:rsidRDefault="00000000">
            <w:pPr>
              <w:spacing w:before="40" w:after="40"/>
            </w:pPr>
            <w:r>
              <w:rPr>
                <w:sz w:val="20"/>
                <w:szCs w:val="20"/>
              </w:rPr>
              <w:t>Gruppiertes Säulendiagramm</w:t>
            </w:r>
          </w:p>
        </w:tc>
        <w:tc>
          <w:tcPr>
            <w:tcW w:w="5000" w:type="dxa"/>
          </w:tcPr>
          <w:p w14:paraId="74E55A9D" w14:textId="77777777" w:rsidR="00366BC8" w:rsidRDefault="00000000">
            <w:pPr>
              <w:spacing w:before="40" w:after="40"/>
            </w:pPr>
            <w:r>
              <w:rPr>
                <w:sz w:val="20"/>
                <w:szCs w:val="20"/>
              </w:rPr>
              <w:t>Einsatzmenge und Ausbeute je Standorttyp</w:t>
            </w:r>
          </w:p>
        </w:tc>
      </w:tr>
      <w:tr w:rsidR="00366BC8" w14:paraId="086520F6" w14:textId="77777777">
        <w:tblPrEx>
          <w:tblCellMar>
            <w:top w:w="0" w:type="dxa"/>
            <w:bottom w:w="0" w:type="dxa"/>
          </w:tblCellMar>
        </w:tblPrEx>
        <w:tc>
          <w:tcPr>
            <w:tcW w:w="875" w:type="dxa"/>
          </w:tcPr>
          <w:p w14:paraId="25FBBEB3" w14:textId="77777777" w:rsidR="00366BC8" w:rsidRDefault="00000000">
            <w:pPr>
              <w:spacing w:before="40" w:after="40"/>
            </w:pPr>
            <w:r>
              <w:rPr>
                <w:sz w:val="20"/>
                <w:szCs w:val="20"/>
              </w:rPr>
              <w:t>3</w:t>
            </w:r>
          </w:p>
        </w:tc>
        <w:tc>
          <w:tcPr>
            <w:tcW w:w="3125" w:type="dxa"/>
          </w:tcPr>
          <w:p w14:paraId="45CF921F" w14:textId="77777777" w:rsidR="00366BC8" w:rsidRDefault="00000000">
            <w:pPr>
              <w:spacing w:before="40" w:after="40"/>
            </w:pPr>
            <w:r>
              <w:rPr>
                <w:sz w:val="20"/>
                <w:szCs w:val="20"/>
              </w:rPr>
              <w:t>Matrix</w:t>
            </w:r>
          </w:p>
        </w:tc>
        <w:tc>
          <w:tcPr>
            <w:tcW w:w="5000" w:type="dxa"/>
          </w:tcPr>
          <w:p w14:paraId="472598D6" w14:textId="77777777" w:rsidR="00366BC8" w:rsidRDefault="00000000">
            <w:pPr>
              <w:spacing w:before="40" w:after="40"/>
            </w:pPr>
            <w:r>
              <w:rPr>
                <w:sz w:val="20"/>
                <w:szCs w:val="20"/>
              </w:rPr>
              <w:t>Menge je Materialkategorie und Standorttyp</w:t>
            </w:r>
          </w:p>
        </w:tc>
      </w:tr>
      <w:tr w:rsidR="00366BC8" w14:paraId="7959DC80" w14:textId="77777777">
        <w:tblPrEx>
          <w:tblCellMar>
            <w:top w:w="0" w:type="dxa"/>
            <w:bottom w:w="0" w:type="dxa"/>
          </w:tblCellMar>
        </w:tblPrEx>
        <w:tc>
          <w:tcPr>
            <w:tcW w:w="875" w:type="dxa"/>
          </w:tcPr>
          <w:p w14:paraId="2AAE4154" w14:textId="77777777" w:rsidR="00366BC8" w:rsidRDefault="00000000">
            <w:pPr>
              <w:spacing w:before="40" w:after="40"/>
            </w:pPr>
            <w:r>
              <w:rPr>
                <w:sz w:val="20"/>
                <w:szCs w:val="20"/>
              </w:rPr>
              <w:t>4</w:t>
            </w:r>
          </w:p>
        </w:tc>
        <w:tc>
          <w:tcPr>
            <w:tcW w:w="3125" w:type="dxa"/>
          </w:tcPr>
          <w:p w14:paraId="7A0D03B0" w14:textId="77777777" w:rsidR="00366BC8" w:rsidRDefault="00000000">
            <w:pPr>
              <w:spacing w:before="40" w:after="40"/>
            </w:pPr>
            <w:r>
              <w:rPr>
                <w:sz w:val="20"/>
                <w:szCs w:val="20"/>
              </w:rPr>
              <w:t>Liniendiagramm</w:t>
            </w:r>
          </w:p>
        </w:tc>
        <w:tc>
          <w:tcPr>
            <w:tcW w:w="5000" w:type="dxa"/>
          </w:tcPr>
          <w:p w14:paraId="60535E69" w14:textId="77777777" w:rsidR="00366BC8" w:rsidRDefault="00000000">
            <w:pPr>
              <w:spacing w:before="40" w:after="40"/>
            </w:pPr>
            <w:r>
              <w:rPr>
                <w:sz w:val="20"/>
                <w:szCs w:val="20"/>
              </w:rPr>
              <w:t>Ankaufswert je Monat</w:t>
            </w:r>
          </w:p>
        </w:tc>
      </w:tr>
      <w:tr w:rsidR="00366BC8" w14:paraId="276649BA" w14:textId="77777777">
        <w:tblPrEx>
          <w:tblCellMar>
            <w:top w:w="0" w:type="dxa"/>
            <w:bottom w:w="0" w:type="dxa"/>
          </w:tblCellMar>
        </w:tblPrEx>
        <w:tc>
          <w:tcPr>
            <w:tcW w:w="875" w:type="dxa"/>
          </w:tcPr>
          <w:p w14:paraId="076D0C18" w14:textId="77777777" w:rsidR="00366BC8" w:rsidRDefault="00000000">
            <w:pPr>
              <w:spacing w:before="40" w:after="40"/>
            </w:pPr>
            <w:r>
              <w:rPr>
                <w:sz w:val="20"/>
                <w:szCs w:val="20"/>
              </w:rPr>
              <w:t>5</w:t>
            </w:r>
          </w:p>
        </w:tc>
        <w:tc>
          <w:tcPr>
            <w:tcW w:w="3125" w:type="dxa"/>
          </w:tcPr>
          <w:p w14:paraId="7D75B647" w14:textId="77777777" w:rsidR="00366BC8" w:rsidRDefault="00000000">
            <w:pPr>
              <w:spacing w:before="40" w:after="40"/>
            </w:pPr>
            <w:r>
              <w:rPr>
                <w:sz w:val="20"/>
                <w:szCs w:val="20"/>
              </w:rPr>
              <w:t>Datenschnitte</w:t>
            </w:r>
          </w:p>
        </w:tc>
        <w:tc>
          <w:tcPr>
            <w:tcW w:w="5000" w:type="dxa"/>
          </w:tcPr>
          <w:p w14:paraId="27DEBF86" w14:textId="77777777" w:rsidR="00366BC8" w:rsidRDefault="00000000">
            <w:pPr>
              <w:spacing w:before="40" w:after="40"/>
            </w:pPr>
            <w:r>
              <w:rPr>
                <w:sz w:val="20"/>
                <w:szCs w:val="20"/>
              </w:rPr>
              <w:t>Standorttyp, Materialart, Kundentyp</w:t>
            </w:r>
          </w:p>
        </w:tc>
      </w:tr>
      <w:tr w:rsidR="00366BC8" w14:paraId="2F71E0E8" w14:textId="77777777">
        <w:tblPrEx>
          <w:tblCellMar>
            <w:top w:w="0" w:type="dxa"/>
            <w:bottom w:w="0" w:type="dxa"/>
          </w:tblCellMar>
        </w:tblPrEx>
        <w:tc>
          <w:tcPr>
            <w:tcW w:w="875" w:type="dxa"/>
          </w:tcPr>
          <w:p w14:paraId="1A273A71" w14:textId="77777777" w:rsidR="00366BC8" w:rsidRDefault="00000000">
            <w:pPr>
              <w:spacing w:before="40" w:after="40"/>
            </w:pPr>
            <w:r>
              <w:rPr>
                <w:sz w:val="20"/>
                <w:szCs w:val="20"/>
              </w:rPr>
              <w:t>6</w:t>
            </w:r>
          </w:p>
        </w:tc>
        <w:tc>
          <w:tcPr>
            <w:tcW w:w="3125" w:type="dxa"/>
          </w:tcPr>
          <w:p w14:paraId="6DF9BAAB" w14:textId="77777777" w:rsidR="00366BC8" w:rsidRDefault="00000000">
            <w:pPr>
              <w:spacing w:before="40" w:after="40"/>
            </w:pPr>
            <w:r>
              <w:rPr>
                <w:sz w:val="20"/>
                <w:szCs w:val="20"/>
              </w:rPr>
              <w:t>Datenschnitt als Dropdown</w:t>
            </w:r>
          </w:p>
        </w:tc>
        <w:tc>
          <w:tcPr>
            <w:tcW w:w="5000" w:type="dxa"/>
          </w:tcPr>
          <w:p w14:paraId="207B261D" w14:textId="77777777" w:rsidR="00366BC8" w:rsidRDefault="00000000">
            <w:pPr>
              <w:spacing w:before="40" w:after="40"/>
            </w:pPr>
            <w:r>
              <w:rPr>
                <w:sz w:val="20"/>
                <w:szCs w:val="20"/>
              </w:rPr>
              <w:t>Kundenname mit Suchfeld</w:t>
            </w:r>
          </w:p>
        </w:tc>
      </w:tr>
    </w:tbl>
    <w:p w14:paraId="3ECDEADD" w14:textId="77777777" w:rsidR="00366BC8" w:rsidRDefault="00366BC8">
      <w:pPr>
        <w:spacing w:after="140"/>
      </w:pPr>
    </w:p>
    <w:p w14:paraId="7CB7FE2B" w14:textId="77777777" w:rsidR="00366BC8" w:rsidRDefault="00000000">
      <w:pPr>
        <w:spacing w:after="140" w:line="300" w:lineRule="auto"/>
        <w:jc w:val="both"/>
      </w:pPr>
      <w:r>
        <w:t xml:space="preserve">Die Elemente 5 und 6 decken die geforderten Auswahlfelder ab: Die Datenschnitte als Liste </w:t>
      </w:r>
      <w:proofErr w:type="gramStart"/>
      <w:r>
        <w:t>werden</w:t>
      </w:r>
      <w:proofErr w:type="gramEnd"/>
      <w:r>
        <w:t xml:space="preserve"> per Klick bedient, das Dropdown mit Suchfeld erlaubt die Eingabe von Text.</w:t>
      </w:r>
    </w:p>
    <w:p w14:paraId="399EA850" w14:textId="77777777" w:rsidR="00366BC8" w:rsidRDefault="00000000">
      <w:pPr>
        <w:pStyle w:val="berschrift1"/>
        <w:spacing w:before="340" w:after="170"/>
      </w:pPr>
      <w:proofErr w:type="gramStart"/>
      <w:r>
        <w:t>4  Umsetzung</w:t>
      </w:r>
      <w:proofErr w:type="gramEnd"/>
      <w:r>
        <w:t xml:space="preserve"> der OLAP-Funktionen</w:t>
      </w:r>
    </w:p>
    <w:p w14:paraId="16ABE619" w14:textId="77777777" w:rsidR="00366BC8" w:rsidRDefault="00000000">
      <w:pPr>
        <w:spacing w:after="140" w:line="300" w:lineRule="auto"/>
        <w:jc w:val="both"/>
      </w:pPr>
      <w:r>
        <w:t>Alle vier Grundfunktionen lassen sich im Dashboard auslösen, ohne den Bericht zu verändern.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366BC8" w14:paraId="56B02194" w14:textId="77777777">
        <w:tblPrEx>
          <w:tblCellMar>
            <w:top w:w="0" w:type="dxa"/>
            <w:bottom w:w="0" w:type="dxa"/>
          </w:tblCellMar>
        </w:tblPrEx>
        <w:trPr>
          <w:tblHeader/>
        </w:trPr>
        <w:tc>
          <w:tcPr>
            <w:tcW w:w="1800" w:type="dxa"/>
            <w:shd w:val="clear" w:color="auto" w:fill="DDDDDD"/>
          </w:tcPr>
          <w:p w14:paraId="5BA7092C" w14:textId="77777777" w:rsidR="00366BC8" w:rsidRDefault="00000000">
            <w:pPr>
              <w:spacing w:before="40" w:after="40"/>
            </w:pPr>
            <w:r>
              <w:rPr>
                <w:b/>
                <w:bCs/>
                <w:sz w:val="20"/>
                <w:szCs w:val="20"/>
              </w:rPr>
              <w:t>Funktion</w:t>
            </w:r>
          </w:p>
        </w:tc>
        <w:tc>
          <w:tcPr>
            <w:tcW w:w="7200" w:type="dxa"/>
            <w:shd w:val="clear" w:color="auto" w:fill="DDDDDD"/>
          </w:tcPr>
          <w:p w14:paraId="3217D0C0" w14:textId="77777777" w:rsidR="00366BC8" w:rsidRDefault="00000000">
            <w:pPr>
              <w:spacing w:before="40" w:after="40"/>
            </w:pPr>
            <w:r>
              <w:rPr>
                <w:b/>
                <w:bCs/>
                <w:sz w:val="20"/>
                <w:szCs w:val="20"/>
              </w:rPr>
              <w:t>Umsetzung in Power BI</w:t>
            </w:r>
          </w:p>
        </w:tc>
      </w:tr>
      <w:tr w:rsidR="00366BC8" w14:paraId="11828BA3" w14:textId="77777777">
        <w:tblPrEx>
          <w:tblCellMar>
            <w:top w:w="0" w:type="dxa"/>
            <w:bottom w:w="0" w:type="dxa"/>
          </w:tblCellMar>
        </w:tblPrEx>
        <w:tc>
          <w:tcPr>
            <w:tcW w:w="1800" w:type="dxa"/>
          </w:tcPr>
          <w:p w14:paraId="3E04FDB6" w14:textId="77777777" w:rsidR="00366BC8" w:rsidRDefault="00000000">
            <w:pPr>
              <w:spacing w:before="40" w:after="40"/>
            </w:pPr>
            <w:r>
              <w:rPr>
                <w:sz w:val="20"/>
                <w:szCs w:val="20"/>
              </w:rPr>
              <w:t>Slice</w:t>
            </w:r>
          </w:p>
        </w:tc>
        <w:tc>
          <w:tcPr>
            <w:tcW w:w="7200" w:type="dxa"/>
          </w:tcPr>
          <w:p w14:paraId="60860BE0" w14:textId="77777777" w:rsidR="00366BC8" w:rsidRDefault="00000000">
            <w:pPr>
              <w:spacing w:before="40" w:after="40"/>
            </w:pPr>
            <w:r>
              <w:rPr>
                <w:sz w:val="20"/>
                <w:szCs w:val="20"/>
              </w:rPr>
              <w:t>Auswahl eines einzelnen Werts in einem Datenschnitt</w:t>
            </w:r>
          </w:p>
        </w:tc>
      </w:tr>
      <w:tr w:rsidR="00366BC8" w14:paraId="6EFD011B" w14:textId="77777777">
        <w:tblPrEx>
          <w:tblCellMar>
            <w:top w:w="0" w:type="dxa"/>
            <w:bottom w:w="0" w:type="dxa"/>
          </w:tblCellMar>
        </w:tblPrEx>
        <w:tc>
          <w:tcPr>
            <w:tcW w:w="1800" w:type="dxa"/>
          </w:tcPr>
          <w:p w14:paraId="583397F9" w14:textId="77777777" w:rsidR="00366BC8" w:rsidRDefault="00000000">
            <w:pPr>
              <w:spacing w:before="40" w:after="40"/>
            </w:pPr>
            <w:r>
              <w:rPr>
                <w:sz w:val="20"/>
                <w:szCs w:val="20"/>
              </w:rPr>
              <w:t>Dice</w:t>
            </w:r>
          </w:p>
        </w:tc>
        <w:tc>
          <w:tcPr>
            <w:tcW w:w="7200" w:type="dxa"/>
          </w:tcPr>
          <w:p w14:paraId="4E5A084B" w14:textId="77777777" w:rsidR="00366BC8" w:rsidRDefault="00000000">
            <w:pPr>
              <w:spacing w:before="40" w:after="40"/>
            </w:pPr>
            <w:r>
              <w:rPr>
                <w:sz w:val="20"/>
                <w:szCs w:val="20"/>
              </w:rPr>
              <w:t>Kombination mehrerer Datenschnitte gleichzeitig</w:t>
            </w:r>
          </w:p>
        </w:tc>
      </w:tr>
      <w:tr w:rsidR="00366BC8" w14:paraId="4898BC73" w14:textId="77777777">
        <w:tblPrEx>
          <w:tblCellMar>
            <w:top w:w="0" w:type="dxa"/>
            <w:bottom w:w="0" w:type="dxa"/>
          </w:tblCellMar>
        </w:tblPrEx>
        <w:tc>
          <w:tcPr>
            <w:tcW w:w="1800" w:type="dxa"/>
          </w:tcPr>
          <w:p w14:paraId="7B205D2B" w14:textId="77777777" w:rsidR="00366BC8" w:rsidRDefault="00000000">
            <w:pPr>
              <w:spacing w:before="40" w:after="40"/>
            </w:pPr>
            <w:r>
              <w:rPr>
                <w:sz w:val="20"/>
                <w:szCs w:val="20"/>
              </w:rPr>
              <w:t>Drilldown</w:t>
            </w:r>
          </w:p>
        </w:tc>
        <w:tc>
          <w:tcPr>
            <w:tcW w:w="7200" w:type="dxa"/>
          </w:tcPr>
          <w:p w14:paraId="23A33E46" w14:textId="77777777" w:rsidR="00366BC8" w:rsidRDefault="00000000">
            <w:pPr>
              <w:spacing w:before="40" w:after="40"/>
            </w:pPr>
            <w:r>
              <w:rPr>
                <w:sz w:val="20"/>
                <w:szCs w:val="20"/>
              </w:rPr>
              <w:t>Hierarchie in Matrix und Liniendiagramm aufklappen</w:t>
            </w:r>
          </w:p>
        </w:tc>
      </w:tr>
      <w:tr w:rsidR="00366BC8" w14:paraId="25553D23" w14:textId="77777777">
        <w:tblPrEx>
          <w:tblCellMar>
            <w:top w:w="0" w:type="dxa"/>
            <w:bottom w:w="0" w:type="dxa"/>
          </w:tblCellMar>
        </w:tblPrEx>
        <w:tc>
          <w:tcPr>
            <w:tcW w:w="1800" w:type="dxa"/>
          </w:tcPr>
          <w:p w14:paraId="26826A63" w14:textId="77777777" w:rsidR="00366BC8" w:rsidRDefault="00000000">
            <w:pPr>
              <w:spacing w:before="40" w:after="40"/>
            </w:pPr>
            <w:r>
              <w:rPr>
                <w:sz w:val="20"/>
                <w:szCs w:val="20"/>
              </w:rPr>
              <w:t>Pivot</w:t>
            </w:r>
          </w:p>
        </w:tc>
        <w:tc>
          <w:tcPr>
            <w:tcW w:w="7200" w:type="dxa"/>
          </w:tcPr>
          <w:p w14:paraId="74380CF0" w14:textId="77777777" w:rsidR="00366BC8" w:rsidRDefault="00000000">
            <w:pPr>
              <w:spacing w:before="40" w:after="40"/>
            </w:pPr>
            <w:r>
              <w:rPr>
                <w:sz w:val="20"/>
                <w:szCs w:val="20"/>
              </w:rPr>
              <w:t>Felder zwischen Zeilen- und Spaltenbereich der Matrix tauschen</w:t>
            </w:r>
          </w:p>
        </w:tc>
      </w:tr>
    </w:tbl>
    <w:p w14:paraId="52173B8F" w14:textId="77777777" w:rsidR="00366BC8" w:rsidRDefault="00366BC8">
      <w:pPr>
        <w:spacing w:after="140"/>
      </w:pPr>
    </w:p>
    <w:p w14:paraId="6054C09A" w14:textId="77777777" w:rsidR="00366BC8" w:rsidRDefault="00000000">
      <w:pPr>
        <w:pStyle w:val="berschrift2"/>
        <w:spacing w:before="260" w:after="130"/>
      </w:pPr>
      <w:proofErr w:type="gramStart"/>
      <w:r>
        <w:t>4.1  Slice</w:t>
      </w:r>
      <w:proofErr w:type="gramEnd"/>
    </w:p>
    <w:p w14:paraId="2E6DC41D" w14:textId="77777777" w:rsidR="00366BC8" w:rsidRDefault="00000000">
      <w:pPr>
        <w:spacing w:after="140" w:line="300" w:lineRule="auto"/>
        <w:jc w:val="both"/>
      </w:pPr>
      <w:r>
        <w:t>Im Datenschnitt Standorttyp wird der Wert Land ausgewählt. Damit wird aus dem Datenwürfel eine Scheibe herausgeschnitten: Alle Visuals zeigen anschließend nur noch Werte dieser Annahmestelle.</w:t>
      </w:r>
    </w:p>
    <w:p w14:paraId="44096327" w14:textId="77777777" w:rsidR="00366BC8" w:rsidRDefault="00000000">
      <w:pPr>
        <w:spacing w:after="140" w:line="300" w:lineRule="auto"/>
        <w:jc w:val="both"/>
      </w:pPr>
      <w:r>
        <w:rPr>
          <w:b/>
          <w:bCs/>
        </w:rPr>
        <w:t xml:space="preserve">Beispielszenario: </w:t>
      </w:r>
      <w:r>
        <w:t>Vor der Auswahl zeigt das erste Säulendiagramm zwei Säulen mit 188.518 EUR für Land und 152.798 EUR für Stadt. Nach dem Klick auf Land bleibt eine Säule übrig, das Liniendiagramm zeigt nur noch den Monatsverlauf dieses Standorts, und die Matrix enthält nur noch eine Spalte. Entscheidend ist, dass auch das zweite Säulendiagramm zur Verwertung mitfiltert — obwohl es aus einer anderen Faktentabelle stammt. Möglich ist das durch die gemeinsam genutzte Standortdimension.</w:t>
      </w:r>
    </w:p>
    <w:p w14:paraId="372DA81C" w14:textId="77777777" w:rsidR="00366BC8" w:rsidRDefault="00000000">
      <w:pPr>
        <w:pStyle w:val="berschrift2"/>
        <w:spacing w:before="260" w:after="130"/>
      </w:pPr>
      <w:proofErr w:type="gramStart"/>
      <w:r>
        <w:t>4.2  Dice</w:t>
      </w:r>
      <w:proofErr w:type="gramEnd"/>
    </w:p>
    <w:p w14:paraId="6D9704F3" w14:textId="77777777" w:rsidR="00366BC8" w:rsidRDefault="00000000">
      <w:pPr>
        <w:spacing w:after="140" w:line="300" w:lineRule="auto"/>
        <w:jc w:val="both"/>
      </w:pPr>
      <w:r>
        <w:t>Beim Dice werden mehrere Dimensionen gleichzeitig eingeschränkt. Dazu werden zwei oder drei Datenschnitte parallel gesetzt.</w:t>
      </w:r>
    </w:p>
    <w:p w14:paraId="55A5C2C1" w14:textId="77777777" w:rsidR="00366BC8" w:rsidRDefault="00000000">
      <w:pPr>
        <w:spacing w:after="140" w:line="300" w:lineRule="auto"/>
        <w:jc w:val="both"/>
      </w:pPr>
      <w:r>
        <w:rPr>
          <w:b/>
          <w:bCs/>
        </w:rPr>
        <w:t xml:space="preserve">Beispielszenario: </w:t>
      </w:r>
      <w:r>
        <w:t>Im Datenschnitt Standorttyp wird Land gewählt, im Datenschnitt Materialart zusätzlich Stahlschrott und Mischschrott, im Datenschnitt Kundentyp schließlich Gewerbe. Das Ergebnis ist ein Teilwürfel: Es werden nur noch gewerbliche Anlieferungen dieser beiden Materialarten an der Landannahmestelle betrachtet. Die Visuals passen sich gleichzeitig an, die Filter wirken additiv.</w:t>
      </w:r>
    </w:p>
    <w:p w14:paraId="532D5648" w14:textId="77777777" w:rsidR="00366BC8" w:rsidRDefault="00000000">
      <w:pPr>
        <w:pStyle w:val="berschrift2"/>
        <w:spacing w:before="260" w:after="130"/>
      </w:pPr>
      <w:proofErr w:type="gramStart"/>
      <w:r>
        <w:t>4.3  Drilldown</w:t>
      </w:r>
      <w:proofErr w:type="gramEnd"/>
    </w:p>
    <w:p w14:paraId="0D53DEC7" w14:textId="77777777" w:rsidR="00366BC8" w:rsidRDefault="00000000">
      <w:pPr>
        <w:spacing w:after="140" w:line="300" w:lineRule="auto"/>
        <w:jc w:val="both"/>
      </w:pPr>
      <w:r>
        <w:t>Für den Drilldown wurden Hierarchien angelegt, indem zwei Felder übereinander in denselben Bereich gezogen wurden.</w:t>
      </w:r>
    </w:p>
    <w:p w14:paraId="65962ADE" w14:textId="77777777" w:rsidR="00366BC8" w:rsidRDefault="00000000">
      <w:pPr>
        <w:spacing w:after="140" w:line="300" w:lineRule="auto"/>
        <w:jc w:val="both"/>
      </w:pPr>
      <w:r>
        <w:rPr>
          <w:b/>
          <w:bCs/>
        </w:rPr>
        <w:t xml:space="preserve">Beispielszenario Material: </w:t>
      </w:r>
      <w:r>
        <w:t>Die Matrix zeigt zunächst die Materialkategorien NE-Metall, Eisenmetall und Elektroschrott. Über das Pfeilsymbol am oberen Rand des Visuals wird eine Ebene tiefer aufgeklappt; aus der Kategorie NE-Metall werden Aluminium, Kupfer und Messing mit ihren jeweiligen Mengen. Der Rückweg über den Aufwärtspfeil entspricht dem Roll-</w:t>
      </w:r>
      <w:proofErr w:type="spellStart"/>
      <w:r>
        <w:t>up</w:t>
      </w:r>
      <w:proofErr w:type="spellEnd"/>
      <w:r>
        <w:t>.</w:t>
      </w:r>
    </w:p>
    <w:p w14:paraId="4CF777CA" w14:textId="77777777" w:rsidR="00366BC8" w:rsidRDefault="00000000">
      <w:pPr>
        <w:spacing w:after="140" w:line="300" w:lineRule="auto"/>
        <w:jc w:val="both"/>
      </w:pPr>
      <w:r>
        <w:rPr>
          <w:b/>
          <w:bCs/>
        </w:rPr>
        <w:t xml:space="preserve">Beispielszenario Zeit: </w:t>
      </w:r>
      <w:r>
        <w:t>Im Liniendiagramm liegen Monat und Tag übereinander. Auf oberster Ebene erscheinen die drei Monate des vierten Quartals mit 350,0 Tonnen im Oktober, 309,4 im November und 343,8 im Dezember. Nach dem Drilldown zeigt dieselbe Linie die einzelnen Anlieferungstage.</w:t>
      </w:r>
    </w:p>
    <w:p w14:paraId="4CBB64DC" w14:textId="77777777" w:rsidR="00366BC8" w:rsidRDefault="00000000">
      <w:pPr>
        <w:pStyle w:val="berschrift2"/>
        <w:spacing w:before="260" w:after="130"/>
      </w:pPr>
      <w:proofErr w:type="gramStart"/>
      <w:r>
        <w:lastRenderedPageBreak/>
        <w:t>4.4  Pivot</w:t>
      </w:r>
      <w:proofErr w:type="gramEnd"/>
    </w:p>
    <w:p w14:paraId="4C193C04" w14:textId="77777777" w:rsidR="00366BC8" w:rsidRDefault="00000000">
      <w:pPr>
        <w:spacing w:after="140" w:line="300" w:lineRule="auto"/>
        <w:jc w:val="both"/>
      </w:pPr>
      <w:r>
        <w:t>Beim Pivot wird die Perspektive auf dieselben Daten gedreht, indem Zeilen- und Spaltenbelegung der Matrix getauscht werden.</w:t>
      </w:r>
    </w:p>
    <w:p w14:paraId="7F203519" w14:textId="77777777" w:rsidR="00366BC8" w:rsidRDefault="00000000">
      <w:pPr>
        <w:spacing w:after="140" w:line="300" w:lineRule="auto"/>
        <w:jc w:val="both"/>
      </w:pPr>
      <w:r>
        <w:rPr>
          <w:b/>
          <w:bCs/>
        </w:rPr>
        <w:t xml:space="preserve">Beispielszenario: </w:t>
      </w:r>
      <w:r>
        <w:t>Ausgangslage ist eine Matrix mit Materialkategorie in den Zeilen und Standorttyp in den Spalten. Zieht man den Standorttyp in den Zeilenbereich und die Materialart in den Spaltenbereich, entsteht dieselbe Kennzahl in gedrehter Anordnung. Die Werte bleiben identisch, die Lesart ändert sich: Statt eines Vergleichs der Standorte je Material steht nun der Materialmix je Standort im Vordergrund.</w:t>
      </w:r>
    </w:p>
    <w:p w14:paraId="11A20382" w14:textId="77777777" w:rsidR="00366BC8" w:rsidRDefault="00000000">
      <w:pPr>
        <w:pStyle w:val="berschrift1"/>
        <w:spacing w:before="340" w:after="170"/>
      </w:pPr>
      <w:proofErr w:type="gramStart"/>
      <w:r>
        <w:t>5  Erkenntnis</w:t>
      </w:r>
      <w:proofErr w:type="gramEnd"/>
      <w:r>
        <w:t xml:space="preserve"> aus dem Dashboard</w:t>
      </w:r>
    </w:p>
    <w:p w14:paraId="0F6D5CC9" w14:textId="77777777" w:rsidR="00366BC8" w:rsidRDefault="00000000">
      <w:pPr>
        <w:spacing w:after="140" w:line="300" w:lineRule="auto"/>
        <w:jc w:val="both"/>
      </w:pPr>
      <w:r>
        <w:t>Die Kombination der beiden Säulendiagramme zeigt den zentralen Zusammenhang unmittelbar: Der Landstandort erzielt die größeren Mengen zum günstigeren Preis, verliert aber beim Sortieren einen erheblich größeren Anteil als Reststoff.</w:t>
      </w:r>
    </w:p>
    <w:p w14:paraId="718D343A" w14:textId="77777777" w:rsidR="00366BC8" w:rsidRDefault="00000000">
      <w:pPr>
        <w:spacing w:after="140" w:line="300" w:lineRule="auto"/>
        <w:jc w:val="both"/>
      </w:pPr>
      <w:r>
        <w:t>Über den Drilldown in der Matrix wird auch die Ursache sichtbar. Der Mischschrott, der ausschließlich vom Landstandort stammt, macht den größten Mengenanteil aus und hat zugleich die schlechteste Ausbeute. Ein Datenschnitt auf Mischschrott macht diesen Effekt isoliert sichtbar.</w:t>
      </w:r>
    </w:p>
    <w:p w14:paraId="51199187" w14:textId="77777777" w:rsidR="00366BC8" w:rsidRDefault="00000000">
      <w:pPr>
        <w:spacing w:after="140" w:line="300" w:lineRule="auto"/>
        <w:jc w:val="both"/>
      </w:pPr>
      <w:r>
        <w:t>Das Dashboard beantwortet damit eine Frage, die keines der beiden Quellsysteme allein beantworten könnte, da Ankaufspreis und Ausbeute in getrennten Anwendungen geführt werden.</w:t>
      </w:r>
    </w:p>
    <w:sectPr w:rsidR="00366BC8">
      <w:headerReference w:type="default" r:id="rId7"/>
      <w:footerReference w:type="default" r:id="rId8"/>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85730" w14:textId="77777777" w:rsidR="00152DA9" w:rsidRDefault="00152DA9">
      <w:r>
        <w:separator/>
      </w:r>
    </w:p>
  </w:endnote>
  <w:endnote w:type="continuationSeparator" w:id="0">
    <w:p w14:paraId="4BBDFA99" w14:textId="77777777" w:rsidR="00152DA9" w:rsidRDefault="00152D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45773" w14:textId="77777777" w:rsidR="00366BC8" w:rsidRDefault="00000000">
    <w:pPr>
      <w:jc w:val="center"/>
    </w:pPr>
    <w:r>
      <w:rPr>
        <w:sz w:val="18"/>
        <w:szCs w:val="18"/>
      </w:rPr>
      <w:fldChar w:fldCharType="begin"/>
    </w:r>
    <w:r>
      <w:rPr>
        <w:sz w:val="18"/>
        <w:szCs w:val="18"/>
      </w:rPr>
      <w:instrText>PAGE</w:instrText>
    </w:r>
    <w:r>
      <w:rPr>
        <w:sz w:val="18"/>
        <w:szCs w:val="18"/>
      </w:rPr>
      <w:fldChar w:fldCharType="separate"/>
    </w:r>
    <w:r w:rsidR="00056D6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0D2D6" w14:textId="77777777" w:rsidR="00152DA9" w:rsidRDefault="00152DA9">
      <w:r>
        <w:separator/>
      </w:r>
    </w:p>
  </w:footnote>
  <w:footnote w:type="continuationSeparator" w:id="0">
    <w:p w14:paraId="6E9F3F8F" w14:textId="77777777" w:rsidR="00152DA9" w:rsidRDefault="00152D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7AC7" w14:textId="77777777" w:rsidR="00366BC8" w:rsidRDefault="00000000">
    <w:pPr>
      <w:pBdr>
        <w:bottom w:val="single" w:sz="4" w:space="4" w:color="BBBBBB"/>
      </w:pBdr>
    </w:pPr>
    <w:r>
      <w:rPr>
        <w:color w:val="666666"/>
        <w:sz w:val="18"/>
        <w:szCs w:val="18"/>
      </w:rPr>
      <w:t>Reporting-Tutorial – Dashboard zum Wertstoffhandel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014DB"/>
    <w:multiLevelType w:val="hybridMultilevel"/>
    <w:tmpl w:val="C95201C2"/>
    <w:lvl w:ilvl="0" w:tplc="C3D8EFCE">
      <w:start w:val="1"/>
      <w:numFmt w:val="bullet"/>
      <w:lvlText w:val="●"/>
      <w:lvlJc w:val="left"/>
      <w:pPr>
        <w:ind w:left="720" w:hanging="360"/>
      </w:pPr>
    </w:lvl>
    <w:lvl w:ilvl="1" w:tplc="652820A2">
      <w:start w:val="1"/>
      <w:numFmt w:val="bullet"/>
      <w:lvlText w:val="○"/>
      <w:lvlJc w:val="left"/>
      <w:pPr>
        <w:ind w:left="1440" w:hanging="360"/>
      </w:pPr>
    </w:lvl>
    <w:lvl w:ilvl="2" w:tplc="2918E39E">
      <w:start w:val="1"/>
      <w:numFmt w:val="bullet"/>
      <w:lvlText w:val="■"/>
      <w:lvlJc w:val="left"/>
      <w:pPr>
        <w:ind w:left="2160" w:hanging="360"/>
      </w:pPr>
    </w:lvl>
    <w:lvl w:ilvl="3" w:tplc="A498E260">
      <w:start w:val="1"/>
      <w:numFmt w:val="bullet"/>
      <w:lvlText w:val="●"/>
      <w:lvlJc w:val="left"/>
      <w:pPr>
        <w:ind w:left="2880" w:hanging="360"/>
      </w:pPr>
    </w:lvl>
    <w:lvl w:ilvl="4" w:tplc="3EF820AC">
      <w:start w:val="1"/>
      <w:numFmt w:val="bullet"/>
      <w:lvlText w:val="○"/>
      <w:lvlJc w:val="left"/>
      <w:pPr>
        <w:ind w:left="3600" w:hanging="360"/>
      </w:pPr>
    </w:lvl>
    <w:lvl w:ilvl="5" w:tplc="B4966126">
      <w:start w:val="1"/>
      <w:numFmt w:val="bullet"/>
      <w:lvlText w:val="■"/>
      <w:lvlJc w:val="left"/>
      <w:pPr>
        <w:ind w:left="4320" w:hanging="360"/>
      </w:pPr>
    </w:lvl>
    <w:lvl w:ilvl="6" w:tplc="856AC2E0">
      <w:start w:val="1"/>
      <w:numFmt w:val="bullet"/>
      <w:lvlText w:val="●"/>
      <w:lvlJc w:val="left"/>
      <w:pPr>
        <w:ind w:left="5040" w:hanging="360"/>
      </w:pPr>
    </w:lvl>
    <w:lvl w:ilvl="7" w:tplc="C876CE76">
      <w:start w:val="1"/>
      <w:numFmt w:val="bullet"/>
      <w:lvlText w:val="●"/>
      <w:lvlJc w:val="left"/>
      <w:pPr>
        <w:ind w:left="5760" w:hanging="360"/>
      </w:pPr>
    </w:lvl>
    <w:lvl w:ilvl="8" w:tplc="2F6209FE">
      <w:start w:val="1"/>
      <w:numFmt w:val="bullet"/>
      <w:lvlText w:val="●"/>
      <w:lvlJc w:val="left"/>
      <w:pPr>
        <w:ind w:left="6480" w:hanging="360"/>
      </w:pPr>
    </w:lvl>
  </w:abstractNum>
  <w:num w:numId="1" w16cid:durableId="3322939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BC8"/>
    <w:rsid w:val="00056D6F"/>
    <w:rsid w:val="00152DA9"/>
    <w:rsid w:val="00366BC8"/>
    <w:rsid w:val="0075622D"/>
    <w:rsid w:val="00E32F4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A4579"/>
  <w15:docId w15:val="{621594CD-7D13-4B38-BF21-57C6CE381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857</Words>
  <Characters>5401</Characters>
  <Application>Microsoft Office Word</Application>
  <DocSecurity>0</DocSecurity>
  <Lines>45</Lines>
  <Paragraphs>12</Paragraphs>
  <ScaleCrop>false</ScaleCrop>
  <Company/>
  <LinksUpToDate>false</LinksUpToDate>
  <CharactersWithSpaces>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DSI.NET - Ove Flatow</cp:lastModifiedBy>
  <cp:revision>2</cp:revision>
  <dcterms:created xsi:type="dcterms:W3CDTF">2026-10-08T09:16:00Z</dcterms:created>
  <dcterms:modified xsi:type="dcterms:W3CDTF">2026-10-08T09:16:00Z</dcterms:modified>
</cp:coreProperties>
</file>