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888D8" w14:textId="77777777" w:rsidR="008E1C95" w:rsidRDefault="00000000">
      <w:pPr>
        <w:spacing w:after="100"/>
      </w:pPr>
      <w:r>
        <w:rPr>
          <w:b/>
          <w:bCs/>
          <w:sz w:val="36"/>
          <w:szCs w:val="36"/>
        </w:rPr>
        <w:t>NoSQL-Tutorial</w:t>
      </w:r>
    </w:p>
    <w:p w14:paraId="6FE67359" w14:textId="77777777" w:rsidR="008E1C95" w:rsidRDefault="00000000">
      <w:pPr>
        <w:spacing w:after="360"/>
      </w:pPr>
      <w:r>
        <w:rPr>
          <w:color w:val="444444"/>
          <w:sz w:val="26"/>
          <w:szCs w:val="26"/>
        </w:rPr>
        <w:t>MongoDB für Maschinendaten der Sortieranlagen</w:t>
      </w:r>
    </w:p>
    <w:p w14:paraId="76E415F7" w14:textId="77777777" w:rsidR="008E1C95" w:rsidRDefault="00000000">
      <w:pPr>
        <w:pStyle w:val="berschrift1"/>
        <w:spacing w:before="340" w:after="170"/>
      </w:pPr>
      <w:r>
        <w:t>Anwendungsfall</w:t>
      </w:r>
    </w:p>
    <w:p w14:paraId="272B8FA8" w14:textId="77777777" w:rsidR="008E1C95" w:rsidRDefault="00000000">
      <w:pPr>
        <w:spacing w:after="140" w:line="300" w:lineRule="auto"/>
        <w:jc w:val="both"/>
      </w:pPr>
      <w:r>
        <w:t>Die Sortieranlagen des Verwertungswerks erzeugen im Minutentakt Maschinendaten, die in MongoDB abgelegt werden. Erfasst werden Auslastung, Stromaufnahme, Temperatur und Störmeldungen je Anlage.</w:t>
      </w:r>
    </w:p>
    <w:p w14:paraId="4D32DB4D" w14:textId="77777777" w:rsidR="008E1C95" w:rsidRDefault="00000000">
      <w:pPr>
        <w:spacing w:after="140" w:line="300" w:lineRule="auto"/>
        <w:jc w:val="both"/>
      </w:pPr>
      <w:r>
        <w:t>Drei Eigenschaften dieser Daten sprechen gegen eine relationale Ablage:</w:t>
      </w:r>
    </w:p>
    <w:p w14:paraId="3313E673" w14:textId="77777777" w:rsidR="008E1C95" w:rsidRDefault="00000000">
      <w:pPr>
        <w:spacing w:after="140" w:line="300" w:lineRule="auto"/>
        <w:jc w:val="both"/>
      </w:pPr>
      <w:r>
        <w:rPr>
          <w:b/>
          <w:bCs/>
        </w:rPr>
        <w:t xml:space="preserve">Unterschiedliche Messgrößen je Anlagentyp. </w:t>
      </w:r>
      <w:r>
        <w:t>Ein Shredder meldet Motorlast und Schlagwerkdrehzahl, eine Schrottschere Schnittkraft und Hydraulikdruck, ein Sortierband Bandgeschwindigkeit und Werte der optischen Erkennung. Relational müssten entweder alle Spalten aller Anlagentypen vorgehalten werden, was zahlreiche NULL-Werte erzeugt, oder es wären getrennte Tabellen je Anlagenart nötig.</w:t>
      </w:r>
    </w:p>
    <w:p w14:paraId="1D7C9C93" w14:textId="77777777" w:rsidR="008E1C95" w:rsidRDefault="00000000">
      <w:pPr>
        <w:spacing w:after="140" w:line="300" w:lineRule="auto"/>
        <w:jc w:val="both"/>
      </w:pPr>
      <w:r>
        <w:rPr>
          <w:b/>
          <w:bCs/>
        </w:rPr>
        <w:t xml:space="preserve">Verschachtelte Strukturen. </w:t>
      </w:r>
      <w:r>
        <w:t xml:space="preserve">Eine Störmeldung besteht aus Code, Klartext und Dauer, die Sensorwerte des Sortierbands aus mehreren Anteilen. Im Dokumentmodell sind </w:t>
      </w:r>
      <w:proofErr w:type="gramStart"/>
      <w:r>
        <w:t>das eingebettete Objekte</w:t>
      </w:r>
      <w:proofErr w:type="gramEnd"/>
      <w:r>
        <w:t>; relational wären zusätzliche Tabellen mit Fremdschlüsseln erforderlich.</w:t>
      </w:r>
    </w:p>
    <w:p w14:paraId="508F823A" w14:textId="77777777" w:rsidR="008E1C95" w:rsidRDefault="00000000">
      <w:pPr>
        <w:spacing w:after="140" w:line="300" w:lineRule="auto"/>
        <w:jc w:val="both"/>
      </w:pPr>
      <w:r>
        <w:rPr>
          <w:b/>
          <w:bCs/>
        </w:rPr>
        <w:t xml:space="preserve">Hohe Schreiblast bei einfachen Abfragen. </w:t>
      </w:r>
      <w:r>
        <w:t>Es entstehen sehr viele Schreibvorgänge, während die Abfragen einfach bleiben. Transaktionale Konsistenz über mehrere Tabellen hinweg wird nicht benötigt.</w:t>
      </w:r>
    </w:p>
    <w:p w14:paraId="2C83C835" w14:textId="77777777" w:rsidR="008E1C95" w:rsidRDefault="00000000">
      <w:pPr>
        <w:pStyle w:val="berschrift1"/>
        <w:spacing w:before="340" w:after="170"/>
      </w:pPr>
      <w:r>
        <w:t>Vor- und Nachteile gegenüber relationalen Datenbanken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3375"/>
        <w:gridCol w:w="3375"/>
      </w:tblGrid>
      <w:tr w:rsidR="008E1C95" w14:paraId="0966D429" w14:textId="77777777">
        <w:tblPrEx>
          <w:tblCellMar>
            <w:top w:w="0" w:type="dxa"/>
            <w:bottom w:w="0" w:type="dxa"/>
          </w:tblCellMar>
        </w:tblPrEx>
        <w:trPr>
          <w:tblHeader/>
        </w:trPr>
        <w:tc>
          <w:tcPr>
            <w:tcW w:w="2250" w:type="dxa"/>
            <w:shd w:val="clear" w:color="auto" w:fill="DDDDDD"/>
          </w:tcPr>
          <w:p w14:paraId="56A46AA0" w14:textId="77777777" w:rsidR="008E1C95" w:rsidRDefault="00000000">
            <w:pPr>
              <w:spacing w:before="40" w:after="40"/>
            </w:pPr>
            <w:r>
              <w:rPr>
                <w:b/>
                <w:bCs/>
                <w:sz w:val="20"/>
                <w:szCs w:val="20"/>
              </w:rPr>
              <w:t>Aspekt</w:t>
            </w:r>
          </w:p>
        </w:tc>
        <w:tc>
          <w:tcPr>
            <w:tcW w:w="3375" w:type="dxa"/>
            <w:shd w:val="clear" w:color="auto" w:fill="DDDDDD"/>
          </w:tcPr>
          <w:p w14:paraId="7C9B6000" w14:textId="77777777" w:rsidR="008E1C95" w:rsidRDefault="00000000">
            <w:pPr>
              <w:spacing w:before="40" w:after="40"/>
            </w:pPr>
            <w:r>
              <w:rPr>
                <w:b/>
                <w:bCs/>
                <w:sz w:val="20"/>
                <w:szCs w:val="20"/>
              </w:rPr>
              <w:t>MongoDB</w:t>
            </w:r>
          </w:p>
        </w:tc>
        <w:tc>
          <w:tcPr>
            <w:tcW w:w="3375" w:type="dxa"/>
            <w:shd w:val="clear" w:color="auto" w:fill="DDDDDD"/>
          </w:tcPr>
          <w:p w14:paraId="6FBEE512" w14:textId="77777777" w:rsidR="008E1C95" w:rsidRDefault="00000000">
            <w:pPr>
              <w:spacing w:before="40" w:after="40"/>
            </w:pPr>
            <w:r>
              <w:rPr>
                <w:b/>
                <w:bCs/>
                <w:sz w:val="20"/>
                <w:szCs w:val="20"/>
              </w:rPr>
              <w:t>Relationale Datenbank</w:t>
            </w:r>
          </w:p>
        </w:tc>
      </w:tr>
      <w:tr w:rsidR="008E1C95" w14:paraId="7A530243" w14:textId="77777777">
        <w:tblPrEx>
          <w:tblCellMar>
            <w:top w:w="0" w:type="dxa"/>
            <w:bottom w:w="0" w:type="dxa"/>
          </w:tblCellMar>
        </w:tblPrEx>
        <w:tc>
          <w:tcPr>
            <w:tcW w:w="2250" w:type="dxa"/>
          </w:tcPr>
          <w:p w14:paraId="48E5DCAB" w14:textId="77777777" w:rsidR="008E1C95" w:rsidRDefault="00000000">
            <w:pPr>
              <w:spacing w:before="40" w:after="40"/>
            </w:pPr>
            <w:r>
              <w:rPr>
                <w:sz w:val="20"/>
                <w:szCs w:val="20"/>
              </w:rPr>
              <w:t>Schema</w:t>
            </w:r>
          </w:p>
        </w:tc>
        <w:tc>
          <w:tcPr>
            <w:tcW w:w="3375" w:type="dxa"/>
          </w:tcPr>
          <w:p w14:paraId="354F79AB" w14:textId="77777777" w:rsidR="008E1C95" w:rsidRDefault="00000000">
            <w:pPr>
              <w:spacing w:before="40" w:after="40"/>
            </w:pPr>
            <w:r>
              <w:rPr>
                <w:sz w:val="20"/>
                <w:szCs w:val="20"/>
              </w:rPr>
              <w:t>schemafrei, Felder je Dokument unterschiedlich</w:t>
            </w:r>
          </w:p>
        </w:tc>
        <w:tc>
          <w:tcPr>
            <w:tcW w:w="3375" w:type="dxa"/>
          </w:tcPr>
          <w:p w14:paraId="44FB5E07" w14:textId="77777777" w:rsidR="008E1C95" w:rsidRDefault="00000000">
            <w:pPr>
              <w:spacing w:before="40" w:after="40"/>
            </w:pPr>
            <w:r>
              <w:rPr>
                <w:sz w:val="20"/>
                <w:szCs w:val="20"/>
              </w:rPr>
              <w:t>fest, Änderungen erfordern Migration</w:t>
            </w:r>
          </w:p>
        </w:tc>
      </w:tr>
      <w:tr w:rsidR="008E1C95" w14:paraId="44D1AFC8" w14:textId="77777777">
        <w:tblPrEx>
          <w:tblCellMar>
            <w:top w:w="0" w:type="dxa"/>
            <w:bottom w:w="0" w:type="dxa"/>
          </w:tblCellMar>
        </w:tblPrEx>
        <w:tc>
          <w:tcPr>
            <w:tcW w:w="2250" w:type="dxa"/>
          </w:tcPr>
          <w:p w14:paraId="5D8ACEBB" w14:textId="77777777" w:rsidR="008E1C95" w:rsidRDefault="00000000">
            <w:pPr>
              <w:spacing w:before="40" w:after="40"/>
            </w:pPr>
            <w:r>
              <w:rPr>
                <w:sz w:val="20"/>
                <w:szCs w:val="20"/>
              </w:rPr>
              <w:t>Verschachtelung</w:t>
            </w:r>
          </w:p>
        </w:tc>
        <w:tc>
          <w:tcPr>
            <w:tcW w:w="3375" w:type="dxa"/>
          </w:tcPr>
          <w:p w14:paraId="3129C8A8" w14:textId="77777777" w:rsidR="008E1C95" w:rsidRDefault="00000000">
            <w:pPr>
              <w:spacing w:before="40" w:after="40"/>
            </w:pPr>
            <w:r>
              <w:rPr>
                <w:sz w:val="20"/>
                <w:szCs w:val="20"/>
              </w:rPr>
              <w:t>eingebettete Objekte möglich</w:t>
            </w:r>
          </w:p>
        </w:tc>
        <w:tc>
          <w:tcPr>
            <w:tcW w:w="3375" w:type="dxa"/>
          </w:tcPr>
          <w:p w14:paraId="2B039E03" w14:textId="77777777" w:rsidR="008E1C95" w:rsidRDefault="00000000">
            <w:pPr>
              <w:spacing w:before="40" w:after="40"/>
            </w:pPr>
            <w:r>
              <w:rPr>
                <w:sz w:val="20"/>
                <w:szCs w:val="20"/>
              </w:rPr>
              <w:t>nur über zusätzliche Tabellen</w:t>
            </w:r>
          </w:p>
        </w:tc>
      </w:tr>
      <w:tr w:rsidR="008E1C95" w14:paraId="3CE1CF81" w14:textId="77777777">
        <w:tblPrEx>
          <w:tblCellMar>
            <w:top w:w="0" w:type="dxa"/>
            <w:bottom w:w="0" w:type="dxa"/>
          </w:tblCellMar>
        </w:tblPrEx>
        <w:tc>
          <w:tcPr>
            <w:tcW w:w="2250" w:type="dxa"/>
          </w:tcPr>
          <w:p w14:paraId="3B516B91" w14:textId="77777777" w:rsidR="008E1C95" w:rsidRDefault="00000000">
            <w:pPr>
              <w:spacing w:before="40" w:after="40"/>
            </w:pPr>
            <w:r>
              <w:rPr>
                <w:sz w:val="20"/>
                <w:szCs w:val="20"/>
              </w:rPr>
              <w:t>Schreibgeschwindigkeit</w:t>
            </w:r>
          </w:p>
        </w:tc>
        <w:tc>
          <w:tcPr>
            <w:tcW w:w="3375" w:type="dxa"/>
          </w:tcPr>
          <w:p w14:paraId="3D986055" w14:textId="77777777" w:rsidR="008E1C95" w:rsidRDefault="00000000">
            <w:pPr>
              <w:spacing w:before="40" w:after="40"/>
            </w:pPr>
            <w:r>
              <w:rPr>
                <w:sz w:val="20"/>
                <w:szCs w:val="20"/>
              </w:rPr>
              <w:t>hoch, keine Prüfungen über Tabellen hinweg</w:t>
            </w:r>
          </w:p>
        </w:tc>
        <w:tc>
          <w:tcPr>
            <w:tcW w:w="3375" w:type="dxa"/>
          </w:tcPr>
          <w:p w14:paraId="19B481BC" w14:textId="77777777" w:rsidR="008E1C95" w:rsidRDefault="00000000">
            <w:pPr>
              <w:spacing w:before="40" w:after="40"/>
            </w:pPr>
            <w:r>
              <w:rPr>
                <w:sz w:val="20"/>
                <w:szCs w:val="20"/>
              </w:rPr>
              <w:t>geringer durch Constraints und Sperren</w:t>
            </w:r>
          </w:p>
        </w:tc>
      </w:tr>
      <w:tr w:rsidR="008E1C95" w14:paraId="2C656899" w14:textId="77777777">
        <w:tblPrEx>
          <w:tblCellMar>
            <w:top w:w="0" w:type="dxa"/>
            <w:bottom w:w="0" w:type="dxa"/>
          </w:tblCellMar>
        </w:tblPrEx>
        <w:tc>
          <w:tcPr>
            <w:tcW w:w="2250" w:type="dxa"/>
          </w:tcPr>
          <w:p w14:paraId="3DE26945" w14:textId="77777777" w:rsidR="008E1C95" w:rsidRDefault="00000000">
            <w:pPr>
              <w:spacing w:before="40" w:after="40"/>
            </w:pPr>
            <w:r>
              <w:rPr>
                <w:sz w:val="20"/>
                <w:szCs w:val="20"/>
              </w:rPr>
              <w:t>Skalierung</w:t>
            </w:r>
          </w:p>
        </w:tc>
        <w:tc>
          <w:tcPr>
            <w:tcW w:w="3375" w:type="dxa"/>
          </w:tcPr>
          <w:p w14:paraId="31ED5B00" w14:textId="77777777" w:rsidR="008E1C95" w:rsidRDefault="00000000">
            <w:pPr>
              <w:spacing w:before="40" w:after="40"/>
            </w:pPr>
            <w:r>
              <w:rPr>
                <w:sz w:val="20"/>
                <w:szCs w:val="20"/>
              </w:rPr>
              <w:t xml:space="preserve">horizontal über </w:t>
            </w:r>
            <w:proofErr w:type="spellStart"/>
            <w:r>
              <w:rPr>
                <w:sz w:val="20"/>
                <w:szCs w:val="20"/>
              </w:rPr>
              <w:t>Sharding</w:t>
            </w:r>
            <w:proofErr w:type="spellEnd"/>
            <w:r>
              <w:rPr>
                <w:sz w:val="20"/>
                <w:szCs w:val="20"/>
              </w:rPr>
              <w:t xml:space="preserve"> vorgesehen</w:t>
            </w:r>
          </w:p>
        </w:tc>
        <w:tc>
          <w:tcPr>
            <w:tcW w:w="3375" w:type="dxa"/>
          </w:tcPr>
          <w:p w14:paraId="79C8EE28" w14:textId="77777777" w:rsidR="008E1C95" w:rsidRDefault="00000000">
            <w:pPr>
              <w:spacing w:before="40" w:after="40"/>
            </w:pPr>
            <w:r>
              <w:rPr>
                <w:sz w:val="20"/>
                <w:szCs w:val="20"/>
              </w:rPr>
              <w:t>überwiegend vertikal</w:t>
            </w:r>
          </w:p>
        </w:tc>
      </w:tr>
      <w:tr w:rsidR="008E1C95" w14:paraId="1824469C" w14:textId="77777777">
        <w:tblPrEx>
          <w:tblCellMar>
            <w:top w:w="0" w:type="dxa"/>
            <w:bottom w:w="0" w:type="dxa"/>
          </w:tblCellMar>
        </w:tblPrEx>
        <w:tc>
          <w:tcPr>
            <w:tcW w:w="2250" w:type="dxa"/>
          </w:tcPr>
          <w:p w14:paraId="496A76FF" w14:textId="77777777" w:rsidR="008E1C95" w:rsidRDefault="00000000">
            <w:pPr>
              <w:spacing w:before="40" w:after="40"/>
            </w:pPr>
            <w:r>
              <w:rPr>
                <w:sz w:val="20"/>
                <w:szCs w:val="20"/>
              </w:rPr>
              <w:t>Integrität</w:t>
            </w:r>
          </w:p>
        </w:tc>
        <w:tc>
          <w:tcPr>
            <w:tcW w:w="3375" w:type="dxa"/>
          </w:tcPr>
          <w:p w14:paraId="1463DE12" w14:textId="77777777" w:rsidR="008E1C95" w:rsidRDefault="00000000">
            <w:pPr>
              <w:spacing w:before="40" w:after="40"/>
            </w:pPr>
            <w:r>
              <w:rPr>
                <w:sz w:val="20"/>
                <w:szCs w:val="20"/>
              </w:rPr>
              <w:t>keine Fremdschlüssel, Prüfung in der Anwendung</w:t>
            </w:r>
          </w:p>
        </w:tc>
        <w:tc>
          <w:tcPr>
            <w:tcW w:w="3375" w:type="dxa"/>
          </w:tcPr>
          <w:p w14:paraId="564B0C50" w14:textId="77777777" w:rsidR="008E1C95" w:rsidRDefault="00000000">
            <w:pPr>
              <w:spacing w:before="40" w:after="40"/>
            </w:pPr>
            <w:r>
              <w:rPr>
                <w:sz w:val="20"/>
                <w:szCs w:val="20"/>
              </w:rPr>
              <w:t>referenzielle Integrität durch die Datenbank</w:t>
            </w:r>
          </w:p>
        </w:tc>
      </w:tr>
      <w:tr w:rsidR="008E1C95" w14:paraId="2DFA1056" w14:textId="77777777">
        <w:tblPrEx>
          <w:tblCellMar>
            <w:top w:w="0" w:type="dxa"/>
            <w:bottom w:w="0" w:type="dxa"/>
          </w:tblCellMar>
        </w:tblPrEx>
        <w:tc>
          <w:tcPr>
            <w:tcW w:w="2250" w:type="dxa"/>
          </w:tcPr>
          <w:p w14:paraId="42B59794" w14:textId="77777777" w:rsidR="008E1C95" w:rsidRDefault="00000000">
            <w:pPr>
              <w:spacing w:before="40" w:after="40"/>
            </w:pPr>
            <w:r>
              <w:rPr>
                <w:sz w:val="20"/>
                <w:szCs w:val="20"/>
              </w:rPr>
              <w:t>Abfragen über mehrere Objekte</w:t>
            </w:r>
          </w:p>
        </w:tc>
        <w:tc>
          <w:tcPr>
            <w:tcW w:w="3375" w:type="dxa"/>
          </w:tcPr>
          <w:p w14:paraId="4B84D87D" w14:textId="77777777" w:rsidR="008E1C95" w:rsidRDefault="00000000">
            <w:pPr>
              <w:spacing w:before="40" w:after="40"/>
            </w:pPr>
            <w:r>
              <w:rPr>
                <w:sz w:val="20"/>
                <w:szCs w:val="20"/>
              </w:rPr>
              <w:t>aufwendig, Joins nur eingeschränkt</w:t>
            </w:r>
          </w:p>
        </w:tc>
        <w:tc>
          <w:tcPr>
            <w:tcW w:w="3375" w:type="dxa"/>
          </w:tcPr>
          <w:p w14:paraId="42721771" w14:textId="77777777" w:rsidR="008E1C95" w:rsidRDefault="00000000">
            <w:pPr>
              <w:spacing w:before="40" w:after="40"/>
            </w:pPr>
            <w:r>
              <w:rPr>
                <w:sz w:val="20"/>
                <w:szCs w:val="20"/>
              </w:rPr>
              <w:t>SQL-Joins als Kernfunktion</w:t>
            </w:r>
          </w:p>
        </w:tc>
      </w:tr>
      <w:tr w:rsidR="008E1C95" w14:paraId="5A80C487" w14:textId="77777777">
        <w:tblPrEx>
          <w:tblCellMar>
            <w:top w:w="0" w:type="dxa"/>
            <w:bottom w:w="0" w:type="dxa"/>
          </w:tblCellMar>
        </w:tblPrEx>
        <w:tc>
          <w:tcPr>
            <w:tcW w:w="2250" w:type="dxa"/>
          </w:tcPr>
          <w:p w14:paraId="6D517540" w14:textId="77777777" w:rsidR="008E1C95" w:rsidRDefault="00000000">
            <w:pPr>
              <w:spacing w:before="40" w:after="40"/>
            </w:pPr>
            <w:r>
              <w:rPr>
                <w:sz w:val="20"/>
                <w:szCs w:val="20"/>
              </w:rPr>
              <w:t>Auswertbarkeit</w:t>
            </w:r>
          </w:p>
        </w:tc>
        <w:tc>
          <w:tcPr>
            <w:tcW w:w="3375" w:type="dxa"/>
          </w:tcPr>
          <w:p w14:paraId="690C196D" w14:textId="77777777" w:rsidR="008E1C95" w:rsidRDefault="00000000">
            <w:pPr>
              <w:spacing w:before="40" w:after="40"/>
            </w:pPr>
            <w:r>
              <w:rPr>
                <w:sz w:val="20"/>
                <w:szCs w:val="20"/>
              </w:rPr>
              <w:t>begrenzt, Aggregation Pipeline statt SQL</w:t>
            </w:r>
          </w:p>
        </w:tc>
        <w:tc>
          <w:tcPr>
            <w:tcW w:w="3375" w:type="dxa"/>
          </w:tcPr>
          <w:p w14:paraId="10384A22" w14:textId="77777777" w:rsidR="008E1C95" w:rsidRDefault="00000000">
            <w:pPr>
              <w:spacing w:before="40" w:after="40"/>
            </w:pPr>
            <w:r>
              <w:rPr>
                <w:sz w:val="20"/>
                <w:szCs w:val="20"/>
              </w:rPr>
              <w:t>ausgereifte Analysefunktionen</w:t>
            </w:r>
          </w:p>
        </w:tc>
      </w:tr>
      <w:tr w:rsidR="008E1C95" w14:paraId="26316D95" w14:textId="77777777">
        <w:tblPrEx>
          <w:tblCellMar>
            <w:top w:w="0" w:type="dxa"/>
            <w:bottom w:w="0" w:type="dxa"/>
          </w:tblCellMar>
        </w:tblPrEx>
        <w:tc>
          <w:tcPr>
            <w:tcW w:w="2250" w:type="dxa"/>
          </w:tcPr>
          <w:p w14:paraId="19006881" w14:textId="77777777" w:rsidR="008E1C95" w:rsidRDefault="00000000">
            <w:pPr>
              <w:spacing w:before="40" w:after="40"/>
            </w:pPr>
            <w:r>
              <w:rPr>
                <w:sz w:val="20"/>
                <w:szCs w:val="20"/>
              </w:rPr>
              <w:t>Standardisierung</w:t>
            </w:r>
          </w:p>
        </w:tc>
        <w:tc>
          <w:tcPr>
            <w:tcW w:w="3375" w:type="dxa"/>
          </w:tcPr>
          <w:p w14:paraId="3FB5E133" w14:textId="77777777" w:rsidR="008E1C95" w:rsidRDefault="00000000">
            <w:pPr>
              <w:spacing w:before="40" w:after="40"/>
            </w:pPr>
            <w:r>
              <w:rPr>
                <w:sz w:val="20"/>
                <w:szCs w:val="20"/>
              </w:rPr>
              <w:t>herstellerspezifische Abfragesprache</w:t>
            </w:r>
          </w:p>
        </w:tc>
        <w:tc>
          <w:tcPr>
            <w:tcW w:w="3375" w:type="dxa"/>
          </w:tcPr>
          <w:p w14:paraId="3F8D2E2E" w14:textId="77777777" w:rsidR="008E1C95" w:rsidRDefault="00000000">
            <w:pPr>
              <w:spacing w:before="40" w:after="40"/>
            </w:pPr>
            <w:r>
              <w:rPr>
                <w:sz w:val="20"/>
                <w:szCs w:val="20"/>
              </w:rPr>
              <w:t>SQL als Standard</w:t>
            </w:r>
          </w:p>
        </w:tc>
      </w:tr>
    </w:tbl>
    <w:p w14:paraId="5145C2EC" w14:textId="77777777" w:rsidR="008E1C95" w:rsidRDefault="008E1C95">
      <w:pPr>
        <w:spacing w:after="140"/>
      </w:pPr>
    </w:p>
    <w:p w14:paraId="7C53B0BF" w14:textId="77777777" w:rsidR="008E1C95" w:rsidRDefault="00000000">
      <w:pPr>
        <w:spacing w:after="140" w:line="300" w:lineRule="auto"/>
        <w:jc w:val="both"/>
      </w:pPr>
      <w:r>
        <w:t>Der zentrale Nachteil zeigt sich beim Auswerten: Sobald Daten über mehrere Objekte hinweg verknüpft werden sollen, ist das relationale Modell überlegen. Genau deshalb bleiben die Maschinendaten nicht in MongoDB, sondern werden ins Data Warehouse überführt.</w:t>
      </w:r>
    </w:p>
    <w:p w14:paraId="31B0877F" w14:textId="77777777" w:rsidR="008E1C95" w:rsidRDefault="00000000">
      <w:pPr>
        <w:pStyle w:val="berschrift1"/>
        <w:spacing w:before="340" w:after="170"/>
      </w:pPr>
      <w:r>
        <w:t>Implementierung</w:t>
      </w:r>
    </w:p>
    <w:p w14:paraId="5C4AF391" w14:textId="77777777" w:rsidR="008E1C95" w:rsidRDefault="00000000">
      <w:pPr>
        <w:spacing w:after="140" w:line="300" w:lineRule="auto"/>
        <w:jc w:val="both"/>
      </w:pPr>
      <w:r>
        <w:t xml:space="preserve">MongoDB wurde als lokale Instanz eingerichtet. Der Server wird mit </w:t>
      </w:r>
      <w:proofErr w:type="spellStart"/>
      <w:r>
        <w:rPr>
          <w:rFonts w:ascii="Consolas" w:eastAsia="Consolas" w:hAnsi="Consolas" w:cs="Consolas"/>
          <w:sz w:val="20"/>
          <w:szCs w:val="20"/>
        </w:rPr>
        <w:t>mongod</w:t>
      </w:r>
      <w:proofErr w:type="spellEnd"/>
      <w:r>
        <w:t xml:space="preserve"> unter Angabe eines Datenverzeichnisses gestartet und ist über Port 27017 erreichbar. Die Bedienung erfolgt über die Shell </w:t>
      </w:r>
      <w:proofErr w:type="spellStart"/>
      <w:r>
        <w:rPr>
          <w:rFonts w:ascii="Consolas" w:eastAsia="Consolas" w:hAnsi="Consolas" w:cs="Consolas"/>
          <w:sz w:val="20"/>
          <w:szCs w:val="20"/>
        </w:rPr>
        <w:t>mongosh</w:t>
      </w:r>
      <w:proofErr w:type="spellEnd"/>
      <w:r>
        <w:t>.</w:t>
      </w:r>
    </w:p>
    <w:p w14:paraId="426EF91D" w14:textId="77777777" w:rsidR="008E1C95" w:rsidRDefault="00000000">
      <w:pPr>
        <w:spacing w:after="140" w:line="300" w:lineRule="auto"/>
        <w:jc w:val="both"/>
      </w:pPr>
      <w:r>
        <w:lastRenderedPageBreak/>
        <w:t xml:space="preserve">Angelegt wurde die Datenbank </w:t>
      </w:r>
      <w:proofErr w:type="spellStart"/>
      <w:r>
        <w:rPr>
          <w:rFonts w:ascii="Consolas" w:eastAsia="Consolas" w:hAnsi="Consolas" w:cs="Consolas"/>
          <w:sz w:val="20"/>
          <w:szCs w:val="20"/>
        </w:rPr>
        <w:t>anlagendaten</w:t>
      </w:r>
      <w:proofErr w:type="spellEnd"/>
      <w:r>
        <w:t xml:space="preserve"> mit der Collection </w:t>
      </w:r>
      <w:proofErr w:type="spellStart"/>
      <w:r>
        <w:rPr>
          <w:rFonts w:ascii="Consolas" w:eastAsia="Consolas" w:hAnsi="Consolas" w:cs="Consolas"/>
          <w:sz w:val="20"/>
          <w:szCs w:val="20"/>
        </w:rPr>
        <w:t>messwerte</w:t>
      </w:r>
      <w:proofErr w:type="spellEnd"/>
      <w:r>
        <w:t>. Die Datenbank entsteht dabei erst mit dem Einfügen des ersten Dokuments — ein Unterschied zum relationalen Modell, bei dem Schema und Tabellen vor dem ersten Datensatz existieren müssen.</w:t>
      </w:r>
    </w:p>
    <w:p w14:paraId="3657958B" w14:textId="77777777" w:rsidR="008E1C95" w:rsidRDefault="00000000">
      <w:pPr>
        <w:pStyle w:val="berschrift1"/>
        <w:spacing w:before="340" w:after="170"/>
      </w:pPr>
      <w:r>
        <w:t>Grundoperationen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3375"/>
        <w:gridCol w:w="3375"/>
      </w:tblGrid>
      <w:tr w:rsidR="008E1C95" w14:paraId="34B35A67" w14:textId="77777777">
        <w:tblPrEx>
          <w:tblCellMar>
            <w:top w:w="0" w:type="dxa"/>
            <w:bottom w:w="0" w:type="dxa"/>
          </w:tblCellMar>
        </w:tblPrEx>
        <w:trPr>
          <w:tblHeader/>
        </w:trPr>
        <w:tc>
          <w:tcPr>
            <w:tcW w:w="2250" w:type="dxa"/>
            <w:shd w:val="clear" w:color="auto" w:fill="DDDDDD"/>
          </w:tcPr>
          <w:p w14:paraId="5910BE53" w14:textId="77777777" w:rsidR="008E1C95" w:rsidRDefault="00000000">
            <w:pPr>
              <w:spacing w:before="40" w:after="40"/>
            </w:pPr>
            <w:r>
              <w:rPr>
                <w:b/>
                <w:bCs/>
                <w:sz w:val="20"/>
                <w:szCs w:val="20"/>
              </w:rPr>
              <w:t>Operation</w:t>
            </w:r>
          </w:p>
        </w:tc>
        <w:tc>
          <w:tcPr>
            <w:tcW w:w="3375" w:type="dxa"/>
            <w:shd w:val="clear" w:color="auto" w:fill="DDDDDD"/>
          </w:tcPr>
          <w:p w14:paraId="72626545" w14:textId="77777777" w:rsidR="008E1C95" w:rsidRDefault="00000000">
            <w:pPr>
              <w:spacing w:before="40" w:after="40"/>
            </w:pPr>
            <w:r>
              <w:rPr>
                <w:b/>
                <w:bCs/>
                <w:sz w:val="20"/>
                <w:szCs w:val="20"/>
              </w:rPr>
              <w:t>Befehl</w:t>
            </w:r>
          </w:p>
        </w:tc>
        <w:tc>
          <w:tcPr>
            <w:tcW w:w="3375" w:type="dxa"/>
            <w:shd w:val="clear" w:color="auto" w:fill="DDDDDD"/>
          </w:tcPr>
          <w:p w14:paraId="43D3F038" w14:textId="77777777" w:rsidR="008E1C95" w:rsidRDefault="00000000">
            <w:pPr>
              <w:spacing w:before="40" w:after="40"/>
            </w:pPr>
            <w:r>
              <w:rPr>
                <w:b/>
                <w:bCs/>
                <w:sz w:val="20"/>
                <w:szCs w:val="20"/>
              </w:rPr>
              <w:t>Ergebnis</w:t>
            </w:r>
          </w:p>
        </w:tc>
      </w:tr>
      <w:tr w:rsidR="008E1C95" w14:paraId="47A812A7" w14:textId="77777777">
        <w:tblPrEx>
          <w:tblCellMar>
            <w:top w:w="0" w:type="dxa"/>
            <w:bottom w:w="0" w:type="dxa"/>
          </w:tblCellMar>
        </w:tblPrEx>
        <w:tc>
          <w:tcPr>
            <w:tcW w:w="2250" w:type="dxa"/>
          </w:tcPr>
          <w:p w14:paraId="5F9FF4E3" w14:textId="77777777" w:rsidR="008E1C95" w:rsidRDefault="00000000">
            <w:pPr>
              <w:spacing w:before="40" w:after="40"/>
            </w:pPr>
            <w:r>
              <w:rPr>
                <w:sz w:val="20"/>
                <w:szCs w:val="20"/>
              </w:rPr>
              <w:t>Einfügen</w:t>
            </w:r>
          </w:p>
        </w:tc>
        <w:tc>
          <w:tcPr>
            <w:tcW w:w="3375" w:type="dxa"/>
          </w:tcPr>
          <w:p w14:paraId="16828FA5" w14:textId="77777777" w:rsidR="008E1C95" w:rsidRDefault="00000000">
            <w:pPr>
              <w:spacing w:before="40" w:after="40"/>
            </w:pPr>
            <w:proofErr w:type="spellStart"/>
            <w:r>
              <w:rPr>
                <w:sz w:val="20"/>
                <w:szCs w:val="20"/>
              </w:rPr>
              <w:t>insertMany</w:t>
            </w:r>
            <w:proofErr w:type="spellEnd"/>
          </w:p>
        </w:tc>
        <w:tc>
          <w:tcPr>
            <w:tcW w:w="3375" w:type="dxa"/>
          </w:tcPr>
          <w:p w14:paraId="29CD64FD" w14:textId="77777777" w:rsidR="008E1C95" w:rsidRDefault="00000000">
            <w:pPr>
              <w:spacing w:before="40" w:after="40"/>
            </w:pPr>
            <w:r>
              <w:rPr>
                <w:sz w:val="20"/>
                <w:szCs w:val="20"/>
              </w:rPr>
              <w:t>vier Dokumente mit unterschiedlichen Feldern</w:t>
            </w:r>
          </w:p>
        </w:tc>
      </w:tr>
      <w:tr w:rsidR="008E1C95" w14:paraId="5764BD5B" w14:textId="77777777">
        <w:tblPrEx>
          <w:tblCellMar>
            <w:top w:w="0" w:type="dxa"/>
            <w:bottom w:w="0" w:type="dxa"/>
          </w:tblCellMar>
        </w:tblPrEx>
        <w:tc>
          <w:tcPr>
            <w:tcW w:w="2250" w:type="dxa"/>
          </w:tcPr>
          <w:p w14:paraId="15E07B38" w14:textId="77777777" w:rsidR="008E1C95" w:rsidRDefault="00000000">
            <w:pPr>
              <w:spacing w:before="40" w:after="40"/>
            </w:pPr>
            <w:r>
              <w:rPr>
                <w:sz w:val="20"/>
                <w:szCs w:val="20"/>
              </w:rPr>
              <w:t>Lesen, vollständig</w:t>
            </w:r>
          </w:p>
        </w:tc>
        <w:tc>
          <w:tcPr>
            <w:tcW w:w="3375" w:type="dxa"/>
          </w:tcPr>
          <w:p w14:paraId="5FE3D20F" w14:textId="77777777" w:rsidR="008E1C95" w:rsidRDefault="00000000">
            <w:pPr>
              <w:spacing w:before="40" w:after="40"/>
            </w:pPr>
            <w:proofErr w:type="gramStart"/>
            <w:r>
              <w:rPr>
                <w:sz w:val="20"/>
                <w:szCs w:val="20"/>
              </w:rPr>
              <w:t>find(</w:t>
            </w:r>
            <w:proofErr w:type="gramEnd"/>
            <w:r>
              <w:rPr>
                <w:sz w:val="20"/>
                <w:szCs w:val="20"/>
              </w:rPr>
              <w:t>)</w:t>
            </w:r>
          </w:p>
        </w:tc>
        <w:tc>
          <w:tcPr>
            <w:tcW w:w="3375" w:type="dxa"/>
          </w:tcPr>
          <w:p w14:paraId="41FE6490" w14:textId="77777777" w:rsidR="008E1C95" w:rsidRDefault="00000000">
            <w:pPr>
              <w:spacing w:before="40" w:after="40"/>
            </w:pPr>
            <w:r>
              <w:rPr>
                <w:sz w:val="20"/>
                <w:szCs w:val="20"/>
              </w:rPr>
              <w:t>alle Dokumente der Collection</w:t>
            </w:r>
          </w:p>
        </w:tc>
      </w:tr>
      <w:tr w:rsidR="008E1C95" w14:paraId="5BDEA9EC" w14:textId="77777777">
        <w:tblPrEx>
          <w:tblCellMar>
            <w:top w:w="0" w:type="dxa"/>
            <w:bottom w:w="0" w:type="dxa"/>
          </w:tblCellMar>
        </w:tblPrEx>
        <w:tc>
          <w:tcPr>
            <w:tcW w:w="2250" w:type="dxa"/>
          </w:tcPr>
          <w:p w14:paraId="4EC12C1E" w14:textId="77777777" w:rsidR="008E1C95" w:rsidRDefault="00000000">
            <w:pPr>
              <w:spacing w:before="40" w:after="40"/>
            </w:pPr>
            <w:r>
              <w:rPr>
                <w:sz w:val="20"/>
                <w:szCs w:val="20"/>
              </w:rPr>
              <w:t>Lesen, gefiltert</w:t>
            </w:r>
          </w:p>
        </w:tc>
        <w:tc>
          <w:tcPr>
            <w:tcW w:w="3375" w:type="dxa"/>
          </w:tcPr>
          <w:p w14:paraId="63C64F7E" w14:textId="77777777" w:rsidR="008E1C95" w:rsidRDefault="00000000">
            <w:pPr>
              <w:spacing w:before="40" w:after="40"/>
            </w:pPr>
            <w:proofErr w:type="gramStart"/>
            <w:r>
              <w:rPr>
                <w:sz w:val="20"/>
                <w:szCs w:val="20"/>
              </w:rPr>
              <w:t>find({ anlagentyp</w:t>
            </w:r>
            <w:proofErr w:type="gramEnd"/>
            <w:r>
              <w:rPr>
                <w:sz w:val="20"/>
                <w:szCs w:val="20"/>
              </w:rPr>
              <w:t>: "Shredder" })</w:t>
            </w:r>
          </w:p>
        </w:tc>
        <w:tc>
          <w:tcPr>
            <w:tcW w:w="3375" w:type="dxa"/>
          </w:tcPr>
          <w:p w14:paraId="49E47162" w14:textId="77777777" w:rsidR="008E1C95" w:rsidRDefault="00000000">
            <w:pPr>
              <w:spacing w:before="40" w:after="40"/>
            </w:pPr>
            <w:r>
              <w:rPr>
                <w:sz w:val="20"/>
                <w:szCs w:val="20"/>
              </w:rPr>
              <w:t>nur Dokumente eines Anlagentyps</w:t>
            </w:r>
          </w:p>
        </w:tc>
      </w:tr>
      <w:tr w:rsidR="008E1C95" w14:paraId="098F53E5" w14:textId="77777777">
        <w:tblPrEx>
          <w:tblCellMar>
            <w:top w:w="0" w:type="dxa"/>
            <w:bottom w:w="0" w:type="dxa"/>
          </w:tblCellMar>
        </w:tblPrEx>
        <w:tc>
          <w:tcPr>
            <w:tcW w:w="2250" w:type="dxa"/>
          </w:tcPr>
          <w:p w14:paraId="08299D1A" w14:textId="77777777" w:rsidR="008E1C95" w:rsidRDefault="00000000">
            <w:pPr>
              <w:spacing w:before="40" w:after="40"/>
            </w:pPr>
            <w:r>
              <w:rPr>
                <w:sz w:val="20"/>
                <w:szCs w:val="20"/>
              </w:rPr>
              <w:t>Lesen, Bedingung</w:t>
            </w:r>
          </w:p>
        </w:tc>
        <w:tc>
          <w:tcPr>
            <w:tcW w:w="3375" w:type="dxa"/>
          </w:tcPr>
          <w:p w14:paraId="3F7CA42B" w14:textId="77777777" w:rsidR="008E1C95" w:rsidRDefault="00000000">
            <w:pPr>
              <w:spacing w:before="40" w:after="40"/>
            </w:pPr>
            <w:proofErr w:type="gramStart"/>
            <w:r>
              <w:rPr>
                <w:sz w:val="20"/>
                <w:szCs w:val="20"/>
              </w:rPr>
              <w:t xml:space="preserve">find({ </w:t>
            </w:r>
            <w:proofErr w:type="spellStart"/>
            <w:r>
              <w:rPr>
                <w:sz w:val="20"/>
                <w:szCs w:val="20"/>
              </w:rPr>
              <w:t>motorlast</w:t>
            </w:r>
            <w:proofErr w:type="gramEnd"/>
            <w:r>
              <w:rPr>
                <w:sz w:val="20"/>
                <w:szCs w:val="20"/>
              </w:rPr>
              <w:t>_proz</w:t>
            </w:r>
            <w:proofErr w:type="spellEnd"/>
            <w:r>
              <w:rPr>
                <w:sz w:val="20"/>
                <w:szCs w:val="20"/>
              </w:rPr>
              <w:t xml:space="preserve">: </w:t>
            </w:r>
            <w:proofErr w:type="gramStart"/>
            <w:r>
              <w:rPr>
                <w:sz w:val="20"/>
                <w:szCs w:val="20"/>
              </w:rPr>
              <w:t>{ $</w:t>
            </w:r>
            <w:proofErr w:type="spellStart"/>
            <w:proofErr w:type="gramEnd"/>
            <w:r>
              <w:rPr>
                <w:sz w:val="20"/>
                <w:szCs w:val="20"/>
              </w:rPr>
              <w:t>gt</w:t>
            </w:r>
            <w:proofErr w:type="spellEnd"/>
            <w:r>
              <w:rPr>
                <w:sz w:val="20"/>
                <w:szCs w:val="20"/>
              </w:rPr>
              <w:t xml:space="preserve">: </w:t>
            </w:r>
            <w:proofErr w:type="gramStart"/>
            <w:r>
              <w:rPr>
                <w:sz w:val="20"/>
                <w:szCs w:val="20"/>
              </w:rPr>
              <w:t>80 }</w:t>
            </w:r>
            <w:proofErr w:type="gramEnd"/>
            <w:r>
              <w:rPr>
                <w:sz w:val="20"/>
                <w:szCs w:val="20"/>
              </w:rPr>
              <w:t xml:space="preserve"> })</w:t>
            </w:r>
          </w:p>
        </w:tc>
        <w:tc>
          <w:tcPr>
            <w:tcW w:w="3375" w:type="dxa"/>
          </w:tcPr>
          <w:p w14:paraId="2BB2E887" w14:textId="77777777" w:rsidR="008E1C95" w:rsidRDefault="00000000">
            <w:pPr>
              <w:spacing w:before="40" w:after="40"/>
            </w:pPr>
            <w:r>
              <w:rPr>
                <w:sz w:val="20"/>
                <w:szCs w:val="20"/>
              </w:rPr>
              <w:t>Dokumente oberhalb eines Schwellwerts</w:t>
            </w:r>
          </w:p>
        </w:tc>
      </w:tr>
      <w:tr w:rsidR="008E1C95" w14:paraId="3E991CED" w14:textId="77777777">
        <w:tblPrEx>
          <w:tblCellMar>
            <w:top w:w="0" w:type="dxa"/>
            <w:bottom w:w="0" w:type="dxa"/>
          </w:tblCellMar>
        </w:tblPrEx>
        <w:tc>
          <w:tcPr>
            <w:tcW w:w="2250" w:type="dxa"/>
          </w:tcPr>
          <w:p w14:paraId="5A922B4B" w14:textId="77777777" w:rsidR="008E1C95" w:rsidRDefault="00000000">
            <w:pPr>
              <w:spacing w:before="40" w:after="40"/>
            </w:pPr>
            <w:r>
              <w:rPr>
                <w:sz w:val="20"/>
                <w:szCs w:val="20"/>
              </w:rPr>
              <w:t>Ändern</w:t>
            </w:r>
          </w:p>
        </w:tc>
        <w:tc>
          <w:tcPr>
            <w:tcW w:w="3375" w:type="dxa"/>
          </w:tcPr>
          <w:p w14:paraId="3493B171" w14:textId="77777777" w:rsidR="008E1C95" w:rsidRDefault="00000000">
            <w:pPr>
              <w:spacing w:before="40" w:after="40"/>
            </w:pPr>
            <w:proofErr w:type="spellStart"/>
            <w:r>
              <w:rPr>
                <w:sz w:val="20"/>
                <w:szCs w:val="20"/>
              </w:rPr>
              <w:t>updateOne</w:t>
            </w:r>
            <w:proofErr w:type="spellEnd"/>
            <w:r>
              <w:rPr>
                <w:sz w:val="20"/>
                <w:szCs w:val="20"/>
              </w:rPr>
              <w:t xml:space="preserve"> mit $</w:t>
            </w:r>
            <w:proofErr w:type="spellStart"/>
            <w:r>
              <w:rPr>
                <w:sz w:val="20"/>
                <w:szCs w:val="20"/>
              </w:rPr>
              <w:t>set</w:t>
            </w:r>
            <w:proofErr w:type="spellEnd"/>
          </w:p>
        </w:tc>
        <w:tc>
          <w:tcPr>
            <w:tcW w:w="3375" w:type="dxa"/>
          </w:tcPr>
          <w:p w14:paraId="210B03AF" w14:textId="77777777" w:rsidR="008E1C95" w:rsidRDefault="00000000">
            <w:pPr>
              <w:spacing w:before="40" w:after="40"/>
            </w:pPr>
            <w:r>
              <w:rPr>
                <w:sz w:val="20"/>
                <w:szCs w:val="20"/>
              </w:rPr>
              <w:t>Störungsdauer korrigiert</w:t>
            </w:r>
          </w:p>
        </w:tc>
      </w:tr>
      <w:tr w:rsidR="008E1C95" w14:paraId="249926D2" w14:textId="77777777">
        <w:tblPrEx>
          <w:tblCellMar>
            <w:top w:w="0" w:type="dxa"/>
            <w:bottom w:w="0" w:type="dxa"/>
          </w:tblCellMar>
        </w:tblPrEx>
        <w:tc>
          <w:tcPr>
            <w:tcW w:w="2250" w:type="dxa"/>
          </w:tcPr>
          <w:p w14:paraId="12F78D76" w14:textId="77777777" w:rsidR="008E1C95" w:rsidRDefault="00000000">
            <w:pPr>
              <w:spacing w:before="40" w:after="40"/>
            </w:pPr>
            <w:r>
              <w:rPr>
                <w:sz w:val="20"/>
                <w:szCs w:val="20"/>
              </w:rPr>
              <w:t>Löschen</w:t>
            </w:r>
          </w:p>
        </w:tc>
        <w:tc>
          <w:tcPr>
            <w:tcW w:w="3375" w:type="dxa"/>
          </w:tcPr>
          <w:p w14:paraId="3DFAA7C8" w14:textId="77777777" w:rsidR="008E1C95" w:rsidRDefault="00000000">
            <w:pPr>
              <w:spacing w:before="40" w:after="40"/>
            </w:pPr>
            <w:proofErr w:type="spellStart"/>
            <w:r>
              <w:rPr>
                <w:sz w:val="20"/>
                <w:szCs w:val="20"/>
              </w:rPr>
              <w:t>deleteOne</w:t>
            </w:r>
            <w:proofErr w:type="spellEnd"/>
          </w:p>
        </w:tc>
        <w:tc>
          <w:tcPr>
            <w:tcW w:w="3375" w:type="dxa"/>
          </w:tcPr>
          <w:p w14:paraId="54037B2C" w14:textId="77777777" w:rsidR="008E1C95" w:rsidRDefault="00000000">
            <w:pPr>
              <w:spacing w:before="40" w:after="40"/>
            </w:pPr>
            <w:r>
              <w:rPr>
                <w:sz w:val="20"/>
                <w:szCs w:val="20"/>
              </w:rPr>
              <w:t>ein Dokument entfernt</w:t>
            </w:r>
          </w:p>
        </w:tc>
      </w:tr>
      <w:tr w:rsidR="008E1C95" w14:paraId="7BB04D7A" w14:textId="77777777">
        <w:tblPrEx>
          <w:tblCellMar>
            <w:top w:w="0" w:type="dxa"/>
            <w:bottom w:w="0" w:type="dxa"/>
          </w:tblCellMar>
        </w:tblPrEx>
        <w:tc>
          <w:tcPr>
            <w:tcW w:w="2250" w:type="dxa"/>
          </w:tcPr>
          <w:p w14:paraId="227305FB" w14:textId="77777777" w:rsidR="008E1C95" w:rsidRDefault="00000000">
            <w:pPr>
              <w:spacing w:before="40" w:after="40"/>
            </w:pPr>
            <w:r>
              <w:rPr>
                <w:sz w:val="20"/>
                <w:szCs w:val="20"/>
              </w:rPr>
              <w:t>Verdichten</w:t>
            </w:r>
          </w:p>
        </w:tc>
        <w:tc>
          <w:tcPr>
            <w:tcW w:w="3375" w:type="dxa"/>
          </w:tcPr>
          <w:p w14:paraId="31B930CC" w14:textId="77777777" w:rsidR="008E1C95" w:rsidRDefault="00000000">
            <w:pPr>
              <w:spacing w:before="40" w:after="40"/>
            </w:pPr>
            <w:proofErr w:type="spellStart"/>
            <w:r>
              <w:rPr>
                <w:sz w:val="20"/>
                <w:szCs w:val="20"/>
              </w:rPr>
              <w:t>aggregate</w:t>
            </w:r>
            <w:proofErr w:type="spellEnd"/>
            <w:r>
              <w:rPr>
                <w:sz w:val="20"/>
                <w:szCs w:val="20"/>
              </w:rPr>
              <w:t xml:space="preserve"> mit $</w:t>
            </w:r>
            <w:proofErr w:type="spellStart"/>
            <w:r>
              <w:rPr>
                <w:sz w:val="20"/>
                <w:szCs w:val="20"/>
              </w:rPr>
              <w:t>group</w:t>
            </w:r>
            <w:proofErr w:type="spellEnd"/>
          </w:p>
        </w:tc>
        <w:tc>
          <w:tcPr>
            <w:tcW w:w="3375" w:type="dxa"/>
          </w:tcPr>
          <w:p w14:paraId="2891C7F2" w14:textId="77777777" w:rsidR="008E1C95" w:rsidRDefault="00000000">
            <w:pPr>
              <w:spacing w:before="40" w:after="40"/>
            </w:pPr>
            <w:r>
              <w:rPr>
                <w:sz w:val="20"/>
                <w:szCs w:val="20"/>
              </w:rPr>
              <w:t>Kennzahlen je Charge</w:t>
            </w:r>
          </w:p>
        </w:tc>
      </w:tr>
    </w:tbl>
    <w:p w14:paraId="359934DC" w14:textId="77777777" w:rsidR="008E1C95" w:rsidRDefault="008E1C95">
      <w:pPr>
        <w:spacing w:after="140"/>
      </w:pPr>
    </w:p>
    <w:p w14:paraId="518DB95B" w14:textId="77777777" w:rsidR="008E1C95" w:rsidRDefault="00000000">
      <w:pPr>
        <w:spacing w:after="140" w:line="300" w:lineRule="auto"/>
        <w:jc w:val="both"/>
      </w:pPr>
      <w:r>
        <w:t xml:space="preserve">Bemerkenswert ist die dritte Abfrage: Sie filtert nach dem Feld </w:t>
      </w:r>
      <w:proofErr w:type="spellStart"/>
      <w:r>
        <w:rPr>
          <w:rFonts w:ascii="Consolas" w:eastAsia="Consolas" w:hAnsi="Consolas" w:cs="Consolas"/>
          <w:sz w:val="20"/>
          <w:szCs w:val="20"/>
        </w:rPr>
        <w:t>motorlast_proz</w:t>
      </w:r>
      <w:proofErr w:type="spellEnd"/>
      <w:r>
        <w:t xml:space="preserve">, </w:t>
      </w:r>
      <w:proofErr w:type="gramStart"/>
      <w:r>
        <w:t>das</w:t>
      </w:r>
      <w:proofErr w:type="gramEnd"/>
      <w:r>
        <w:t xml:space="preserve"> nur bei Shredder-Dokumenten existiert. Dokumente ohne dieses Feld werden ohne Fehlermeldung übergangen. In SQL müsste die Spalte für alle Zeilen vorhanden sein und die Abfrage den NULL-Fall behandeln.</w:t>
      </w:r>
    </w:p>
    <w:p w14:paraId="450CC54E" w14:textId="77777777" w:rsidR="008E1C95" w:rsidRDefault="00000000">
      <w:pPr>
        <w:pStyle w:val="berschrift1"/>
        <w:spacing w:before="340" w:after="170"/>
      </w:pPr>
      <w:r>
        <w:t>Überführung in das Data Warehouse</w:t>
      </w:r>
    </w:p>
    <w:p w14:paraId="15FA14BC" w14:textId="77777777" w:rsidR="008E1C95" w:rsidRDefault="00000000">
      <w:pPr>
        <w:spacing w:after="140" w:line="300" w:lineRule="auto"/>
        <w:jc w:val="both"/>
      </w:pPr>
      <w:r>
        <w:t>Die Überführung erfolgt in drei Schritten.</w:t>
      </w:r>
    </w:p>
    <w:p w14:paraId="35FA2A24" w14:textId="77777777" w:rsidR="008E1C95" w:rsidRDefault="00000000">
      <w:pPr>
        <w:spacing w:after="140" w:line="300" w:lineRule="auto"/>
        <w:jc w:val="both"/>
      </w:pPr>
      <w:r>
        <w:rPr>
          <w:b/>
          <w:bCs/>
        </w:rPr>
        <w:t xml:space="preserve">Verdichtung in MongoDB. </w:t>
      </w:r>
      <w:r>
        <w:t xml:space="preserve">Die Aggregation Pipeline gruppiert die Minutenwerte über </w:t>
      </w:r>
      <w:r>
        <w:rPr>
          <w:rFonts w:ascii="Consolas" w:eastAsia="Consolas" w:hAnsi="Consolas" w:cs="Consolas"/>
          <w:sz w:val="20"/>
          <w:szCs w:val="20"/>
        </w:rPr>
        <w:t>$</w:t>
      </w:r>
      <w:proofErr w:type="spellStart"/>
      <w:r>
        <w:rPr>
          <w:rFonts w:ascii="Consolas" w:eastAsia="Consolas" w:hAnsi="Consolas" w:cs="Consolas"/>
          <w:sz w:val="20"/>
          <w:szCs w:val="20"/>
        </w:rPr>
        <w:t>group</w:t>
      </w:r>
      <w:proofErr w:type="spellEnd"/>
      <w:r>
        <w:t xml:space="preserve"> nach der Chargennummer und berechnet je Charge die Anzahl der Messungen, die Anzahl und Gesamtdauer der Störungen sowie die Höchsttemperatur. Aus vielen Einzelmessungen wird damit eine Kennzahlzeile je Charge — dieselbe Körnigkeit, die auch die Faktentabelle des Data Warehouse besitzt.</w:t>
      </w:r>
    </w:p>
    <w:p w14:paraId="592F899C" w14:textId="77777777" w:rsidR="008E1C95" w:rsidRDefault="00000000">
      <w:pPr>
        <w:spacing w:after="140" w:line="300" w:lineRule="auto"/>
        <w:jc w:val="both"/>
      </w:pPr>
      <w:r>
        <w:rPr>
          <w:b/>
          <w:bCs/>
        </w:rPr>
        <w:t xml:space="preserve">Erzeugung der Ladeanweisungen. </w:t>
      </w:r>
      <w:r>
        <w:t xml:space="preserve">Über </w:t>
      </w:r>
      <w:proofErr w:type="spellStart"/>
      <w:r>
        <w:rPr>
          <w:rFonts w:ascii="Consolas" w:eastAsia="Consolas" w:hAnsi="Consolas" w:cs="Consolas"/>
          <w:sz w:val="20"/>
          <w:szCs w:val="20"/>
        </w:rPr>
        <w:t>forEach</w:t>
      </w:r>
      <w:proofErr w:type="spellEnd"/>
      <w:r>
        <w:t xml:space="preserve"> wird je Ergebniszeile eine INSERT-Anweisung ausgegeben. Fehlende Felder werden dabei abgefangen: </w:t>
      </w:r>
      <w:r>
        <w:rPr>
          <w:rFonts w:ascii="Consolas" w:eastAsia="Consolas" w:hAnsi="Consolas" w:cs="Consolas"/>
          <w:sz w:val="20"/>
          <w:szCs w:val="20"/>
        </w:rPr>
        <w:t>$</w:t>
      </w:r>
      <w:proofErr w:type="spellStart"/>
      <w:r>
        <w:rPr>
          <w:rFonts w:ascii="Consolas" w:eastAsia="Consolas" w:hAnsi="Consolas" w:cs="Consolas"/>
          <w:sz w:val="20"/>
          <w:szCs w:val="20"/>
        </w:rPr>
        <w:t>ifNull</w:t>
      </w:r>
      <w:proofErr w:type="spellEnd"/>
      <w:r>
        <w:t xml:space="preserve"> setzt nicht vorhandene Störungsdauern auf null, nicht gemessene Temperaturen werden als NULL übergeben. Dieser Schritt ist die eigentliche Schnittstelle zwischen schemafreier und schemagebundener Welt.</w:t>
      </w:r>
    </w:p>
    <w:p w14:paraId="0FBEFA0B" w14:textId="77777777" w:rsidR="008E1C95" w:rsidRDefault="00000000">
      <w:pPr>
        <w:spacing w:after="140" w:line="300" w:lineRule="auto"/>
        <w:jc w:val="both"/>
      </w:pPr>
      <w:r>
        <w:rPr>
          <w:b/>
          <w:bCs/>
        </w:rPr>
        <w:t xml:space="preserve">Laden in PostgreSQL. </w:t>
      </w:r>
      <w:r>
        <w:t xml:space="preserve">Die Anweisungen schreiben in die Tabelle </w:t>
      </w:r>
      <w:proofErr w:type="spellStart"/>
      <w:proofErr w:type="gramStart"/>
      <w:r>
        <w:rPr>
          <w:rFonts w:ascii="Consolas" w:eastAsia="Consolas" w:hAnsi="Consolas" w:cs="Consolas"/>
          <w:sz w:val="20"/>
          <w:szCs w:val="20"/>
        </w:rPr>
        <w:t>stage.mongo</w:t>
      </w:r>
      <w:proofErr w:type="gramEnd"/>
      <w:r>
        <w:rPr>
          <w:rFonts w:ascii="Consolas" w:eastAsia="Consolas" w:hAnsi="Consolas" w:cs="Consolas"/>
          <w:sz w:val="20"/>
          <w:szCs w:val="20"/>
        </w:rPr>
        <w:t>_anlagendaten</w:t>
      </w:r>
      <w:proofErr w:type="spellEnd"/>
      <w:r>
        <w:t xml:space="preserve">. Die Ablage im </w:t>
      </w:r>
      <w:proofErr w:type="spellStart"/>
      <w:r>
        <w:t>Staging</w:t>
      </w:r>
      <w:proofErr w:type="spellEnd"/>
      <w:r>
        <w:t>-Schema entspricht dem Vorgehen bei den beiden bestehenden Quellsystemen: Daten werden zunächst unverändert übernommen und erst danach weiterverarbeitet.</w:t>
      </w:r>
    </w:p>
    <w:p w14:paraId="2C8B3FB4" w14:textId="77777777" w:rsidR="008E1C95" w:rsidRDefault="00000000">
      <w:pPr>
        <w:spacing w:after="140" w:line="300" w:lineRule="auto"/>
        <w:jc w:val="both"/>
      </w:pPr>
      <w:r>
        <w:t xml:space="preserve">Verbindendes Element zwischen beiden Welten ist die Chargennummer. Sie wird im Verwertungssystem vergeben, von der Anlagensteuerung bei jeder Messung mitgeschrieben und findet sich in der Faktentabelle </w:t>
      </w:r>
      <w:proofErr w:type="spellStart"/>
      <w:proofErr w:type="gramStart"/>
      <w:r>
        <w:rPr>
          <w:rFonts w:ascii="Consolas" w:eastAsia="Consolas" w:hAnsi="Consolas" w:cs="Consolas"/>
          <w:sz w:val="20"/>
          <w:szCs w:val="20"/>
        </w:rPr>
        <w:t>business.fakt</w:t>
      </w:r>
      <w:proofErr w:type="gramEnd"/>
      <w:r>
        <w:rPr>
          <w:rFonts w:ascii="Consolas" w:eastAsia="Consolas" w:hAnsi="Consolas" w:cs="Consolas"/>
          <w:sz w:val="20"/>
          <w:szCs w:val="20"/>
        </w:rPr>
        <w:t>_verwertung</w:t>
      </w:r>
      <w:proofErr w:type="spellEnd"/>
      <w:r>
        <w:t xml:space="preserve"> wieder. Über sie lassen sich Einsatzmenge und Ausbeute aus dem relationalen System mit Störungen und Temperaturen aus der Dokumentdatenbank in einer Abfrage verbinden.</w:t>
      </w:r>
    </w:p>
    <w:p w14:paraId="7517AFB5" w14:textId="77777777" w:rsidR="008E1C95" w:rsidRDefault="00000000">
      <w:pPr>
        <w:spacing w:after="140" w:line="300" w:lineRule="auto"/>
        <w:jc w:val="both"/>
      </w:pPr>
      <w:r>
        <w:t>Fachlich entsteht daraus eine Auswertung, die keines der beiden Systeme allein liefern kann: Die Ausbeutequote einer Charge lässt sich den Betriebsbedingungen gegenüberstellen, unter denen sie verarbeitet wurde.</w:t>
      </w:r>
    </w:p>
    <w:sectPr w:rsidR="008E1C95">
      <w:headerReference w:type="default" r:id="rId7"/>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1BD1E" w14:textId="77777777" w:rsidR="000B7315" w:rsidRDefault="000B7315">
      <w:r>
        <w:separator/>
      </w:r>
    </w:p>
  </w:endnote>
  <w:endnote w:type="continuationSeparator" w:id="0">
    <w:p w14:paraId="289B1CC0" w14:textId="77777777" w:rsidR="000B7315" w:rsidRDefault="000B7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0B27" w14:textId="77777777" w:rsidR="008E1C95" w:rsidRDefault="00000000">
    <w:pPr>
      <w:jc w:val="center"/>
    </w:pPr>
    <w:r>
      <w:rPr>
        <w:sz w:val="18"/>
        <w:szCs w:val="18"/>
      </w:rPr>
      <w:fldChar w:fldCharType="begin"/>
    </w:r>
    <w:r>
      <w:rPr>
        <w:sz w:val="18"/>
        <w:szCs w:val="18"/>
      </w:rPr>
      <w:instrText>PAGE</w:instrText>
    </w:r>
    <w:r>
      <w:rPr>
        <w:sz w:val="18"/>
        <w:szCs w:val="18"/>
      </w:rPr>
      <w:fldChar w:fldCharType="separate"/>
    </w:r>
    <w:r w:rsidR="008312B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550B3" w14:textId="77777777" w:rsidR="000B7315" w:rsidRDefault="000B7315">
      <w:r>
        <w:separator/>
      </w:r>
    </w:p>
  </w:footnote>
  <w:footnote w:type="continuationSeparator" w:id="0">
    <w:p w14:paraId="278675FB" w14:textId="77777777" w:rsidR="000B7315" w:rsidRDefault="000B7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EF334" w14:textId="77777777" w:rsidR="008E1C95" w:rsidRDefault="00000000">
    <w:pPr>
      <w:pBdr>
        <w:bottom w:val="single" w:sz="4" w:space="4" w:color="BBBBBB"/>
      </w:pBdr>
    </w:pPr>
    <w:r>
      <w:rPr>
        <w:color w:val="666666"/>
        <w:sz w:val="18"/>
        <w:szCs w:val="18"/>
      </w:rPr>
      <w:t>NoSQL-Tutorial – MongoDB für Maschinendaten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12FD3"/>
    <w:multiLevelType w:val="hybridMultilevel"/>
    <w:tmpl w:val="A63241D0"/>
    <w:lvl w:ilvl="0" w:tplc="271236C6">
      <w:start w:val="1"/>
      <w:numFmt w:val="bullet"/>
      <w:lvlText w:val="●"/>
      <w:lvlJc w:val="left"/>
      <w:pPr>
        <w:ind w:left="720" w:hanging="360"/>
      </w:pPr>
    </w:lvl>
    <w:lvl w:ilvl="1" w:tplc="AE081428">
      <w:start w:val="1"/>
      <w:numFmt w:val="bullet"/>
      <w:lvlText w:val="○"/>
      <w:lvlJc w:val="left"/>
      <w:pPr>
        <w:ind w:left="1440" w:hanging="360"/>
      </w:pPr>
    </w:lvl>
    <w:lvl w:ilvl="2" w:tplc="ADB81E22">
      <w:start w:val="1"/>
      <w:numFmt w:val="bullet"/>
      <w:lvlText w:val="■"/>
      <w:lvlJc w:val="left"/>
      <w:pPr>
        <w:ind w:left="2160" w:hanging="360"/>
      </w:pPr>
    </w:lvl>
    <w:lvl w:ilvl="3" w:tplc="7248BAD6">
      <w:start w:val="1"/>
      <w:numFmt w:val="bullet"/>
      <w:lvlText w:val="●"/>
      <w:lvlJc w:val="left"/>
      <w:pPr>
        <w:ind w:left="2880" w:hanging="360"/>
      </w:pPr>
    </w:lvl>
    <w:lvl w:ilvl="4" w:tplc="31EEE474">
      <w:start w:val="1"/>
      <w:numFmt w:val="bullet"/>
      <w:lvlText w:val="○"/>
      <w:lvlJc w:val="left"/>
      <w:pPr>
        <w:ind w:left="3600" w:hanging="360"/>
      </w:pPr>
    </w:lvl>
    <w:lvl w:ilvl="5" w:tplc="D8164E00">
      <w:start w:val="1"/>
      <w:numFmt w:val="bullet"/>
      <w:lvlText w:val="■"/>
      <w:lvlJc w:val="left"/>
      <w:pPr>
        <w:ind w:left="4320" w:hanging="360"/>
      </w:pPr>
    </w:lvl>
    <w:lvl w:ilvl="6" w:tplc="AF76CE80">
      <w:start w:val="1"/>
      <w:numFmt w:val="bullet"/>
      <w:lvlText w:val="●"/>
      <w:lvlJc w:val="left"/>
      <w:pPr>
        <w:ind w:left="5040" w:hanging="360"/>
      </w:pPr>
    </w:lvl>
    <w:lvl w:ilvl="7" w:tplc="78DAB004">
      <w:start w:val="1"/>
      <w:numFmt w:val="bullet"/>
      <w:lvlText w:val="●"/>
      <w:lvlJc w:val="left"/>
      <w:pPr>
        <w:ind w:left="5760" w:hanging="360"/>
      </w:pPr>
    </w:lvl>
    <w:lvl w:ilvl="8" w:tplc="2B0CD70C">
      <w:start w:val="1"/>
      <w:numFmt w:val="bullet"/>
      <w:lvlText w:val="●"/>
      <w:lvlJc w:val="left"/>
      <w:pPr>
        <w:ind w:left="6480" w:hanging="360"/>
      </w:pPr>
    </w:lvl>
  </w:abstractNum>
  <w:num w:numId="1" w16cid:durableId="755050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C95"/>
    <w:rsid w:val="000B7315"/>
    <w:rsid w:val="008312B9"/>
    <w:rsid w:val="008E1C95"/>
    <w:rsid w:val="009870FC"/>
    <w:rsid w:val="00AD36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C1E9C"/>
  <w15:docId w15:val="{8A1AE5DC-BDA0-42DB-A09B-E54DAEDE1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707</Words>
  <Characters>4458</Characters>
  <Application>Microsoft Office Word</Application>
  <DocSecurity>0</DocSecurity>
  <Lines>37</Lines>
  <Paragraphs>10</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DSI.NET - Ove Flatow</cp:lastModifiedBy>
  <cp:revision>2</cp:revision>
  <dcterms:created xsi:type="dcterms:W3CDTF">2026-10-08T09:12:00Z</dcterms:created>
  <dcterms:modified xsi:type="dcterms:W3CDTF">2026-10-08T09:12:00Z</dcterms:modified>
</cp:coreProperties>
</file>