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36"/>
          <w:szCs w:val="36"/>
        </w:rPr>
        <w:t xml:space="preserve">Machine-Learning-Tutorial</w:t>
      </w:r>
    </w:p>
    <w:p>
      <w:pPr>
        <w:spacing w:after="360"/>
      </w:pPr>
      <w:r>
        <w:rPr>
          <w:color w:val="444444"/>
          <w:sz w:val="26"/>
          <w:szCs w:val="26"/>
        </w:rPr>
        <w:t xml:space="preserve">Vier Algorithmen aus Supervised und Unsupervised Learning</w:t>
      </w:r>
    </w:p>
    <w:p>
      <w:pPr>
        <w:pStyle w:val="Heading1"/>
        <w:spacing w:after="170" w:before="340"/>
      </w:pPr>
      <w:r>
        <w:t xml:space="preserve">1  Vorgehen und Werkzeuge</w:t>
      </w:r>
    </w:p>
    <w:p>
      <w:pPr>
        <w:spacing w:after="140" w:line="300"/>
        <w:jc w:val="both"/>
      </w:pPr>
      <w:r>
        <w:t xml:space="preserve">Umgesetzt wurden vier Algorithmen in Python unter Verwendung der Bibliothek scikit-learn. Als Laufzeitumgebung dient WinPython, das ohne Installation in das Benutzerverzeichnis entpackt wird und pandas, matplotlib sowie scikit-learn bereits enthält.</w:t>
      </w:r>
    </w:p>
    <w:p>
      <w:pPr>
        <w:spacing w:after="140" w:line="300"/>
        <w:jc w:val="both"/>
      </w:pPr>
      <w:r>
        <w:t xml:space="preserve">Als Datengrundlage dienen zwei in scikit-learn enthaltene Beispieldatensätze. Für die Regression wird der Diabetes-Datensatz verwendet, für die drei übrigen Verfahren der Wein-Datensatz. Beide sind vorbereitet und erfordern keinen Download.</w:t>
      </w:r>
    </w:p>
    <w:p>
      <w:pPr>
        <w:spacing w:after="140" w:line="300"/>
        <w:jc w:val="both"/>
      </w:pPr>
      <w:r>
        <w:t xml:space="preserve">Bewusst wurde auf die Verwendung eigener Data-Warehouse-Daten verzichtet. Diese sind für die vorangegangenen Belege generiert worden; ein Modell würde dort lediglich die beim Erzeugen eingebauten Regeln zurückliefern. Der Bezug zum Data Warehouse erfolgt stattdessen in den Abschnitten 6 und 7.</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11"/>
        <w:gridCol w:w="1627"/>
        <w:gridCol w:w="3253"/>
        <w:gridCol w:w="1410"/>
      </w:tblGrid>
      <w:tr>
        <w:trPr>
          <w:tblHeader/>
        </w:trPr>
        <w:tc>
          <w:tcPr>
            <w:tcW w:type="dxa" w:w="2711"/>
            <w:shd w:fill="DDDDDD" w:val="clear"/>
          </w:tcPr>
          <w:p>
            <w:pPr>
              <w:spacing w:after="40" w:before="40"/>
            </w:pPr>
            <w:r>
              <w:rPr>
                <w:b/>
                <w:bCs/>
                <w:sz w:val="20"/>
                <w:szCs w:val="20"/>
              </w:rPr>
              <w:t xml:space="preserve">Skript</w:t>
            </w:r>
          </w:p>
        </w:tc>
        <w:tc>
          <w:tcPr>
            <w:tcW w:type="dxa" w:w="1627"/>
            <w:shd w:fill="DDDDDD" w:val="clear"/>
          </w:tcPr>
          <w:p>
            <w:pPr>
              <w:spacing w:after="40" w:before="40"/>
            </w:pPr>
            <w:r>
              <w:rPr>
                <w:b/>
                <w:bCs/>
                <w:sz w:val="20"/>
                <w:szCs w:val="20"/>
              </w:rPr>
              <w:t xml:space="preserve">Lernart</w:t>
            </w:r>
          </w:p>
        </w:tc>
        <w:tc>
          <w:tcPr>
            <w:tcW w:type="dxa" w:w="3253"/>
            <w:shd w:fill="DDDDDD" w:val="clear"/>
          </w:tcPr>
          <w:p>
            <w:pPr>
              <w:spacing w:after="40" w:before="40"/>
            </w:pPr>
            <w:r>
              <w:rPr>
                <w:b/>
                <w:bCs/>
                <w:sz w:val="20"/>
                <w:szCs w:val="20"/>
              </w:rPr>
              <w:t xml:space="preserve">Algorithmus</w:t>
            </w:r>
          </w:p>
        </w:tc>
        <w:tc>
          <w:tcPr>
            <w:tcW w:type="dxa" w:w="1410"/>
            <w:shd w:fill="DDDDDD" w:val="clear"/>
          </w:tcPr>
          <w:p>
            <w:pPr>
              <w:spacing w:after="40" w:before="40"/>
            </w:pPr>
            <w:r>
              <w:rPr>
                <w:b/>
                <w:bCs/>
                <w:sz w:val="20"/>
                <w:szCs w:val="20"/>
              </w:rPr>
              <w:t xml:space="preserve">Datensatz</w:t>
            </w:r>
          </w:p>
        </w:tc>
      </w:tr>
      <w:tr>
        <w:tc>
          <w:tcPr>
            <w:tcW w:type="dxa" w:w="2711"/>
          </w:tcPr>
          <w:p>
            <w:pPr>
              <w:spacing w:after="40" w:before="40"/>
            </w:pPr>
            <w:r>
              <w:rPr>
                <w:b w:val="false"/>
                <w:bCs w:val="false"/>
                <w:sz w:val="20"/>
                <w:szCs w:val="20"/>
              </w:rPr>
              <w:t xml:space="preserve">01_regression.py</w:t>
            </w:r>
          </w:p>
        </w:tc>
        <w:tc>
          <w:tcPr>
            <w:tcW w:type="dxa" w:w="1627"/>
          </w:tcPr>
          <w:p>
            <w:pPr>
              <w:spacing w:after="40" w:before="40"/>
            </w:pPr>
            <w:r>
              <w:rPr>
                <w:b w:val="false"/>
                <w:bCs w:val="false"/>
                <w:sz w:val="20"/>
                <w:szCs w:val="20"/>
              </w:rPr>
              <w:t xml:space="preserve">Supervised</w:t>
            </w:r>
          </w:p>
        </w:tc>
        <w:tc>
          <w:tcPr>
            <w:tcW w:type="dxa" w:w="3253"/>
          </w:tcPr>
          <w:p>
            <w:pPr>
              <w:spacing w:after="40" w:before="40"/>
            </w:pPr>
            <w:r>
              <w:rPr>
                <w:b w:val="false"/>
                <w:bCs w:val="false"/>
                <w:sz w:val="20"/>
                <w:szCs w:val="20"/>
              </w:rPr>
              <w:t xml:space="preserve">Lineare Regression</w:t>
            </w:r>
          </w:p>
        </w:tc>
        <w:tc>
          <w:tcPr>
            <w:tcW w:type="dxa" w:w="1410"/>
          </w:tcPr>
          <w:p>
            <w:pPr>
              <w:spacing w:after="40" w:before="40"/>
            </w:pPr>
            <w:r>
              <w:rPr>
                <w:b w:val="false"/>
                <w:bCs w:val="false"/>
                <w:sz w:val="20"/>
                <w:szCs w:val="20"/>
              </w:rPr>
              <w:t xml:space="preserve">Diabetes</w:t>
            </w:r>
          </w:p>
        </w:tc>
      </w:tr>
      <w:tr>
        <w:tc>
          <w:tcPr>
            <w:tcW w:type="dxa" w:w="2711"/>
          </w:tcPr>
          <w:p>
            <w:pPr>
              <w:spacing w:after="40" w:before="40"/>
            </w:pPr>
            <w:r>
              <w:rPr>
                <w:b w:val="false"/>
                <w:bCs w:val="false"/>
                <w:sz w:val="20"/>
                <w:szCs w:val="20"/>
              </w:rPr>
              <w:t xml:space="preserve">02_baum_wald.py</w:t>
            </w:r>
          </w:p>
        </w:tc>
        <w:tc>
          <w:tcPr>
            <w:tcW w:type="dxa" w:w="1627"/>
          </w:tcPr>
          <w:p>
            <w:pPr>
              <w:spacing w:after="40" w:before="40"/>
            </w:pPr>
            <w:r>
              <w:rPr>
                <w:b w:val="false"/>
                <w:bCs w:val="false"/>
                <w:sz w:val="20"/>
                <w:szCs w:val="20"/>
              </w:rPr>
              <w:t xml:space="preserve">Supervised</w:t>
            </w:r>
          </w:p>
        </w:tc>
        <w:tc>
          <w:tcPr>
            <w:tcW w:type="dxa" w:w="3253"/>
          </w:tcPr>
          <w:p>
            <w:pPr>
              <w:spacing w:after="40" w:before="40"/>
            </w:pPr>
            <w:r>
              <w:rPr>
                <w:b w:val="false"/>
                <w:bCs w:val="false"/>
                <w:sz w:val="20"/>
                <w:szCs w:val="20"/>
              </w:rPr>
              <w:t xml:space="preserve">Decision Tree, Random Forest</w:t>
            </w:r>
          </w:p>
        </w:tc>
        <w:tc>
          <w:tcPr>
            <w:tcW w:type="dxa" w:w="1410"/>
          </w:tcPr>
          <w:p>
            <w:pPr>
              <w:spacing w:after="40" w:before="40"/>
            </w:pPr>
            <w:r>
              <w:rPr>
                <w:b w:val="false"/>
                <w:bCs w:val="false"/>
                <w:sz w:val="20"/>
                <w:szCs w:val="20"/>
              </w:rPr>
              <w:t xml:space="preserve">Wein</w:t>
            </w:r>
          </w:p>
        </w:tc>
      </w:tr>
      <w:tr>
        <w:tc>
          <w:tcPr>
            <w:tcW w:type="dxa" w:w="2711"/>
          </w:tcPr>
          <w:p>
            <w:pPr>
              <w:spacing w:after="40" w:before="40"/>
            </w:pPr>
            <w:r>
              <w:rPr>
                <w:b w:val="false"/>
                <w:bCs w:val="false"/>
                <w:sz w:val="20"/>
                <w:szCs w:val="20"/>
              </w:rPr>
              <w:t xml:space="preserve">03_kmeans.py</w:t>
            </w:r>
          </w:p>
        </w:tc>
        <w:tc>
          <w:tcPr>
            <w:tcW w:type="dxa" w:w="1627"/>
          </w:tcPr>
          <w:p>
            <w:pPr>
              <w:spacing w:after="40" w:before="40"/>
            </w:pPr>
            <w:r>
              <w:rPr>
                <w:b w:val="false"/>
                <w:bCs w:val="false"/>
                <w:sz w:val="20"/>
                <w:szCs w:val="20"/>
              </w:rPr>
              <w:t xml:space="preserve">Unsupervised</w:t>
            </w:r>
          </w:p>
        </w:tc>
        <w:tc>
          <w:tcPr>
            <w:tcW w:type="dxa" w:w="3253"/>
          </w:tcPr>
          <w:p>
            <w:pPr>
              <w:spacing w:after="40" w:before="40"/>
            </w:pPr>
            <w:r>
              <w:rPr>
                <w:b w:val="false"/>
                <w:bCs w:val="false"/>
                <w:sz w:val="20"/>
                <w:szCs w:val="20"/>
              </w:rPr>
              <w:t xml:space="preserve">k-Means</w:t>
            </w:r>
          </w:p>
        </w:tc>
        <w:tc>
          <w:tcPr>
            <w:tcW w:type="dxa" w:w="1410"/>
          </w:tcPr>
          <w:p>
            <w:pPr>
              <w:spacing w:after="40" w:before="40"/>
            </w:pPr>
            <w:r>
              <w:rPr>
                <w:b w:val="false"/>
                <w:bCs w:val="false"/>
                <w:sz w:val="20"/>
                <w:szCs w:val="20"/>
              </w:rPr>
              <w:t xml:space="preserve">Wein</w:t>
            </w:r>
          </w:p>
        </w:tc>
      </w:tr>
      <w:tr>
        <w:tc>
          <w:tcPr>
            <w:tcW w:type="dxa" w:w="2711"/>
          </w:tcPr>
          <w:p>
            <w:pPr>
              <w:spacing w:after="40" w:before="40"/>
            </w:pPr>
            <w:r>
              <w:rPr>
                <w:b w:val="false"/>
                <w:bCs w:val="false"/>
                <w:sz w:val="20"/>
                <w:szCs w:val="20"/>
              </w:rPr>
              <w:t xml:space="preserve">04_pca.py</w:t>
            </w:r>
          </w:p>
        </w:tc>
        <w:tc>
          <w:tcPr>
            <w:tcW w:type="dxa" w:w="1627"/>
          </w:tcPr>
          <w:p>
            <w:pPr>
              <w:spacing w:after="40" w:before="40"/>
            </w:pPr>
            <w:r>
              <w:rPr>
                <w:b w:val="false"/>
                <w:bCs w:val="false"/>
                <w:sz w:val="20"/>
                <w:szCs w:val="20"/>
              </w:rPr>
              <w:t xml:space="preserve">Unsupervised</w:t>
            </w:r>
          </w:p>
        </w:tc>
        <w:tc>
          <w:tcPr>
            <w:tcW w:type="dxa" w:w="3253"/>
          </w:tcPr>
          <w:p>
            <w:pPr>
              <w:spacing w:after="40" w:before="40"/>
            </w:pPr>
            <w:r>
              <w:rPr>
                <w:b w:val="false"/>
                <w:bCs w:val="false"/>
                <w:sz w:val="20"/>
                <w:szCs w:val="20"/>
              </w:rPr>
              <w:t xml:space="preserve">Hauptkomponentenanalyse</w:t>
            </w:r>
          </w:p>
        </w:tc>
        <w:tc>
          <w:tcPr>
            <w:tcW w:type="dxa" w:w="1410"/>
          </w:tcPr>
          <w:p>
            <w:pPr>
              <w:spacing w:after="40" w:before="40"/>
            </w:pPr>
            <w:r>
              <w:rPr>
                <w:b w:val="false"/>
                <w:bCs w:val="false"/>
                <w:sz w:val="20"/>
                <w:szCs w:val="20"/>
              </w:rPr>
              <w:t xml:space="preserve">Wein</w:t>
            </w:r>
          </w:p>
        </w:tc>
      </w:tr>
    </w:tbl>
    <w:p>
      <w:pPr>
        <w:spacing w:after="140"/>
      </w:pPr>
    </w:p>
    <w:p>
      <w:pPr>
        <w:pStyle w:val="Heading1"/>
        <w:spacing w:after="170" w:before="340"/>
      </w:pPr>
      <w:r>
        <w:t xml:space="preserve">2  Lineare Regression</w:t>
      </w:r>
    </w:p>
    <w:p>
      <w:pPr>
        <w:spacing w:after="140" w:line="300"/>
        <w:jc w:val="both"/>
      </w:pPr>
      <w:r>
        <w:t xml:space="preserve">Die lineare Regression sagt eine Zahl vorher. Aus zehn Patientenmerkmalen wird der Krankheitsfortschritt nach einem Jahr geschätzt. Gelernt wird auf 353 Trainingsfällen, bewertet auf 89 zurückgehaltenen Testfällen.</w:t>
      </w:r>
    </w:p>
    <w:p>
      <w:pPr>
        <w:spacing w:after="140" w:line="300"/>
        <w:jc w:val="both"/>
      </w:pPr>
      <w:r>
        <w:t xml:space="preserve">Ergebnis: mittlerer absoluter Fehler 42,79, Bestimmtheitsmaß R² 0,453. Das Modell erklärt damit rund 45 Prozent der Streuung, was für medizinische Verlaufsdaten üblich ist. Den stärksten Einfluss haben Blutfette und Körpermassindex.</w:t>
      </w:r>
    </w:p>
    <w:p>
      <w:pPr>
        <w:pStyle w:val="Heading1"/>
        <w:spacing w:after="170" w:before="340"/>
      </w:pPr>
      <w:r>
        <w:t xml:space="preserve">3  Decision Tree und Random Forest</w:t>
      </w:r>
    </w:p>
    <w:p>
      <w:pPr>
        <w:spacing w:after="140" w:line="300"/>
        <w:jc w:val="both"/>
      </w:pPr>
      <w:r>
        <w:t xml:space="preserve">Beide Verfahren bestimmen aus 13 chemischen Messwerten, von welcher von drei Rebsorten eine Weinprobe stammt. Der Decision Tree trennt die Proben über Schwellwerte, der Random Forest kombiniert 200 solcher Bäume zu einer Mehrheitsentscheidung.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813"/>
        <w:gridCol w:w="3938"/>
      </w:tblGrid>
      <w:tr>
        <w:trPr>
          <w:tblHeader/>
        </w:trPr>
        <w:tc>
          <w:tcPr>
            <w:tcW w:type="dxa" w:w="2250"/>
            <w:shd w:fill="DDDDDD" w:val="clear"/>
          </w:tcPr>
          <w:p>
            <w:pPr>
              <w:spacing w:after="40" w:before="40"/>
            </w:pPr>
            <w:r>
              <w:rPr>
                <w:b/>
                <w:bCs/>
                <w:sz w:val="20"/>
                <w:szCs w:val="20"/>
              </w:rPr>
              <w:t xml:space="preserve">Verfahren</w:t>
            </w:r>
          </w:p>
        </w:tc>
        <w:tc>
          <w:tcPr>
            <w:tcW w:type="dxa" w:w="2813"/>
            <w:shd w:fill="DDDDDD" w:val="clear"/>
          </w:tcPr>
          <w:p>
            <w:pPr>
              <w:spacing w:after="40" w:before="40"/>
            </w:pPr>
            <w:r>
              <w:rPr>
                <w:b/>
                <w:bCs/>
                <w:sz w:val="20"/>
                <w:szCs w:val="20"/>
              </w:rPr>
              <w:t xml:space="preserve">Trefferquote Testmenge</w:t>
            </w:r>
          </w:p>
        </w:tc>
        <w:tc>
          <w:tcPr>
            <w:tcW w:type="dxa" w:w="3938"/>
            <w:shd w:fill="DDDDDD" w:val="clear"/>
          </w:tcPr>
          <w:p>
            <w:pPr>
              <w:spacing w:after="40" w:before="40"/>
            </w:pPr>
            <w:r>
              <w:rPr>
                <w:b/>
                <w:bCs/>
                <w:sz w:val="20"/>
                <w:szCs w:val="20"/>
              </w:rPr>
              <w:t xml:space="preserve">Kreuzvalidierung (5 Durchläufe)</w:t>
            </w:r>
          </w:p>
        </w:tc>
      </w:tr>
      <w:tr>
        <w:tc>
          <w:tcPr>
            <w:tcW w:type="dxa" w:w="2250"/>
          </w:tcPr>
          <w:p>
            <w:pPr>
              <w:spacing w:after="40" w:before="40"/>
            </w:pPr>
            <w:r>
              <w:rPr>
                <w:b w:val="false"/>
                <w:bCs w:val="false"/>
                <w:sz w:val="20"/>
                <w:szCs w:val="20"/>
              </w:rPr>
              <w:t xml:space="preserve">Decision Tree</w:t>
            </w:r>
          </w:p>
        </w:tc>
        <w:tc>
          <w:tcPr>
            <w:tcW w:type="dxa" w:w="2813"/>
          </w:tcPr>
          <w:p>
            <w:pPr>
              <w:spacing w:after="40" w:before="40"/>
            </w:pPr>
            <w:r>
              <w:rPr>
                <w:b w:val="false"/>
                <w:bCs w:val="false"/>
                <w:sz w:val="20"/>
                <w:szCs w:val="20"/>
              </w:rPr>
              <w:t xml:space="preserve">0,963</w:t>
            </w:r>
          </w:p>
        </w:tc>
        <w:tc>
          <w:tcPr>
            <w:tcW w:type="dxa" w:w="3938"/>
          </w:tcPr>
          <w:p>
            <w:pPr>
              <w:spacing w:after="40" w:before="40"/>
            </w:pPr>
            <w:r>
              <w:rPr>
                <w:b w:val="false"/>
                <w:bCs w:val="false"/>
                <w:sz w:val="20"/>
                <w:szCs w:val="20"/>
              </w:rPr>
              <w:t xml:space="preserve">0,871 (Spanne 0,778 bis 0,971)</w:t>
            </w:r>
          </w:p>
        </w:tc>
      </w:tr>
      <w:tr>
        <w:tc>
          <w:tcPr>
            <w:tcW w:type="dxa" w:w="2250"/>
          </w:tcPr>
          <w:p>
            <w:pPr>
              <w:spacing w:after="40" w:before="40"/>
            </w:pPr>
            <w:r>
              <w:rPr>
                <w:b w:val="false"/>
                <w:bCs w:val="false"/>
                <w:sz w:val="20"/>
                <w:szCs w:val="20"/>
              </w:rPr>
              <w:t xml:space="preserve">Random Forest</w:t>
            </w:r>
          </w:p>
        </w:tc>
        <w:tc>
          <w:tcPr>
            <w:tcW w:type="dxa" w:w="2813"/>
          </w:tcPr>
          <w:p>
            <w:pPr>
              <w:spacing w:after="40" w:before="40"/>
            </w:pPr>
            <w:r>
              <w:rPr>
                <w:b w:val="false"/>
                <w:bCs w:val="false"/>
                <w:sz w:val="20"/>
                <w:szCs w:val="20"/>
              </w:rPr>
              <w:t xml:space="preserve">1,000</w:t>
            </w:r>
          </w:p>
        </w:tc>
        <w:tc>
          <w:tcPr>
            <w:tcW w:type="dxa" w:w="3938"/>
          </w:tcPr>
          <w:p>
            <w:pPr>
              <w:spacing w:after="40" w:before="40"/>
            </w:pPr>
            <w:r>
              <w:rPr>
                <w:b w:val="false"/>
                <w:bCs w:val="false"/>
                <w:sz w:val="20"/>
                <w:szCs w:val="20"/>
              </w:rPr>
              <w:t xml:space="preserve">0,967 (Spanne 0,944 bis 1,000)</w:t>
            </w:r>
          </w:p>
        </w:tc>
      </w:tr>
    </w:tbl>
    <w:p>
      <w:pPr>
        <w:spacing w:after="140"/>
      </w:pPr>
    </w:p>
    <w:p>
      <w:pPr>
        <w:spacing w:after="140" w:line="300"/>
        <w:jc w:val="both"/>
      </w:pPr>
      <w:r>
        <w:t xml:space="preserve">Der Vergleich der beiden Spalten ist das eigentliche Ergebnis: Auf einer einzelnen Testaufteilung wirkt der Einzelbaum fast gleichwertig, über fünf Durchläufe hinweg schwankt er jedoch erheblich. Dafür ist er als Diagramm lesbar, der Wald mit 200 Bäumen nicht.</w:t>
      </w:r>
    </w:p>
    <w:p>
      <w:pPr>
        <w:pStyle w:val="Heading1"/>
        <w:spacing w:after="170" w:before="340"/>
      </w:pPr>
      <w:r>
        <w:t xml:space="preserve">4  k-Means</w:t>
      </w:r>
    </w:p>
    <w:p>
      <w:pPr>
        <w:spacing w:after="140" w:line="300"/>
        <w:jc w:val="both"/>
      </w:pPr>
      <w:r>
        <w:t xml:space="preserve">k-Means teilt die Weinproben allein anhand der Messwerte in Gruppen ein, ohne die Rebsorten zu kennen. Voraussetzung ist die Standardisierung, da das Verfahren Abstände misst und Messwerte sonst allein nach ihrer Zahlenskala gewichtet würden.</w:t>
      </w:r>
    </w:p>
    <w:p>
      <w:pPr>
        <w:spacing w:after="140" w:line="300"/>
        <w:jc w:val="both"/>
      </w:pPr>
      <w:r>
        <w:t xml:space="preserve">Die Silhouette erreicht ihr Maximum bei drei Gruppen, das Verfahren hätte die richtige Anzahl also auch ohne Vorgabe getroffen. Von 178 Proben sind nur sechs abweichend zugeordnet, der Adjusted Rand Index liegt bei 0,897 — nahezu dasselbe Ergebnis wie beim überwachten Entscheidungsbaum, ohne je ein Label gesehen zu haben.</w:t>
      </w:r>
    </w:p>
    <w:p>
      <w:pPr>
        <w:pStyle w:val="Heading1"/>
        <w:spacing w:after="170" w:before="340"/>
      </w:pPr>
      <w:r>
        <w:t xml:space="preserve">5  Hauptkomponentenanalyse</w:t>
      </w:r>
    </w:p>
    <w:p>
      <w:pPr>
        <w:spacing w:after="140" w:line="300"/>
        <w:jc w:val="both"/>
      </w:pPr>
      <w:r>
        <w:t xml:space="preserve">Die Hauptkomponentenanalyse verdichtet die 13 Messwerte auf wenige neue Größen, die nach erklärter Streuung geordnet sind. Die ersten beiden Komponenten erhalten 55,4 Prozent der Streuung, für 80 Prozent genügen fünf von dreizehn.</w:t>
      </w:r>
    </w:p>
    <w:p>
      <w:pPr>
        <w:spacing w:after="140" w:line="300"/>
        <w:jc w:val="both"/>
      </w:pPr>
      <w:r>
        <w:t xml:space="preserve">Den Nutzen zeigt ein Gegentest: k-Means erreicht auf allen 13 Messwerten einen Adjusted Rand Index von 0,897, auf nur zwei Hauptkomponenten 0,895. Elf Spalten weniger bei praktisch unverändertem Ergebnis, und die Daten lassen sich zusätzlich in zwei Dimensionen zeichnen.</w:t>
      </w:r>
    </w:p>
    <w:p>
      <w:pPr>
        <w:pStyle w:val="Heading1"/>
        <w:spacing w:after="170" w:before="340"/>
      </w:pPr>
      <w:r>
        <w:t xml:space="preserve">6  Anwendungsfälle und Einsatzbedingungen im Data Warehouse</w:t>
      </w:r>
    </w:p>
    <w:p>
      <w:pPr>
        <w:spacing w:after="140" w:line="300"/>
        <w:jc w:val="both"/>
      </w:pPr>
      <w:r>
        <w:t xml:space="preserve">Die folgenden Anwendungsfälle beziehen sich auf das in den vorangegangenen Belegen erstellte Data Warehouse eines Wertstoffhandels mit den Faktentabellen </w:t>
      </w:r>
      <w:r>
        <w:rPr>
          <w:rFonts w:ascii="Consolas" w:cs="Consolas" w:eastAsia="Consolas" w:hAnsi="Consolas"/>
          <w:sz w:val="20"/>
          <w:szCs w:val="20"/>
        </w:rPr>
        <w:t xml:space="preserve">fakt_ankauf</w:t>
      </w:r>
      <w:r>
        <w:t xml:space="preserve"> und </w:t>
      </w:r>
      <w:r>
        <w:rPr>
          <w:rFonts w:ascii="Consolas" w:cs="Consolas" w:eastAsia="Consolas" w:hAnsi="Consolas"/>
          <w:sz w:val="20"/>
          <w:szCs w:val="20"/>
        </w:rPr>
        <w:t xml:space="preserve">fakt_verwertung</w:t>
      </w:r>
      <w:r>
        <w:t xml:space="preserve">.</w:t>
      </w:r>
    </w:p>
    <w:p>
      <w:pPr>
        <w:pStyle w:val="Heading2"/>
        <w:spacing w:after="130" w:before="260"/>
      </w:pPr>
      <w:r>
        <w:t xml:space="preserve">6.1  Lineare Regression</w:t>
      </w:r>
    </w:p>
    <w:p>
      <w:pPr>
        <w:spacing w:after="140" w:line="300"/>
        <w:jc w:val="both"/>
      </w:pPr>
      <w:r>
        <w:rPr>
          <w:b/>
          <w:bCs/>
        </w:rPr>
        <w:t xml:space="preserve">Anwendungsfall. </w:t>
      </w:r>
      <w:r>
        <w:t xml:space="preserve">Vorhersage der zu erwartenden Ausbeutemenge einer Charge aus Einsatzmenge, Materialart und Herkunftsstandort. Damit ließe sich bereits bei der Annahme abschätzen, welcher Erlös aus einer Anlieferung zu erwarten ist.</w:t>
      </w:r>
    </w:p>
    <w:p>
      <w:pPr>
        <w:spacing w:after="140" w:line="300"/>
        <w:jc w:val="both"/>
      </w:pPr>
      <w:r>
        <w:rPr>
          <w:b/>
          <w:bCs/>
        </w:rPr>
        <w:t xml:space="preserve">Bedingungen. </w:t>
      </w:r>
      <w:r>
        <w:t xml:space="preserve">Die Zielgröße muss metrisch sein, und der Zusammenhang sollte näherungsweise linear verlaufen. Stark korrelierte Merkmale sind zu vermeiden, da sie wie gezeigt die Koeffizienten instabil machen. Im Warehouse bedeutet das: Kennzahlen, die rechnerisch voneinander abhängen, dürfen nicht gemeinsam als Merkmale einfließen.</w:t>
      </w:r>
    </w:p>
    <w:p>
      <w:pPr>
        <w:pStyle w:val="Heading2"/>
        <w:spacing w:after="130" w:before="260"/>
      </w:pPr>
      <w:r>
        <w:t xml:space="preserve">6.2  Decision Tree und Random Forest</w:t>
      </w:r>
    </w:p>
    <w:p>
      <w:pPr>
        <w:spacing w:after="140" w:line="300"/>
        <w:jc w:val="both"/>
      </w:pPr>
      <w:r>
        <w:rPr>
          <w:b/>
          <w:bCs/>
        </w:rPr>
        <w:t xml:space="preserve">Anwendungsfall. </w:t>
      </w:r>
      <w:r>
        <w:t xml:space="preserve">Klassifikation von Anlieferungen in Qualitätsklassen oder Vorhersage, ob eine Charge die Zielreinheit erreichen wird. Der Decision Tree eignet sich besonders dort, wo die Entscheidung begründet werden muss, etwa gegenüber Kunden oder im Rahmen von Nachweispflichten.</w:t>
      </w:r>
    </w:p>
    <w:p>
      <w:pPr>
        <w:spacing w:after="140" w:line="300"/>
        <w:jc w:val="both"/>
      </w:pPr>
      <w:r>
        <w:rPr>
          <w:b/>
          <w:bCs/>
        </w:rPr>
        <w:t xml:space="preserve">Bedingungen. </w:t>
      </w:r>
      <w:r>
        <w:t xml:space="preserve">Beide Verfahren benötigen gelabelte Daten, also Fälle mit bekanntem Ergebnis. Ein Data Warehouse ist dafür eine günstige Quelle, weil die historischen Fakten das Label bereits enthalten. Die Klassen sollten ausreichend besetzt sein; bei stark ungleicher Verteilung lernt das Modell überwiegend die häufigste Klasse. Der Random Forest ist genauer, der Einzelbaum erklärbarer.</w:t>
      </w:r>
    </w:p>
    <w:p>
      <w:pPr>
        <w:pStyle w:val="Heading2"/>
        <w:spacing w:after="130" w:before="260"/>
      </w:pPr>
      <w:r>
        <w:t xml:space="preserve">6.3  k-Means</w:t>
      </w:r>
    </w:p>
    <w:p>
      <w:pPr>
        <w:spacing w:after="140" w:line="300"/>
        <w:jc w:val="both"/>
      </w:pPr>
      <w:r>
        <w:rPr>
          <w:b/>
          <w:bCs/>
        </w:rPr>
        <w:t xml:space="preserve">Anwendungsfall. </w:t>
      </w:r>
      <w:r>
        <w:t xml:space="preserve">Segmentierung der Kunden nach angelieferter Menge, Wert und Materialmix. Daraus ließen sich Gruppen wie Kleinanlieferer, sortenreine Handwerksbetriebe und Großanlieferer mit Mischschrott ableiten, ohne diese Kategorien vorher festzulegen.</w:t>
      </w:r>
    </w:p>
    <w:p>
      <w:pPr>
        <w:spacing w:after="140" w:line="300"/>
        <w:jc w:val="both"/>
      </w:pPr>
      <w:r>
        <w:rPr>
          <w:b/>
          <w:bCs/>
        </w:rPr>
        <w:t xml:space="preserve">Bedingungen. </w:t>
      </w:r>
      <w:r>
        <w:t xml:space="preserve">Alle Merkmale müssen metrisch und skaliert sein. Die Gruppenzahl ist vorzugeben und über Silhouette oder Ellenbogenmethode zu begründen. Das Verfahren unterstellt annähernd gleich große, kugelförmige Gruppen; bei stark unterschiedlichen Gruppengrößen liefert es verzerrte Ergebnisse.</w:t>
      </w:r>
    </w:p>
    <w:p>
      <w:pPr>
        <w:pStyle w:val="Heading2"/>
        <w:spacing w:after="130" w:before="260"/>
      </w:pPr>
      <w:r>
        <w:t xml:space="preserve">6.4  Hauptkomponentenanalyse</w:t>
      </w:r>
    </w:p>
    <w:p>
      <w:pPr>
        <w:spacing w:after="140" w:line="300"/>
        <w:jc w:val="both"/>
      </w:pPr>
      <w:r>
        <w:rPr>
          <w:b/>
          <w:bCs/>
        </w:rPr>
        <w:t xml:space="preserve">Anwendungsfall. </w:t>
      </w:r>
      <w:r>
        <w:t xml:space="preserve">Verdichtung vieler Kennzahlen je Charge zu wenigen Faktoren, bevor eine Clusteranalyse oder Visualisierung erfolgt. Ebenso geeignet zur Aufdeckung redundanter Kennzahlen im Warehouse: Laden mehrere Spalten stark auf dieselbe Komponente, messen sie weitgehend dasselbe.</w:t>
      </w:r>
    </w:p>
    <w:p>
      <w:pPr>
        <w:spacing w:after="140" w:line="300"/>
        <w:jc w:val="both"/>
      </w:pPr>
      <w:r>
        <w:rPr>
          <w:b/>
          <w:bCs/>
        </w:rPr>
        <w:t xml:space="preserve">Bedingungen. </w:t>
      </w:r>
      <w:r>
        <w:t xml:space="preserve">Die Merkmale müssen metrisch und skaliert sein. Das Ergebnis ist schwerer zu interpretieren, da die Komponenten Mischungen der ursprünglichen Größen sind. PCA eignet sich daher als Vorverarbeitungsschritt, nicht als eigenständiges Analyseergebnis gegenüber Fachanwendern.</w:t>
      </w:r>
    </w:p>
    <w:p>
      <w:pPr>
        <w:pStyle w:val="Heading1"/>
        <w:spacing w:after="170" w:before="340"/>
      </w:pPr>
      <w:r>
        <w:t xml:space="preserve">7  Unterstützung der Arbeitsschritte durch ein Data Warehouse</w:t>
      </w:r>
    </w:p>
    <w:p>
      <w:pPr>
        <w:spacing w:after="140" w:line="300"/>
        <w:jc w:val="both"/>
      </w:pPr>
      <w:r>
        <w:t xml:space="preserve">Ein erheblicher Teil des Aufwands in Machine-Learning-Projekten entfällt auf die Datenaufbereitung. Ein Data Warehouse leistet hier Vorarbeit, weil es genau diese Schritte bereits systematisch umsetzt.</w:t>
      </w:r>
    </w:p>
    <w:p>
      <w:pPr>
        <w:pStyle w:val="Heading2"/>
        <w:spacing w:after="130" w:before="260"/>
      </w:pPr>
      <w:r>
        <w:t xml:space="preserve">7.1  Data Collection</w:t>
      </w:r>
    </w:p>
    <w:p>
      <w:pPr>
        <w:spacing w:after="140" w:line="300"/>
        <w:jc w:val="both"/>
      </w:pPr>
      <w:r>
        <w:t xml:space="preserve">Die Staging-Schicht bündelt die benötigten Tabellen mehrerer Quellsysteme an einer Stelle. Im Beispiel des Wertstoffhandels wurden Annahme- und Verwertungssystem über einen Foreign Data Wrapper angebunden und ihre Tabellen unverändert übernommen. Für eine Modellierung bedeutet das: Die Daten müssen nicht einzeln aus den Quellsystemen gezogen werden, und die operativen Systeme werden nicht belastet. Da das Warehouse historisiert, stehen zudem zurückliegende Zeiträume zur Verfügung, die in den Quellsystemen teilweise bereits überschrieben wurden.</w:t>
      </w:r>
    </w:p>
    <w:p>
      <w:pPr>
        <w:pStyle w:val="Heading2"/>
        <w:spacing w:after="130" w:before="260"/>
      </w:pPr>
      <w:r>
        <w:t xml:space="preserve">7.2  Data Cleaning</w:t>
      </w:r>
    </w:p>
    <w:p>
      <w:pPr>
        <w:spacing w:after="140" w:line="300"/>
        <w:jc w:val="both"/>
      </w:pPr>
      <w:r>
        <w:t xml:space="preserve">Die Core-Schicht vereinheitlicht und bereinigt. Im Beispiel wurden die Materialbezeichnungen beider Systeme über einen gemeinsamen Code zusammengeführt, Datumswerte in ein einheitliches Format gebracht und fehlende Angaben definiert behandelt. Ein Modell, das auf der Business-Schicht aufsetzt, trifft dadurch auf bereits geprüfte Daten mit konsistenten Schlüsseln. Zusätzlich lassen sich Qualitätsregeln im Ladeprozess verankern, sodass Abweichungen protokolliert werden, statt unbemerkt in die Analyse einzufließen.</w:t>
      </w:r>
    </w:p>
    <w:p>
      <w:pPr>
        <w:pStyle w:val="Heading2"/>
        <w:spacing w:after="130" w:before="260"/>
      </w:pPr>
      <w:r>
        <w:t xml:space="preserve">7.3  Feature Engineering</w:t>
      </w:r>
    </w:p>
    <w:p>
      <w:pPr>
        <w:spacing w:after="140" w:line="300"/>
        <w:jc w:val="both"/>
      </w:pPr>
      <w:r>
        <w:t xml:space="preserve">Abgeleitete Merkmale entstehen im Warehouse ohnehin. Die Zeitdimension liefert Monat, Kalenderwoche, Wochentag und Wochenendkennzeichen, ohne dass diese in einem Quellsystem existieren. Die Dimension Standort enthält mit dem Standorttyp eine Klassifikation, die Dimension Material eine Kategorie. Solche Attribute sind unmittelbar als Merkmale verwendbar.</w:t>
      </w:r>
    </w:p>
    <w:p>
      <w:pPr>
        <w:spacing w:after="140" w:line="300"/>
        <w:jc w:val="both"/>
      </w:pPr>
      <w:r>
        <w:t xml:space="preserve">Hinzu kommt ein organisatorischer Vorteil: Ein im Warehouse berechnetes Merkmal ist für alle Auswertungen identisch definiert. Wird es dagegen in jedem Analyseskript neu gebildet, entstehen über die Zeit abweichende Definitionen derselben Größe.</w:t>
      </w:r>
    </w:p>
    <w:p>
      <w:pPr>
        <w:pStyle w:val="Heading2"/>
        <w:spacing w:after="130" w:before="260"/>
      </w:pPr>
      <w:r>
        <w:t xml:space="preserve">7.4  Exploratory Data Analysis</w:t>
      </w:r>
    </w:p>
    <w:p>
      <w:pPr>
        <w:spacing w:after="140" w:line="300"/>
        <w:jc w:val="both"/>
      </w:pPr>
      <w:r>
        <w:t xml:space="preserve">Das Sternschema ist auf Auswertung ausgelegt. Aggregationen über Dimensionen hinweg sind in einer einzigen Abfrage formulierbar, und ein Reporting-Werkzeug wie Power BI erlaubt die Erkundung per Datenschnitt und Drilldown, bevor überhaupt ein Modell gerechnet wird. Im Beispiel wurde so sichtbar, dass Mischschrott ausschließlich vom Landstandort stammt und die Ausbeutequote dort entsprechend niedriger ausfällt.</w:t>
      </w:r>
    </w:p>
    <w:p>
      <w:pPr>
        <w:spacing w:after="140" w:line="300"/>
        <w:jc w:val="both"/>
      </w:pPr>
      <w:r>
        <w:t xml:space="preserve">Diese explorative Phase ist kein Beiwerk, sondern bestimmt die Modellierung: Sie zeigt Verteilungen, Ausreißer und Zusammenhänge zwischen Merkmalen und beantwortet damit vorab, welche Merkmale überhaupt sinnvoll in ein Modell gehören.</w:t>
      </w:r>
    </w:p>
    <w:p>
      <w:pPr>
        <w:pStyle w:val="Heading1"/>
        <w:spacing w:after="170" w:before="340"/>
      </w:pPr>
      <w:r>
        <w:t xml:space="preserve">8  Fazit</w:t>
      </w:r>
    </w:p>
    <w:p>
      <w:pPr>
        <w:spacing w:after="140" w:line="300"/>
        <w:jc w:val="both"/>
      </w:pPr>
      <w:r>
        <w:t xml:space="preserve">Die vier Verfahren zeigen die beiden Lernarten in ihrer jeweiligen Logik. Supervised Learning benötigt bekannte Ergebnisse und misst sich daran, wie gut es diese auf neuen Fällen reproduziert. Unsupervised Learning sucht Struktur ohne Vorgabe und wird daran gemessen, ob diese Struktur fachlich sinnvoll ist.</w:t>
      </w:r>
    </w:p>
    <w:p>
      <w:pPr>
        <w:spacing w:after="140" w:line="300"/>
        <w:jc w:val="both"/>
      </w:pPr>
      <w:r>
        <w:t xml:space="preserve">Bemerkenswert ist das Zusammenspiel am Wein-Datensatz: Der überwachte Random Forest erreicht eine Trefferquote von 96,7 Prozent, das unüberwachte k-Means findet ohne jede Kenntnis der Rebsorten eine fast identische Einteilung, und die Hauptkomponentenanalyse zeigt, dass dafür zwei statt dreizehn Merkmale genügen.</w:t>
      </w:r>
    </w:p>
    <w:p>
      <w:pPr>
        <w:spacing w:after="140" w:line="300"/>
        <w:jc w:val="both"/>
      </w:pPr>
      <w:r>
        <w:t xml:space="preserve">Für den Einsatz im Unternehmen ist das Data Warehouse dabei weniger Datenlieferant als Fundament: Es übernimmt Sammlung, Bereinigung und einen Teil der Merkmalsbildung und sorgt dafür, dass unterschiedliche Analysen auf derselben Datengrundlage mit denselben Definitionen arbeiten.</w:t>
      </w:r>
    </w:p>
    <w:sectPr>
      <w:headerReference w:type="default" r:id="rId7"/>
      <w:footerReference w:type="default" r:id="rId8"/>
      <w:pgSz w:w="11906" w:h="16838" w:orient="portrait"/>
      <w:pgMar w:top="1134" w:right="1134"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BBBBB" w:sz="4" w:space="4"/>
      </w:pBdr>
    </w:pPr>
    <w:r>
      <w:rPr>
        <w:color w:val="666666"/>
        <w:sz w:val="18"/>
        <w:szCs w:val="18"/>
      </w:rPr>
      <w:t xml:space="preserve">Machine-Learning-Tutorial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2026-10-16T09:06:07.099Z</dcterms:created>
  <dcterms:modified xsi:type="dcterms:W3CDTF">2026-10-16T09:06:07.104Z</dcterms:modified>
</cp:coreProperties>
</file>

<file path=docProps/custom.xml><?xml version="1.0" encoding="utf-8"?>
<Properties xmlns="http://schemas.openxmlformats.org/officeDocument/2006/custom-properties" xmlns:vt="http://schemas.openxmlformats.org/officeDocument/2006/docPropsVTypes"/>
</file>