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3.png" ContentType="image/png"/>
  <Override PartName="/word/media/rId50.png" ContentType="image/png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44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Губина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Вячеслвовна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Произвести работу в консоли с атрибутами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Сотавить опытным путем от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таблицы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нам предстоит поработать с правами доступа файлов и директорий.</w:t>
      </w:r>
      <w:r>
        <w:t xml:space="preserve"> </w:t>
      </w: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</w:t>
      </w:r>
    </w:p>
    <w:p>
      <w:pPr>
        <w:pStyle w:val="BodyText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— read (чтение) — право просматривать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</w:t>
      </w:r>
      <w:r>
        <w:t xml:space="preserve"> </w:t>
      </w:r>
      <w:r>
        <w:t xml:space="preserve">— write (запись) — право изменять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x</w:t>
      </w:r>
      <w:r>
        <w:t xml:space="preserve"> </w:t>
      </w:r>
      <w:r>
        <w:t xml:space="preserve">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owner</w:t>
      </w:r>
      <w:r>
        <w:t xml:space="preserve"> </w:t>
      </w:r>
      <w:r>
        <w:t xml:space="preserve">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group</w:t>
      </w:r>
      <w:r>
        <w:t xml:space="preserve"> </w:t>
      </w:r>
      <w:r>
        <w:t xml:space="preserve">(группа) — пользователи с общими заданными правами.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others</w:t>
      </w:r>
      <w:r>
        <w:t xml:space="preserve"> </w:t>
      </w:r>
      <w:r>
        <w:t xml:space="preserve">(другие) — все остальные пользователи, не относящиеся к группе и не являющиеся владельцами.</w:t>
      </w:r>
      <w:r>
        <w:t xml:space="preserve">[1]</w:t>
      </w:r>
    </w:p>
    <w:p>
      <w:pPr>
        <w:pStyle w:val="FirstParagraph"/>
      </w:pPr>
      <w:r>
        <w:t xml:space="preserve">Чтобы увидеть текущие назначения владельца, вы можете использовать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вы можете отобразить владельца файлов в данном каталоге. Иногда может оказаться полезным получить список всех файлов в системе, в которых в качестве владельца указан данный пользователь или группа. Для этого вы можете использовать find. Аргумент find -user может быть использован для этой цели.</w:t>
      </w:r>
    </w:p>
    <w:p>
      <w:pPr>
        <w:pStyle w:val="BodyText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.</w:t>
      </w:r>
      <w:r>
        <w:t xml:space="preserve">[2]</w:t>
      </w:r>
    </w:p>
    <w:p>
      <w:pPr>
        <w:pStyle w:val="BodyText"/>
      </w:pPr>
      <w:r>
        <w:t xml:space="preserve">Для того, чтобы позволить обычным пользователям выполнять программы от имени суперпользователя без знания его пароля была придумана такая вещь, как SUID и SGID биты. Рассмотрим эти полномочия подробнее.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SUID</w:t>
      </w:r>
      <w:r>
        <w:t xml:space="preserve"> </w:t>
      </w:r>
      <w:r>
        <w:t xml:space="preserve">- если этот бит установлен, то при выполнении программы, id пользователя, от которого она запущена заменяется на id владельца файла. Фактически, это позволяет обычным пользователям запускать программы от имени суперпользователя;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SGID</w:t>
      </w:r>
      <w:r>
        <w:t xml:space="preserve"> </w:t>
      </w:r>
      <w:r>
        <w:t xml:space="preserve">- этот флаг работает аналогичным образом, только разница в том, что пользователь считается членом группы, с которой связан файл, а не групп, к которым он действительно принадлежит. Если SGID флаг установлен на каталог, все файлы, созданные в нем, будут связаны с группой каталога, а не пользователя. Такое поведение используется для организации общих папок;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Sticky-bit</w:t>
      </w:r>
      <w:r>
        <w:t xml:space="preserve"> </w:t>
      </w:r>
      <w:r>
        <w:t xml:space="preserve">- этот бит тоже используется для создания общих папок. Если он установлен, то пользователи могут только создавать, читать и выполнять файлы, но не могут удалять файлы, принадлежащие другим пользователям.</w:t>
      </w:r>
      <w:r>
        <w:t xml:space="preserve">[3]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</w:pPr>
      <w:r>
        <w:t xml:space="preserve">В предыдущей лабораторной работе пользователь guest уже был создан, заново это делать мы не будем.</w:t>
      </w:r>
    </w:p>
    <w:p>
      <w:pPr>
        <w:numPr>
          <w:ilvl w:val="0"/>
          <w:numId w:val="1005"/>
        </w:numPr>
      </w:pPr>
      <w:r>
        <w:t xml:space="preserve">Теперь уже создадим учётную запись пользователя guest2 (использую учётную запись администратора) (рис. ??):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.</w:t>
      </w:r>
    </w:p>
    <w:p>
      <w:pPr>
        <w:pStyle w:val="CaptionedFigure"/>
      </w:pPr>
      <w:r>
        <w:drawing>
          <wp:inline>
            <wp:extent cx="3733800" cy="1531196"/>
            <wp:effectExtent b="0" l="0" r="0" t="0"/>
            <wp:docPr descr="Создание учетной записи guest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 guest</w:t>
      </w:r>
    </w:p>
    <w:p>
      <w:pPr>
        <w:numPr>
          <w:ilvl w:val="0"/>
          <w:numId w:val="1006"/>
        </w:numPr>
      </w:pPr>
      <w:r>
        <w:t xml:space="preserve">Зададим пароль для пользователя guest (использую учётную запись администратора) (рис. ??):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Добавила пользователя guest2 в группу guest:</w:t>
      </w:r>
      <w:r>
        <w:t xml:space="preserve"> </w:t>
      </w:r>
      <w:r>
        <w:rPr>
          <w:rStyle w:val="VerbatimChar"/>
        </w:rPr>
        <w:t xml:space="preserve">gpasswd -a guest2 guest</w:t>
      </w:r>
      <w:r>
        <w:t xml:space="preserve"> </w:t>
      </w:r>
      <w:r>
        <w:t xml:space="preserve">(рис. ??).</w:t>
      </w:r>
    </w:p>
    <w:p>
      <w:pPr>
        <w:numPr>
          <w:ilvl w:val="0"/>
          <w:numId w:val="1006"/>
        </w:numPr>
      </w:pPr>
      <w:r>
        <w:t xml:space="preserve">Зашли под обоих пользователей. Определим директорию, в которой находимся на обоих пользователях,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(рис. ??-??). Сравниv её с приглашением командной строки. В командной строке видим символ</w:t>
      </w:r>
      <w:r>
        <w:t xml:space="preserve"> </w:t>
      </w:r>
      <w:r>
        <w:rPr>
          <w:rStyle w:val="VerbatimChar"/>
        </w:rPr>
        <w:t xml:space="preserve">~</w:t>
      </w:r>
      <w:r>
        <w:t xml:space="preserve">, что свидетельствует о том, что мы находимся в домашней директории. Определим, является ли она действительно домашней директорией, введя команду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которая позволяет перейти в домашнюю директорию. Видим, что ничего не меняется.</w:t>
      </w:r>
      <w:r>
        <w:t xml:space="preserve"> </w:t>
      </w:r>
      <w:r>
        <w:rPr>
          <w:bCs/>
          <w:b/>
        </w:rPr>
        <w:t xml:space="preserve">Мы находимся в своей домашней директории.</w:t>
      </w:r>
    </w:p>
    <w:p>
      <w:pPr>
        <w:pStyle w:val="CaptionedFigure"/>
      </w:pPr>
      <w:r>
        <w:drawing>
          <wp:inline>
            <wp:extent cx="2758568" cy="1175657"/>
            <wp:effectExtent b="0" l="0" r="0" t="0"/>
            <wp:docPr descr="Домашняя директория пользователя guest" title="fig:" id="27" name="Picture"/>
            <a:graphic>
              <a:graphicData uri="http://schemas.openxmlformats.org/drawingml/2006/picture">
                <pic:pic>
                  <pic:nvPicPr>
                    <pic:cNvPr descr="image/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68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 пользователя guest</w:t>
      </w:r>
    </w:p>
    <w:p>
      <w:pPr>
        <w:pStyle w:val="CaptionedFigure"/>
      </w:pPr>
      <w:r>
        <w:drawing>
          <wp:inline>
            <wp:extent cx="3733800" cy="1213485"/>
            <wp:effectExtent b="0" l="0" r="0" t="0"/>
            <wp:docPr descr="Домашняя директория пользователя guest2" title="fig: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 пользователя guest2</w:t>
      </w:r>
    </w:p>
    <w:p>
      <w:pPr>
        <w:numPr>
          <w:ilvl w:val="0"/>
          <w:numId w:val="1007"/>
        </w:numPr>
        <w:pStyle w:val="Compact"/>
      </w:pPr>
      <w:r>
        <w:t xml:space="preserve">Уточним имя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083751"/>
            <wp:effectExtent b="0" l="0" r="0" t="0"/>
            <wp:docPr descr="Информация о пользователе guest2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guest2</w:t>
      </w:r>
    </w:p>
    <w:p>
      <w:pPr>
        <w:pStyle w:val="CaptionedFigure"/>
      </w:pPr>
      <w:r>
        <w:drawing>
          <wp:inline>
            <wp:extent cx="3733800" cy="1144292"/>
            <wp:effectExtent b="0" l="0" r="0" t="0"/>
            <wp:docPr descr="Информация о пользователе guest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дала нам понять, что имя пользователя -</w:t>
      </w:r>
      <w:r>
        <w:t xml:space="preserve"> </w:t>
      </w:r>
      <w:r>
        <w:rPr>
          <w:bCs/>
          <w:b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guest2</w:t>
      </w:r>
      <w:r>
        <w:t xml:space="preserve">. В начале приглашения командной строки как раз указано имя нашего пользователя - все сходится.</w:t>
      </w:r>
    </w:p>
    <w:p>
      <w:pPr>
        <w:numPr>
          <w:ilvl w:val="0"/>
          <w:numId w:val="1008"/>
        </w:numPr>
        <w:pStyle w:val="Compact"/>
      </w:pPr>
      <w:r>
        <w:t xml:space="preserve">Уточним имя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??).</w:t>
      </w:r>
    </w:p>
    <w:p>
      <w:pPr>
        <w:pStyle w:val="FirstParagraph"/>
      </w:pPr>
      <w:r>
        <w:t xml:space="preserve">Видим следующие данные: uid = 1001(guest), gid = 1001(guest), groups = 1001(guest) - для guest (рис. ??); uid = 1002(guest2), gid = 1002(guest2), groups = 1002(guest2),1001(guest) - для guest2 (рис. ??).</w:t>
      </w:r>
    </w:p>
    <w:p>
      <w:pPr>
        <w:pStyle w:val="BodyText"/>
      </w:pPr>
      <w:r>
        <w:t xml:space="preserve">Также рассматриваются команды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- показывает названия групп пользователя,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 </w:t>
      </w:r>
      <w:r>
        <w:t xml:space="preserve">- id групп пользователя (рис. ??-??).</w:t>
      </w:r>
    </w:p>
    <w:p>
      <w:pPr>
        <w:pStyle w:val="BodyText"/>
      </w:pPr>
      <w:r>
        <w:t xml:space="preserve">Сравним вывод id 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(рис. ??-??).</w:t>
      </w:r>
    </w:p>
    <w:p>
      <w:pPr>
        <w:pStyle w:val="CaptionedFigure"/>
      </w:pPr>
      <w:r>
        <w:drawing>
          <wp:inline>
            <wp:extent cx="3142769" cy="637774"/>
            <wp:effectExtent b="0" l="0" r="0" t="0"/>
            <wp:docPr descr="Группы guest2" title="fig:" id="39" name="Picture"/>
            <a:graphic>
              <a:graphicData uri="http://schemas.openxmlformats.org/drawingml/2006/picture">
                <pic:pic>
                  <pic:nvPicPr>
                    <pic:cNvPr descr="image/1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9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Группы guest2</w:t>
      </w:r>
    </w:p>
    <w:p>
      <w:pPr>
        <w:pStyle w:val="CaptionedFigure"/>
      </w:pPr>
      <w:r>
        <w:drawing>
          <wp:inline>
            <wp:extent cx="3004457" cy="683878"/>
            <wp:effectExtent b="0" l="0" r="0" t="0"/>
            <wp:docPr descr="Группы guest" title="fig:" id="42" name="Picture"/>
            <a:graphic>
              <a:graphicData uri="http://schemas.openxmlformats.org/drawingml/2006/picture">
                <pic:pic>
                  <pic:nvPicPr>
                    <pic:cNvPr descr="image/1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Группы guest</w:t>
      </w:r>
    </w:p>
    <w:p>
      <w:pPr>
        <w:pStyle w:val="BodyText"/>
      </w:pPr>
      <w:r>
        <w:t xml:space="preserve">Данная команда показывает группы текущего пользователя, аналогично выводу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Просмотрим файл /etc/passwd (рис. ??):</w:t>
      </w:r>
    </w:p>
    <w:p>
      <w:pPr>
        <w:pStyle w:val="SourceCode"/>
      </w:pPr>
      <w:r>
        <w:rPr>
          <w:rStyle w:val="VerbatimChar"/>
        </w:rPr>
        <w:t xml:space="preserve">cat /etc/passwd</w:t>
      </w:r>
    </w:p>
    <w:p>
      <w:pPr>
        <w:pStyle w:val="CaptionedFigure"/>
      </w:pPr>
      <w:r>
        <w:drawing>
          <wp:inline>
            <wp:extent cx="2843092" cy="1160289"/>
            <wp:effectExtent b="0" l="0" r="0" t="0"/>
            <wp:docPr descr="Файл /etc/passwd" title="fig: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/etc/passwd</w:t>
      </w:r>
    </w:p>
    <w:p>
      <w:pPr>
        <w:pStyle w:val="BodyText"/>
      </w:pPr>
      <w:r>
        <w:t xml:space="preserve">Найдем в нем предпоследнюю запись - запись о группе guest (рис. ??). Данная строка показывает, что guest имеет gid = 1001 и в ней состоит пользвоатель guest2 (кроме пользователя владельца guest - он тут не показывается).</w:t>
      </w:r>
    </w:p>
    <w:p>
      <w:pPr>
        <w:pStyle w:val="BodyText"/>
      </w:pPr>
      <w:r>
        <w:t xml:space="preserve">Последняя строка - группа gues2 имеющая gid = 1002, список пользователей в ней пуст, т.к. в ней состоит только владелец guest2.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 </w:t>
      </w:r>
      <w:r>
        <w:t xml:space="preserve">(??).</w:t>
      </w:r>
    </w:p>
    <w:p>
      <w:pPr>
        <w:pStyle w:val="CaptionedFigure"/>
      </w:pPr>
      <w:r>
        <w:drawing>
          <wp:inline>
            <wp:extent cx="3711388" cy="353465"/>
            <wp:effectExtent b="0" l="0" r="0" t="0"/>
            <wp:docPr descr="Регистрация пользователя в группе" title="fig:" id="48" name="Picture"/>
            <a:graphic>
              <a:graphicData uri="http://schemas.openxmlformats.org/drawingml/2006/picture">
                <pic:pic>
                  <pic:nvPicPr>
                    <pic:cNvPr descr="./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в группе</w:t>
      </w:r>
    </w:p>
    <w:p>
      <w:pPr>
        <w:numPr>
          <w:ilvl w:val="0"/>
          <w:numId w:val="1011"/>
        </w:numPr>
        <w:pStyle w:val="Compact"/>
      </w:pPr>
      <w:r>
        <w:t xml:space="preserve">От имени пользователя guest измените права директории /home/guest, разрешив все действия для пользователей группы: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47031"/>
            <wp:effectExtent b="0" l="0" r="0" t="0"/>
            <wp:docPr descr="Разрешения для пользователей группы" title="fig:" id="51" name="Picture"/>
            <a:graphic>
              <a:graphicData uri="http://schemas.openxmlformats.org/drawingml/2006/picture">
                <pic:pic>
                  <pic:nvPicPr>
                    <pic:cNvPr descr="./image/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Разрешения для пользователей группы</w:t>
      </w:r>
    </w:p>
    <w:p>
      <w:pPr>
        <w:numPr>
          <w:ilvl w:val="0"/>
          <w:numId w:val="1012"/>
        </w:numPr>
        <w:pStyle w:val="Compact"/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674832"/>
            <wp:effectExtent b="0" l="0" r="0" t="0"/>
            <wp:docPr descr="Удаление атрибутов" title="fig:" id="54" name="Picture"/>
            <a:graphic>
              <a:graphicData uri="http://schemas.openxmlformats.org/drawingml/2006/picture">
                <pic:pic>
                  <pic:nvPicPr>
                    <pic:cNvPr descr="./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атрибутов</w:t>
      </w:r>
    </w:p>
    <w:p>
      <w:pPr>
        <w:pStyle w:val="BodyText"/>
      </w:pPr>
      <w:r>
        <w:t xml:space="preserve">Проверим правильность выполнения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??).</w:t>
      </w:r>
    </w:p>
    <w:p>
      <w:pPr>
        <w:pStyle w:val="BodyText"/>
      </w:pPr>
      <w:r>
        <w:t xml:space="preserve">Видим, что теперь на директорию dir1 нет никаких прав.</w:t>
      </w:r>
    </w:p>
    <w:p>
      <w:pPr>
        <w:numPr>
          <w:ilvl w:val="0"/>
          <w:numId w:val="1013"/>
        </w:numPr>
        <w:pStyle w:val="Compact"/>
      </w:pPr>
      <w:r>
        <w:t xml:space="preserve">Заполните таблицу «Установленные права и разрешённые действия для групп»,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FirstParagraph"/>
      </w:pPr>
      <w:r>
        <w:t xml:space="preserve">Для опрделения опытным путем будем использовать следующие действияв соответствие со столбцами таблицы: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cd dir1</w:t>
      </w:r>
      <w:r>
        <w:t xml:space="preserve"> </w:t>
      </w:r>
      <w:r>
        <w:t xml:space="preserve">- смена директории;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touch &lt;новый_файл&gt;</w:t>
      </w:r>
      <w:r>
        <w:t xml:space="preserve"> </w:t>
      </w:r>
      <w:r>
        <w:t xml:space="preserve">- создание файла;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rm &lt;новый_файл&gt;</w:t>
      </w:r>
      <w:r>
        <w:t xml:space="preserve"> </w:t>
      </w:r>
      <w:r>
        <w:t xml:space="preserve">- удаление файла;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ls -l (dir1)</w:t>
      </w:r>
      <w:r>
        <w:t xml:space="preserve"> </w:t>
      </w:r>
      <w:r>
        <w:t xml:space="preserve">- просмотр файлов в директории;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echo "test" &gt; &lt;файл_с_установленными_правами&gt;</w:t>
      </w:r>
      <w:r>
        <w:t xml:space="preserve"> </w:t>
      </w:r>
      <w:r>
        <w:t xml:space="preserve">- запись в файл;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cat &lt;файл_с_установленными_правами&gt;</w:t>
      </w:r>
      <w:r>
        <w:t xml:space="preserve"> </w:t>
      </w:r>
      <w:r>
        <w:t xml:space="preserve">- чтение файла;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mv &lt;файл_с_установленными_правами&gt; &lt;переименование&gt;</w:t>
      </w:r>
      <w:r>
        <w:t xml:space="preserve"> </w:t>
      </w:r>
      <w:r>
        <w:t xml:space="preserve">- переименование файла;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chattr &lt;атрибуты&gt; &lt;файл_с_установленными_правами&gt;</w:t>
      </w:r>
      <w:r>
        <w:t xml:space="preserve"> </w:t>
      </w:r>
      <w:r>
        <w:t xml:space="preserve">смена атрибутов файла.</w:t>
      </w:r>
    </w:p>
    <w:p>
      <w:pPr>
        <w:pStyle w:val="FirstParagraph"/>
      </w:pPr>
      <w:r>
        <w:t xml:space="preserve">В качесвте примера приведу осуществление проверки для прав доступа</w:t>
      </w:r>
      <w:r>
        <w:t xml:space="preserve"> </w:t>
      </w:r>
      <w:r>
        <w:rPr>
          <w:rStyle w:val="VerbatimChar"/>
        </w:rPr>
        <w:t xml:space="preserve">d---rwx--- (070), ----------(000)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d---rwx--- (070), ------x---(010)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d---rwx--- (070), -----w----(020)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d---rwx--- (070), -----wx---(030)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d---rwx--- (070), ----r-----(400)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d---rwx--- (070), ----r-x---(050)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d---rwx--- (070), ----rw----(060)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d---rwx--- (070), ----rwx---(070)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014102"/>
            <wp:effectExtent b="0" l="0" r="0" t="0"/>
            <wp:docPr descr="d(070), -(000)" title="fig:" id="57" name="Picture"/>
            <a:graphic>
              <a:graphicData uri="http://schemas.openxmlformats.org/drawingml/2006/picture">
                <pic:pic>
                  <pic:nvPicPr>
                    <pic:cNvPr descr="image/07000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d(070), -(000)</w:t>
      </w:r>
    </w:p>
    <w:p>
      <w:pPr>
        <w:pStyle w:val="CaptionedFigure"/>
      </w:pPr>
      <w:r>
        <w:drawing>
          <wp:inline>
            <wp:extent cx="3733800" cy="2241312"/>
            <wp:effectExtent b="0" l="0" r="0" t="0"/>
            <wp:docPr descr="d(070), -(010)" title="fig:" id="60" name="Picture"/>
            <a:graphic>
              <a:graphicData uri="http://schemas.openxmlformats.org/drawingml/2006/picture">
                <pic:pic>
                  <pic:nvPicPr>
                    <pic:cNvPr descr="image/070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d(070), -(010)</w:t>
      </w:r>
    </w:p>
    <w:p>
      <w:pPr>
        <w:pStyle w:val="CaptionedFigure"/>
      </w:pPr>
      <w:r>
        <w:drawing>
          <wp:inline>
            <wp:extent cx="3733800" cy="1986167"/>
            <wp:effectExtent b="0" l="0" r="0" t="0"/>
            <wp:docPr descr="d(070), -(020)" title="fig:" id="63" name="Picture"/>
            <a:graphic>
              <a:graphicData uri="http://schemas.openxmlformats.org/drawingml/2006/picture">
                <pic:pic>
                  <pic:nvPicPr>
                    <pic:cNvPr descr="image/07002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d(070), -(020)</w:t>
      </w:r>
    </w:p>
    <w:p>
      <w:pPr>
        <w:pStyle w:val="CaptionedFigure"/>
      </w:pPr>
      <w:r>
        <w:drawing>
          <wp:inline>
            <wp:extent cx="3733800" cy="1816443"/>
            <wp:effectExtent b="0" l="0" r="0" t="0"/>
            <wp:docPr descr="d(070), -(030)" title="fig:" id="66" name="Picture"/>
            <a:graphic>
              <a:graphicData uri="http://schemas.openxmlformats.org/drawingml/2006/picture">
                <pic:pic>
                  <pic:nvPicPr>
                    <pic:cNvPr descr="image/07003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d(070), -(030)</w:t>
      </w:r>
    </w:p>
    <w:p>
      <w:pPr>
        <w:pStyle w:val="CaptionedFigure"/>
      </w:pPr>
      <w:r>
        <w:drawing>
          <wp:inline>
            <wp:extent cx="3733800" cy="1931111"/>
            <wp:effectExtent b="0" l="0" r="0" t="0"/>
            <wp:docPr descr="d(070), -(040)" title="fig:" id="69" name="Picture"/>
            <a:graphic>
              <a:graphicData uri="http://schemas.openxmlformats.org/drawingml/2006/picture">
                <pic:pic>
                  <pic:nvPicPr>
                    <pic:cNvPr descr="image/07004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d(070), -(040)</w:t>
      </w:r>
    </w:p>
    <w:p>
      <w:pPr>
        <w:pStyle w:val="CaptionedFigure"/>
      </w:pPr>
      <w:r>
        <w:drawing>
          <wp:inline>
            <wp:extent cx="3733800" cy="2030165"/>
            <wp:effectExtent b="0" l="0" r="0" t="0"/>
            <wp:docPr descr="d(070), -(050)" title="fig:" id="72" name="Picture"/>
            <a:graphic>
              <a:graphicData uri="http://schemas.openxmlformats.org/drawingml/2006/picture">
                <pic:pic>
                  <pic:nvPicPr>
                    <pic:cNvPr descr="image/07005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d(070), -(050)</w:t>
      </w:r>
    </w:p>
    <w:p>
      <w:pPr>
        <w:pStyle w:val="CaptionedFigure"/>
      </w:pPr>
      <w:r>
        <w:drawing>
          <wp:inline>
            <wp:extent cx="3733800" cy="2212791"/>
            <wp:effectExtent b="0" l="0" r="0" t="0"/>
            <wp:docPr descr="d(070), -(060)" title="fig:" id="75" name="Picture"/>
            <a:graphic>
              <a:graphicData uri="http://schemas.openxmlformats.org/drawingml/2006/picture">
                <pic:pic>
                  <pic:nvPicPr>
                    <pic:cNvPr descr="image/07006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d(070), -(060)</w:t>
      </w:r>
    </w:p>
    <w:p>
      <w:pPr>
        <w:pStyle w:val="CaptionedFigure"/>
      </w:pPr>
      <w:r>
        <w:drawing>
          <wp:inline>
            <wp:extent cx="3733800" cy="2180845"/>
            <wp:effectExtent b="0" l="0" r="0" t="0"/>
            <wp:docPr descr="d(070), -(070)" title="fig:" id="78" name="Picture"/>
            <a:graphic>
              <a:graphicData uri="http://schemas.openxmlformats.org/drawingml/2006/picture">
                <pic:pic>
                  <pic:nvPicPr>
                    <pic:cNvPr descr="image/07007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d(070), -(070)</w:t>
      </w:r>
    </w:p>
    <w:p>
      <w:pPr>
        <w:pStyle w:val="BodyText"/>
      </w:pPr>
      <w:r>
        <w:t xml:space="preserve">Заполненная табл.</w:t>
      </w:r>
      <w:r>
        <w:t xml:space="preserve"> </w:t>
      </w:r>
      <w:hyperlink w:anchor="tbl: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краткого описания стандартных каталогов Unix.</w:t>
      </w:r>
    </w:p>
    <w:bookmarkStart w:id="0" w:name="tbl:01"/>
    <w:bookmarkStart w:id="80" w:name="tbl:01"/>
    <w:p>
      <w:pPr>
        <w:pStyle w:val="TableCaption"/>
      </w:pPr>
      <w:r>
        <w:t xml:space="preserve">Table 1: Установленные права и разрешенные действия для групп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енные действия для групп "/>
      </w:tblPr>
      <w:tblGrid>
        <w:gridCol w:w="1425"/>
        <w:gridCol w:w="1029"/>
        <w:gridCol w:w="554"/>
        <w:gridCol w:w="396"/>
        <w:gridCol w:w="475"/>
        <w:gridCol w:w="554"/>
        <w:gridCol w:w="950"/>
        <w:gridCol w:w="871"/>
        <w:gridCol w:w="712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80"/>
    <w:bookmarkEnd w:id="0"/>
    <w:p>
      <w:pPr>
        <w:numPr>
          <w:ilvl w:val="0"/>
          <w:numId w:val="1015"/>
        </w:numPr>
        <w:pStyle w:val="Compact"/>
      </w:pPr>
      <w:r>
        <w:t xml:space="preserve">На основании заполненной таблицы</w:t>
      </w:r>
      <w:r>
        <w:t xml:space="preserve"> </w:t>
      </w:r>
      <w:hyperlink w:anchor="tbl: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определите те или иные минимально необходимые права для выполнения операций внутри директории dir1, заполните табл.</w:t>
      </w:r>
      <w:r>
        <w:t xml:space="preserve"> </w:t>
      </w:r>
      <w:hyperlink w:anchor="tbl:02">
        <w:r>
          <w:rPr>
            <w:rStyle w:val="Hyperlink"/>
          </w:rPr>
          <w:t xml:space="preserve">2</w:t>
        </w:r>
      </w:hyperlink>
      <w:r>
        <w:t xml:space="preserve">.</w:t>
      </w:r>
    </w:p>
    <w:bookmarkStart w:id="0" w:name="tbl:02"/>
    <w:bookmarkStart w:id="81" w:name="tbl:02"/>
    <w:p>
      <w:pPr>
        <w:pStyle w:val="TableCaption"/>
      </w:pPr>
      <w:r>
        <w:t xml:space="preserve">Table 2: Минимальные права для совершения операций для пользователей, входящих в группу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для пользователей, входящих в группу "/>
      </w:tblPr>
      <w:tblGrid>
        <w:gridCol w:w="2376"/>
        <w:gridCol w:w="3069"/>
        <w:gridCol w:w="247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</w:tr>
    </w:tbl>
    <w:bookmarkEnd w:id="81"/>
    <w:bookmarkEnd w:id="0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пользователей.</w:t>
      </w:r>
    </w:p>
    <w:bookmarkEnd w:id="83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Start w:id="85" w:name="ref-0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доступа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84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85"/>
    <w:bookmarkStart w:id="87" w:name="ref-0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в Linux (chown, chmod, SUID, GUID, sticky bit, ACL, umask)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86">
        <w:r>
          <w:rPr>
            <w:rStyle w:val="Hyperlink"/>
          </w:rPr>
          <w:t xml:space="preserve">https://habr.com/ru/articles/469667/</w:t>
        </w:r>
      </w:hyperlink>
      <w:r>
        <w:t xml:space="preserve">.</w:t>
      </w:r>
    </w:p>
    <w:bookmarkEnd w:id="87"/>
    <w:bookmarkStart w:id="89" w:name="ref-0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88">
        <w:r>
          <w:rPr>
            <w:rStyle w:val="Hyperlink"/>
          </w:rPr>
          <w:t xml:space="preserve">https://losst.pro/prava-dostupa-k-fajlam-v-linux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1"/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84" Target="https://codechick.io/tutorials/unix-linux/unix-linux-permissions" TargetMode="External" /><Relationship Type="http://schemas.openxmlformats.org/officeDocument/2006/relationships/hyperlink" Id="rId86" Target="https://habr.com/ru/articles/469667/" TargetMode="External" /><Relationship Type="http://schemas.openxmlformats.org/officeDocument/2006/relationships/hyperlink" Id="rId88" Target="https://losst.pro/prava-dostupa-k-fajlam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codechick.io/tutorials/unix-linux/unix-linux-permissions" TargetMode="External" /><Relationship Type="http://schemas.openxmlformats.org/officeDocument/2006/relationships/hyperlink" Id="rId86" Target="https://habr.com/ru/articles/469667/" TargetMode="External" /><Relationship Type="http://schemas.openxmlformats.org/officeDocument/2006/relationships/hyperlink" Id="rId88" Target="https://losst.pro/prava-dostupa-k-fajlam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Губина Ольга Вячеслвовна</dc:creator>
  <dc:language>ru-RU</dc:language>
  <cp:keywords/>
  <dcterms:created xsi:type="dcterms:W3CDTF">2023-09-20T09:00:39Z</dcterms:created>
  <dcterms:modified xsi:type="dcterms:W3CDTF">2023-09-20T09:00:39Z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