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Губина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Вячеслвовна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Разработать приложение, позволяющее шифровать и дешифровать два текста в режиме однократного гаммирования.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Гаммирование</w:t>
      </w:r>
      <w:r>
        <w:t xml:space="preserve">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</w:t>
      </w:r>
      <w:r>
        <w:t xml:space="preserve">[1]</w:t>
      </w:r>
    </w:p>
    <w:p>
      <w:pPr>
        <w:pStyle w:val="BodyText"/>
      </w:pPr>
      <w:r>
        <w:t xml:space="preserve">Шифры гаммирования (аддитивные шифры) являются самыми эффективными с точки зрения стойкости и скорости преобразований (процедур зашифрования и дешифрования). По стойкости данные шифры относятся к классу совершенных. Для зашифрования и дешифрования используются элементарные арифметические операции – открытое / зашифрованное сообщение и гамма, представленные в числовом виде, складываются друг с другом по модулю (mod). Напомним, что результатом сложения двух целых чисел по модулю является остаток от деления (например, 5+10 mod 4 = 15 mod 4 = 3).</w:t>
      </w:r>
    </w:p>
    <w:p>
      <w:pPr>
        <w:pStyle w:val="BodyText"/>
      </w:pPr>
      <w:r>
        <w:t xml:space="preserve">В литературе шифры этого класса часто называют потоковыми, хотя к потоковым относятся и другие разновидности шифров. В шифрах гаммирования может использоваться сложение по модулю N (общий случай) и по модулю 2 (частный случай, ориентированный на программно-аппаратную реализацию).</w:t>
      </w:r>
      <w:r>
        <w:t xml:space="preserve">[2]</w:t>
      </w:r>
    </w:p>
    <w:p>
      <w:pPr>
        <w:pStyle w:val="BodyText"/>
      </w:pPr>
      <w:r>
        <w:t xml:space="preserve">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 наложением гаммы.</w:t>
      </w:r>
    </w:p>
    <w:p>
      <w:pPr>
        <w:pStyle w:val="BodyText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>
      <w:pPr>
        <w:pStyle w:val="BodyText"/>
      </w:pPr>
      <w:r>
        <w:rPr>
          <w:rStyle w:val="VerbatimChar"/>
        </w:rPr>
        <w:t xml:space="preserve">z = x + k (mod N)</w:t>
      </w:r>
      <w:r>
        <w:t xml:space="preserve">,</w:t>
      </w:r>
      <w:r>
        <w:t xml:space="preserve"> </w:t>
      </w:r>
      <w:r>
        <w:t xml:space="preserve">где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– закодированный символ, N - количество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N. Например, пусть сложим по модулю 33 символы Г (3) и Ю (31):</w:t>
      </w:r>
    </w:p>
    <w:p>
      <w:pPr>
        <w:pStyle w:val="BodyText"/>
      </w:pPr>
      <w:r>
        <w:rPr>
          <w:rStyle w:val="VerbatimChar"/>
        </w:rPr>
        <w:t xml:space="preserve">3 + 31 (mod 33) = 1</w:t>
      </w:r>
      <w:r>
        <w:t xml:space="preserve">,</w:t>
      </w:r>
      <w:r>
        <w:t xml:space="preserve"> </w:t>
      </w:r>
      <w:r>
        <w:t xml:space="preserve">то есть в результате получаем символ Б, соответствующий числу 1.</w:t>
      </w:r>
      <w:r>
        <w:t xml:space="preserve">[3]</w:t>
      </w:r>
    </w:p>
    <w:p>
      <w:pPr>
        <w:pStyle w:val="BodyText"/>
      </w:pPr>
      <w:r>
        <w:rPr>
          <w:rStyle w:val="VerbatimChar"/>
        </w:rPr>
        <w:t xml:space="preserve">ord()</w:t>
      </w:r>
      <w:r>
        <w:t xml:space="preserve"> </w:t>
      </w:r>
      <w:r>
        <w:t xml:space="preserve">- встроенная в Python функция. Принимает только один символ(иначе возникнет ошибка) и возвращает целое число - номер из таблицы символов Unicode, представляющий позицию данного символа. Функция имеет свою функцию-антипод</w:t>
      </w:r>
      <w:r>
        <w:t xml:space="preserve"> </w:t>
      </w:r>
      <w:r>
        <w:rPr>
          <w:rStyle w:val="VerbatimChar"/>
        </w:rPr>
        <w:t xml:space="preserve">chr()</w:t>
      </w:r>
      <w:r>
        <w:t xml:space="preserve">.</w:t>
      </w:r>
      <w:r>
        <w:t xml:space="preserve">[4]</w:t>
      </w:r>
    </w:p>
    <w:p>
      <w:pPr>
        <w:pStyle w:val="SourceCode"/>
      </w:pPr>
      <w:r>
        <w:rPr>
          <w:rStyle w:val="VerbatimChar"/>
        </w:rPr>
        <w:t xml:space="preserve">ord('a') # 99</w:t>
      </w:r>
      <w:r>
        <w:br/>
      </w:r>
      <w:r>
        <w:rPr>
          <w:rStyle w:val="VerbatimChar"/>
        </w:rPr>
        <w:t xml:space="preserve">ord('h') # 104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chr()</w:t>
      </w:r>
      <w:r>
        <w:t xml:space="preserve"> </w:t>
      </w:r>
      <w:r>
        <w:t xml:space="preserve">вернет строку, представляющую символ, соответствующий переданному в качестве аргумента целому числу из таблицы символов Unicode. Например, chr(97) возвращает строку a, а</w:t>
      </w:r>
      <w:r>
        <w:t xml:space="preserve"> </w:t>
      </w:r>
      <w:r>
        <w:rPr>
          <w:rStyle w:val="VerbatimChar"/>
        </w:rPr>
        <w:t xml:space="preserve">chr(8364)</w:t>
      </w:r>
      <w:r>
        <w:t xml:space="preserve"> </w:t>
      </w:r>
      <w:r>
        <w:t xml:space="preserve">возвращает строку</w:t>
      </w:r>
      <w:r>
        <w:t xml:space="preserve"> </w:t>
      </w:r>
      <w:r>
        <w:rPr>
          <w:rStyle w:val="VerbatimChar"/>
        </w:rPr>
        <w:t xml:space="preserve">€</w:t>
      </w:r>
      <w:r>
        <w:t xml:space="preserve">. Функция</w:t>
      </w:r>
      <w:r>
        <w:t xml:space="preserve"> </w:t>
      </w:r>
      <w:r>
        <w:rPr>
          <w:rStyle w:val="VerbatimChar"/>
        </w:rPr>
        <w:t xml:space="preserve">chr()</w:t>
      </w:r>
      <w:r>
        <w:t xml:space="preserve"> </w:t>
      </w:r>
      <w:r>
        <w:t xml:space="preserve">- обратная функции</w:t>
      </w:r>
      <w:r>
        <w:t xml:space="preserve"> </w:t>
      </w:r>
      <w:r>
        <w:rPr>
          <w:rStyle w:val="VerbatimChar"/>
        </w:rPr>
        <w:t xml:space="preserve">ord()</w:t>
      </w:r>
      <w:r>
        <w:t xml:space="preserve">.</w:t>
      </w:r>
      <w:r>
        <w:t xml:space="preserve">[5]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>
      <w:pPr>
        <w:pStyle w:val="BodyText"/>
      </w:pPr>
      <w:r>
        <w:t xml:space="preserve">Был написан код на языке Python, предоставленный на рис. ?? - ??.</w:t>
      </w:r>
    </w:p>
    <w:p>
      <w:pPr>
        <w:pStyle w:val="CaptionedFigure"/>
      </w:pPr>
      <w:r>
        <w:drawing>
          <wp:inline>
            <wp:extent cx="3733800" cy="1584566"/>
            <wp:effectExtent b="0" l="0" r="0" t="0"/>
            <wp:docPr descr="Сообщения для кодирования и ключ" title="fig:" id="24" name="Picture"/>
            <a:graphic>
              <a:graphicData uri="http://schemas.openxmlformats.org/drawingml/2006/picture">
                <pic:pic>
                  <pic:nvPicPr>
                    <pic:cNvPr descr="./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Сообщения для кодирования и ключ</w:t>
      </w:r>
    </w:p>
    <w:p>
      <w:pPr>
        <w:pStyle w:val="CaptionedFigure"/>
      </w:pPr>
      <w:r>
        <w:drawing>
          <wp:inline>
            <wp:extent cx="3733800" cy="2985289"/>
            <wp:effectExtent b="0" l="0" r="0" t="0"/>
            <wp:docPr descr="Функция декодировния и декодирование сообщений с результатом" title="fig:" id="27" name="Picture"/>
            <a:graphic>
              <a:graphicData uri="http://schemas.openxmlformats.org/drawingml/2006/picture">
                <pic:pic>
                  <pic:nvPicPr>
                    <pic:cNvPr descr="./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декодировния и декодирование сообщений с результатом</w:t>
      </w:r>
    </w:p>
    <w:p>
      <w:pPr>
        <w:pStyle w:val="CaptionedFigure"/>
      </w:pPr>
      <w:r>
        <w:drawing>
          <wp:inline>
            <wp:extent cx="3733800" cy="1280906"/>
            <wp:effectExtent b="0" l="0" r="0" t="0"/>
            <wp:docPr descr="Декодирование без ключа" title="fig:" id="30" name="Picture"/>
            <a:graphic>
              <a:graphicData uri="http://schemas.openxmlformats.org/drawingml/2006/picture">
                <pic:pic>
                  <pic:nvPicPr>
                    <pic:cNvPr descr="./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Декодирование без ключа</w:t>
      </w:r>
    </w:p>
    <w:p>
      <w:pPr>
        <w:pStyle w:val="BodyText"/>
      </w:pPr>
      <w:r>
        <w:t xml:space="preserve">На рис. ?? видим, что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были раскодированы корректно при использовании созданного ключа. Также мы имеем возможность раскодировать сообщения, не имея ключа вовсе, если применять функцию декодирвоания с вариативными параметрами как показано на рис. ??.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 для дешифровки двух текстов одним ключом.</w:t>
      </w:r>
    </w:p>
    <w:bookmarkEnd w:id="3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35" w:name="ref-0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4">
        <w:r>
          <w:rPr>
            <w:rStyle w:val="Hyperlink"/>
          </w:rPr>
          <w:t xml:space="preserve">https://ru.wikipedia.org/wiki/%D0%93%D0%B0%D0%BC%D0%BC%D0%B8%D1%80%D0%BE%D0%B2%D0%B0%D0%BD%D0%B8%D0%B5</w:t>
        </w:r>
      </w:hyperlink>
      <w:r>
        <w:t xml:space="preserve">.</w:t>
      </w:r>
    </w:p>
    <w:bookmarkEnd w:id="35"/>
    <w:bookmarkStart w:id="37" w:name="ref-0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Основы шифрования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6">
        <w:r>
          <w:rPr>
            <w:rStyle w:val="Hyperlink"/>
          </w:rPr>
          <w:t xml:space="preserve">https://sites.google.com/site/anisimovkhv/learning/kripto/lecture/tema6</w:t>
        </w:r>
      </w:hyperlink>
      <w:r>
        <w:t xml:space="preserve">.</w:t>
      </w:r>
    </w:p>
    <w:bookmarkEnd w:id="37"/>
    <w:bookmarkStart w:id="39" w:name="ref-0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Простейшие методы шифрования с закрытым ключом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8">
        <w:r>
          <w:rPr>
            <w:rStyle w:val="Hyperlink"/>
          </w:rPr>
          <w:t xml:space="preserve">https://intuit.ru/studies/mini_mba/5398/courses/547/lecture/12373?page=4</w:t>
        </w:r>
      </w:hyperlink>
      <w:r>
        <w:t xml:space="preserve">.</w:t>
      </w:r>
    </w:p>
    <w:bookmarkEnd w:id="39"/>
    <w:bookmarkStart w:id="41" w:name="ref-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Что делает метод ord python?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0">
        <w:r>
          <w:rPr>
            <w:rStyle w:val="Hyperlink"/>
          </w:rPr>
          <w:t xml:space="preserve">https://ru.hexlet.io/qna/python/questions/chto-delaet-metod-ord-python</w:t>
        </w:r>
      </w:hyperlink>
      <w:r>
        <w:t xml:space="preserve">.</w:t>
      </w:r>
    </w:p>
    <w:bookmarkEnd w:id="41"/>
    <w:bookmarkStart w:id="43" w:name="ref-0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Функция chr() в Python, число в символ Юникода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2">
        <w:r>
          <w:rPr>
            <w:rStyle w:val="Hyperlink"/>
          </w:rPr>
          <w:t xml:space="preserve">https://docs-python.ru/tutorial/vstroennye-funktsii-interpretatora-python/funktsija-chr/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42" Target="https://docs-python.ru/tutorial/vstroennye-funktsii-interpretatora-python/funktsija-chr/" TargetMode="External" /><Relationship Type="http://schemas.openxmlformats.org/officeDocument/2006/relationships/hyperlink" Id="rId38" Target="https://intuit.ru/studies/mini_mba/5398/courses/547/lecture/12373?page=4" TargetMode="External" /><Relationship Type="http://schemas.openxmlformats.org/officeDocument/2006/relationships/hyperlink" Id="rId40" Target="https://ru.hexlet.io/qna/python/questions/chto-delaet-metod-ord-python" TargetMode="External" /><Relationship Type="http://schemas.openxmlformats.org/officeDocument/2006/relationships/hyperlink" Id="rId34" Target="https://ru.wikipedia.org/wiki/%D0%93%D0%B0%D0%BC%D0%BC%D0%B8%D1%80%D0%BE%D0%B2%D0%B0%D0%BD%D0%B8%D0%B5" TargetMode="External" /><Relationship Type="http://schemas.openxmlformats.org/officeDocument/2006/relationships/hyperlink" Id="rId36" Target="https://sites.google.com/site/anisimovkhv/learning/kripto/lecture/tema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cs-python.ru/tutorial/vstroennye-funktsii-interpretatora-python/funktsija-chr/" TargetMode="External" /><Relationship Type="http://schemas.openxmlformats.org/officeDocument/2006/relationships/hyperlink" Id="rId38" Target="https://intuit.ru/studies/mini_mba/5398/courses/547/lecture/12373?page=4" TargetMode="External" /><Relationship Type="http://schemas.openxmlformats.org/officeDocument/2006/relationships/hyperlink" Id="rId40" Target="https://ru.hexlet.io/qna/python/questions/chto-delaet-metod-ord-python" TargetMode="External" /><Relationship Type="http://schemas.openxmlformats.org/officeDocument/2006/relationships/hyperlink" Id="rId34" Target="https://ru.wikipedia.org/wiki/%D0%93%D0%B0%D0%BC%D0%BC%D0%B8%D1%80%D0%BE%D0%B2%D0%B0%D0%BD%D0%B8%D0%B5" TargetMode="External" /><Relationship Type="http://schemas.openxmlformats.org/officeDocument/2006/relationships/hyperlink" Id="rId36" Target="https://sites.google.com/site/anisimovkhv/learning/kripto/lecture/tema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Губина Ольга Вячеслвовна</dc:creator>
  <dc:language>ru-RU</dc:language>
  <cp:keywords/>
  <dcterms:created xsi:type="dcterms:W3CDTF">2023-10-28T15:57:45Z</dcterms:created>
  <dcterms:modified xsi:type="dcterms:W3CDTF">2023-10-28T15:57:45Z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