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Technical Documentation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Employee Management System — Architecture, Modules &amp; Setup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60"/>
      </w:pPr>
      <w:r>
        <w:t xml:space="preserve">This document is the technical reference for developers working on or marking the Employee Management System (EMS). It covers the system architecture, the entity-relationship design, a module-by-module reference of the source code, setup instructions, and the current build status against the assessment's technical requirements.</w:t>
      </w:r>
    </w:p>
    <w:p>
      <w:pPr>
        <w:spacing w:after="160"/>
      </w:pPr>
      <w:r>
        <w:t xml:space="preserve">Current scope: the application foundation (database, authentication, login) and a complete Employee CRUD vertical slice (Employees, Departments, Positions) are built and verified end-to-end. Attendance, Leave, Payroll, and Reports are not yet implemented — see Section 7.</w:t>
      </w:r>
    </w:p>
    <w:p>
      <w:pPr>
        <w:pStyle w:val="Heading1"/>
        <w:spacing w:after="150" w:before="300"/>
      </w:pPr>
      <w:r>
        <w:t xml:space="preserve">2. Architecture</w:t>
      </w:r>
    </w:p>
    <w:p>
      <w:pPr>
        <w:spacing w:after="160"/>
      </w:pPr>
      <w:r>
        <w:t xml:space="preserve">The system follows a layered Model–View–Controller (MVC) architecture. Data flows one direction per request: View captures input, Controller validates and orchestrates, Model/Repository executes business logic and persistence, Controller returns results, View renders output. A Services &amp; Utilities layer provides authentication, logging, validation, and exception handling to every other layer.</w:t>
      </w:r>
    </w:p>
    <w:p>
      <w:pPr>
        <w:spacing w:after="160"/>
        <w:jc w:val="center"/>
      </w:pPr>
      <w:r>
        <w:drawing>
          <wp:inline distT="0" distB="0" distL="0" distR="0">
            <wp:extent cx="4953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classes and Repository/DAO classes reading and writing the database. No console I/O.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console/menu presentation. No business logic or direct database access.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Coordinates View and Model: validates input, applies business rules, enforces permissions.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/ Utility</w:t>
            </w:r>
          </w:p>
        </w:tc>
        <w:tc>
          <w:tcPr>
            <w:tcW w:type="dxa" w:w="70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Cross-cutting concerns: authentication, logging, custom exceptions, validation helpers.</w:t>
            </w:r>
          </w:p>
        </w:tc>
      </w:tr>
    </w:tbl>
    <w:p>
      <w:pPr>
        <w:pStyle w:val="Heading1"/>
        <w:spacing w:after="150" w:before="300"/>
      </w:pPr>
      <w:r>
        <w:t xml:space="preserve">3. Database Design</w:t>
      </w:r>
    </w:p>
    <w:p>
      <w:pPr>
        <w:spacing w:after="160"/>
      </w:pPr>
      <w:r>
        <w:t xml:space="preserve">Full detail (normalization discussion, column-level constraints, referential-integrity rules) is in the separate Database Design deliverable. Summary ERD:</w:t>
      </w:r>
    </w:p>
    <w:p>
      <w:pPr>
        <w:spacing w:after="200"/>
        <w:jc w:val="center"/>
      </w:pPr>
      <w:r>
        <w:drawing>
          <wp:inline distT="0" distB="0" distL="0" distR="0">
            <wp:extent cx="5334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4. Module Reference</w:t>
      </w:r>
    </w:p>
    <w:p>
      <w:pPr>
        <w:spacing w:after="160"/>
      </w:pPr>
      <w:r>
        <w:t xml:space="preserve">Every module below exists as working, executed code — not a placeholder. Method counts are exact (measured via static analysis of the source), not estimates.</w:t>
      </w:r>
    </w:p>
    <w:p>
      <w:pPr>
        <w:pStyle w:val="Heading2"/>
        <w:spacing w:after="120" w:before="250"/>
      </w:pPr>
      <w:r>
        <w:t xml:space="preserve">4.1 Foundation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900"/>
        <w:gridCol w:w="37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Class(es)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3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Paths, constants, role codes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utils/logger.py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fn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App-wide logging setup (file + console handlers)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utils/validators.py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Validator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input-validation helpers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exceptions/custom_exceptions.py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exception classes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EMSException hierarchy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repositories/database.py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DatabaseConnection, _Transaction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Connection, parameterised queries, transactions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models/user.py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User, Administrator, HRStaff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Abstract auth model + role subclasses + permissions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repositories/user_repository.py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UserRepository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CRUD (DAO)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services/auth_service.py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AuthService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Password hashing (PBKDF2-HMAC) and login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controllers/auth_controller.py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state, permission checks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views/login_view.py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LoginView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Login console prompts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views/main_menu_view.py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MainMenuView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Role-aware main menu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fn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point: bootstrap, login loop, menu loop</w:t>
            </w:r>
          </w:p>
        </w:tc>
      </w:tr>
    </w:tbl>
    <w:p>
      <w:pPr>
        <w:pStyle w:val="Heading2"/>
        <w:spacing w:after="120" w:before="250"/>
      </w:pPr>
      <w:r>
        <w:t xml:space="preserve">4.2 Employee CRUD vertical slice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900"/>
        <w:gridCol w:w="3700"/>
      </w:tblGrid>
      <w:tr>
        <w:trPr>
          <w:tblHeader/>
        </w:trPr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Class(es)</w:t>
            </w:r>
          </w:p>
        </w:tc>
        <w:tc>
          <w:tcPr>
            <w:tcW w:type="dxa" w:w="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Methods</w:t>
            </w:r>
          </w:p>
        </w:tc>
        <w:tc>
          <w:tcPr>
            <w:tcW w:type="dxa" w:w="3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models/person.py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 (abstract)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class: validated name/contact properties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models/employee.py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Employee(Person)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Adds hire_date, department/position, status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models/department.py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model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models/position.py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 model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repositories/employee_repository.py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EmployeeRepository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CRUD + search/filter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repositories/department_repository.py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DepartmentRepository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CRUD, FK-violation handling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repositories/position_repository.py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PositionRepository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CRUD, FK-violation handling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controllers/employee_controller.py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EmployeeController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Validation, FK checks, permissions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controllers/department_controller.py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DepartmentController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Validation, permissions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controllers/position_controller.py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PositionController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Validation, permissions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views/employee_view.py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EmployeeView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7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employee/department/position console menus</w:t>
            </w:r>
          </w:p>
        </w:tc>
      </w:tr>
    </w:tbl>
    <w:p>
      <w:pPr>
        <w:spacing w:after="160"/>
      </w:pPr>
      <w:r>
        <w:t xml:space="preserve">Totals across both slices: 26 classes, 141 class methods, and 7 module-level functions — comfortably above the assessment's minimums of 10 classes and 25 methods/functions.</w:t>
      </w:r>
    </w:p>
    <w:p>
      <w:pPr>
        <w:pStyle w:val="Heading1"/>
        <w:spacing w:after="150" w:before="300"/>
      </w:pPr>
      <w:r>
        <w:t xml:space="preserve">5. Installation &amp; Setup</w:t>
      </w:r>
    </w:p>
    <w:p>
      <w:pPr>
        <w:pStyle w:val="Heading2"/>
        <w:spacing w:after="120" w:before="250"/>
      </w:pPr>
      <w:r>
        <w:t xml:space="preserve">5.1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3.11 or later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external packages required for the code built so far (standard library only)</w:t>
      </w:r>
    </w:p>
    <w:p>
      <w:pPr>
        <w:pStyle w:val="Heading2"/>
        <w:spacing w:after="120" w:before="250"/>
      </w:pPr>
      <w:r>
        <w:t xml:space="preserve">5.2 Running the application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src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main.py</w:t>
      </w:r>
    </w:p>
    <w:p>
      <w:pPr>
        <w:spacing w:after="160"/>
      </w:pPr>
      <w:r>
        <w:t xml:space="preserve">First run creates database/app.db from database/schema.sql automatically and prints a generated administrator password once.</w:t>
      </w:r>
    </w:p>
    <w:p>
      <w:pPr>
        <w:pStyle w:val="Heading2"/>
        <w:spacing w:after="120" w:before="250"/>
      </w:pPr>
      <w:r>
        <w:t xml:space="preserve">5.3 Running the tests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pip install pytest</w:t>
      </w:r>
    </w:p>
    <w:p>
      <w:pPr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pytest tests/ -v</w:t>
      </w:r>
    </w:p>
    <w:p>
      <w:pPr>
        <w:spacing w:after="160"/>
      </w:pPr>
      <w:r>
        <w:t xml:space="preserve">Note: pytest could not be installed in the offline sandbox this scaffold was built in. Every test file was syntax-checked, and the same logic was manually exercised end-to-end (see Test Report). Run the suite for real on a networked machine before relying on it as evidence of correctness.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Requirements Traceability</w:t>
      </w:r>
    </w:p>
    <w:p>
      <w:pPr>
        <w:spacing w:after="160"/>
      </w:pPr>
      <w:r>
        <w:t xml:space="preserve">How the built code maps to the assessment's Section 6 technical requirements: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400"/>
      </w:tblGrid>
      <w:tr>
        <w:trPr>
          <w:tblHeader/>
        </w:trPr>
        <w:tc>
          <w:tcPr>
            <w:tcW w:type="dxa" w:w="3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≥10 classes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 (26)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Section 4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≥4 related tables with FKs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 (7)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database/schema.sql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≥25 methods/functions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 (148)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 Section 4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MVC architecture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2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Inheritance, polymorphism, encapsulation, abstraction, overriding, properties, dunders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Person→Employee, User→Administrator/HRStaff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≥2 custom exceptions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 (5)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exceptions/custom_exceptions.py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try/except/finally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main.py, all views, database.py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Parameterised queries, transactions, DAO layer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repositories/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Hashed login credentials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 (PBKDF2-HMAC, not bcrypt — see note)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services/auth_service.py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≥2 roles, different permissions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models/user.py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Search/filter ≥1 entity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EmployeeRepository.search()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Logging (logging module)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utils/logger.py, logs/app.log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CSV/JSON/text file handling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built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for Reports/import module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pandas, matplotlib, requests libraries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used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for Reports/Payroll module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Summary reports/charts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built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Reports module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Attendance, Leave, Payroll entities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exists; CRUD not yet built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database/schema.sql has the tables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pytest suite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Written, not yet run on a networked machine</w:t>
            </w:r>
          </w:p>
        </w:tc>
        <w:tc>
          <w:tcPr>
            <w:tcW w:type="dxa" w:w="4400"/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</w:t>
            </w:r>
          </w:p>
        </w:tc>
      </w:tr>
    </w:tbl>
    <w:p>
      <w:pPr>
        <w:pStyle w:val="Heading1"/>
        <w:spacing w:after="150" w:before="300"/>
      </w:pPr>
      <w:r>
        <w:t xml:space="preserve">7. Known Limitations &amp; Planned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 hashing uses stdlib hashlib/PBKDF2-HMAC rather than bcrypt, because the environment this was built in has no network access to install packages. Swapping in bcrypt only touches services/auth_service.py.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Attendance, Leave, and Payroll have database tables but no Model/Repository/Controller/View code yet.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core transactional workflow described in the SRS (approved leave → payroll deduction) depends on both the Leave and Payroll modules and is not yet implemented.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CSV/JSON import/export, no pandas/matplotlib reporting, and no requests-based external HTTP call yet — all required by Section 6.2.7 of the brief and planned for the Reports module.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pytest was not executed in a networked environment; the test suite exists and was logic-verified manually, but a real pytest run with coverage should be captured before the Test Report is finalised.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4684686dd9afd449db281d303d91b33591cb0e.undefined"/><Relationship Id="rId8" Type="http://schemas.openxmlformats.org/officeDocument/2006/relationships/image" Target="media/3d0d63b96f722cad191ec3117b651daa430bbae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2026-08-26T22:45:41.209Z</dcterms:created>
  <dcterms:modified xsi:type="dcterms:W3CDTF">2026-08-26T22:45:41.209Z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