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Professional &amp; Ethical Practice</w:t>
      </w:r>
    </w:p>
    <w:p>
      <w:pPr>
        <w:spacing w:after="300"/>
      </w:pPr>
      <w:r>
        <w:rPr>
          <w:color w:val="555555"/>
          <w:sz w:val="24"/>
          <w:szCs w:val="24"/>
        </w:rPr>
        <w:t xml:space="preserve">Employee Management System — Data Privacy, IP, AI Usage &amp; Academic Integrity</w:t>
      </w:r>
    </w:p>
    <w:p>
      <w:pPr>
        <w:pStyle w:val="Heading1"/>
        <w:spacing w:after="150" w:before="300"/>
      </w:pPr>
      <w:r>
        <w:t xml:space="preserve">1. Data Privacy Statement</w:t>
      </w:r>
    </w:p>
    <w:p>
      <w:pPr>
        <w:spacing w:after="160"/>
      </w:pPr>
      <w:r>
        <w:t xml:space="preserve">The Employee Management System stores personal data about employees (names, dates of birth, contact details, employment history) and about system users (usernames and password hashes). The team commits to the following data-handling practices:</w:t>
      </w:r>
    </w:p>
    <w:p>
      <w:pPr>
        <w:pStyle w:val="ListParagraph"/>
        <w:numPr>
          <w:ilvl w:val="0"/>
          <w:numId w:val="1"/>
        </w:numPr>
        <w:spacing w:after="80"/>
      </w:pPr>
      <w:r>
        <w:t xml:space="preserve">Passwords are never stored or logged in plaintext — only a salted PBKDF2-HMAC hash is persisted (services/auth_service.py).</w:t>
      </w:r>
    </w:p>
    <w:p>
      <w:pPr>
        <w:pStyle w:val="ListParagraph"/>
        <w:numPr>
          <w:ilvl w:val="0"/>
          <w:numId w:val="1"/>
        </w:numPr>
        <w:spacing w:after="80"/>
      </w:pPr>
      <w:r>
        <w:t xml:space="preserve">Personal data is stored only in the local SQLite database (database/app.db) and is not transmitted to any third-party service.</w:t>
      </w:r>
    </w:p>
    <w:p>
      <w:pPr>
        <w:pStyle w:val="ListParagraph"/>
        <w:numPr>
          <w:ilvl w:val="0"/>
          <w:numId w:val="1"/>
        </w:numPr>
        <w:spacing w:after="80"/>
      </w:pPr>
      <w:r>
        <w:t xml:space="preserve">Access to employee records is restricted by role: only authenticated Administrator or HR Staff accounts can view or modify them (controllers/auth_controller.py enforces this on every action).</w:t>
      </w:r>
    </w:p>
    <w:p>
      <w:pPr>
        <w:pStyle w:val="ListParagraph"/>
        <w:numPr>
          <w:ilvl w:val="0"/>
          <w:numId w:val="1"/>
        </w:numPr>
        <w:spacing w:after="80"/>
      </w:pPr>
      <w:r>
        <w:t xml:space="preserve">All data-access actions (create, update, delete) are logged with a timestamp and the acting user for audit purposes (logs/app.log), so any access to personal data can be traced.</w:t>
      </w:r>
    </w:p>
    <w:p>
      <w:pPr>
        <w:pStyle w:val="ListParagraph"/>
        <w:numPr>
          <w:ilvl w:val="0"/>
          <w:numId w:val="1"/>
        </w:numPr>
        <w:spacing w:after="80"/>
      </w:pPr>
      <w:r>
        <w:t xml:space="preserve">The sample/test data used during development (e.g., “Jane Doe”) is fictional and was generated for demonstration purposes only — no real personal data was used in building or testing this system.</w:t>
      </w:r>
    </w:p>
    <w:p>
      <w:pPr>
        <w:pStyle w:val="ListParagraph"/>
        <w:numPr>
          <w:ilvl w:val="0"/>
          <w:numId w:val="1"/>
        </w:numPr>
        <w:spacing w:after="80"/>
      </w:pPr>
      <w:r>
        <w:t xml:space="preserve">This system is an academic prototype, not a production HR system, and is not intended to store real employee data beyond the assessment context.</w:t>
      </w:r>
    </w:p>
    <w:p>
      <w:pPr>
        <w:pStyle w:val="Heading1"/>
        <w:spacing w:after="150" w:before="300"/>
      </w:pPr>
      <w:r>
        <w:t xml:space="preserve">2. Third-Party Code, Assets &amp; Data Acknowledgement</w:t>
      </w:r>
    </w:p>
    <w:p>
      <w:pPr>
        <w:spacing w:after="160"/>
      </w:pPr>
      <w:r>
        <w:t xml:space="preserve">This project uses only the Python standard library in the code built so far (sqlite3, hashlib, secrets, hmac, logging, getpass, abc, re, datetime, os, sys). No third-party packages, code snippets, images, icons, or datasets from external sources have been copied into the codebase.</w:t>
      </w:r>
    </w:p>
    <w:p>
      <w:pPr>
        <w:spacing w:after="160"/>
      </w:pPr>
      <w:r>
        <w:t xml:space="preserve">As the project progresses into Reports and Payroll, the team plans to use the following third-party libraries, which will be acknowledged here and in requirements.txt when added: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200"/>
      </w:tblGrid>
      <w:tr>
        <w:trPr>
          <w:tblHeader/>
        </w:trPr>
        <w:tc>
          <w:tcPr>
            <w:tcW w:type="dxa" w:w="2400"/>
            <w:shd w:fill="1F3864" w:val="clear"/>
            <w:vAlign w:val="center"/>
          </w:tcPr>
          <w:p>
            <w:r>
              <w:rPr>
                <w:b/>
                <w:bCs/>
                <w:color w:val="FFFFFF"/>
                <w:sz w:val="19"/>
                <w:szCs w:val="19"/>
              </w:rPr>
              <w:t xml:space="preserve">Library</w:t>
            </w:r>
          </w:p>
        </w:tc>
        <w:tc>
          <w:tcPr>
            <w:tcW w:type="dxa" w:w="3200"/>
            <w:shd w:fill="1F3864" w:val="clear"/>
            <w:vAlign w:val="center"/>
          </w:tcPr>
          <w:p>
            <w:r>
              <w:rPr>
                <w:b/>
                <w:bCs/>
                <w:color w:val="FFFFFF"/>
                <w:sz w:val="19"/>
                <w:szCs w:val="19"/>
              </w:rPr>
              <w:t xml:space="preserve">License</w:t>
            </w:r>
          </w:p>
        </w:tc>
        <w:tc>
          <w:tcPr>
            <w:tcW w:type="dxa" w:w="3200"/>
            <w:shd w:fill="1F3864" w:val="clear"/>
            <w:vAlign w:val="center"/>
          </w:tcPr>
          <w:p>
            <w:r>
              <w:rPr>
                <w:b/>
                <w:bCs/>
                <w:color w:val="FFFFFF"/>
                <w:sz w:val="19"/>
                <w:szCs w:val="19"/>
              </w:rPr>
              <w:t xml:space="preserve">Purpose</w:t>
            </w:r>
          </w:p>
        </w:tc>
      </w:tr>
      <w:tr>
        <w:tc>
          <w:tcPr>
            <w:tcW w:type="dxa" w:w="2400"/>
            <w:vAlign w:val="center"/>
          </w:tcPr>
          <w:p>
            <w:r>
              <w:rPr>
                <w:b w:val="false"/>
                <w:bCs w:val="false"/>
                <w:sz w:val="19"/>
                <w:szCs w:val="19"/>
              </w:rPr>
              <w:t xml:space="preserve">pandas</w:t>
            </w:r>
          </w:p>
        </w:tc>
        <w:tc>
          <w:tcPr>
            <w:tcW w:type="dxa" w:w="3200"/>
            <w:vAlign w:val="center"/>
          </w:tcPr>
          <w:p>
            <w:r>
              <w:rPr>
                <w:b w:val="false"/>
                <w:bCs w:val="false"/>
                <w:sz w:val="19"/>
                <w:szCs w:val="19"/>
              </w:rPr>
              <w:t xml:space="preserve">BSD 3-Clause</w:t>
            </w:r>
          </w:p>
        </w:tc>
        <w:tc>
          <w:tcPr>
            <w:tcW w:type="dxa" w:w="3200"/>
            <w:vAlign w:val="center"/>
          </w:tcPr>
          <w:p>
            <w:r>
              <w:rPr>
                <w:b w:val="false"/>
                <w:bCs w:val="false"/>
                <w:sz w:val="19"/>
                <w:szCs w:val="19"/>
              </w:rPr>
              <w:t xml:space="preserve">Data processing for reports</w:t>
            </w:r>
          </w:p>
        </w:tc>
      </w:tr>
      <w:tr>
        <w:tc>
          <w:tcPr>
            <w:tcW w:type="dxa" w:w="2400"/>
            <w:vAlign w:val="center"/>
          </w:tcPr>
          <w:p>
            <w:r>
              <w:rPr>
                <w:b w:val="false"/>
                <w:bCs w:val="false"/>
                <w:sz w:val="19"/>
                <w:szCs w:val="19"/>
              </w:rPr>
              <w:t xml:space="preserve">matplotlib</w:t>
            </w:r>
          </w:p>
        </w:tc>
        <w:tc>
          <w:tcPr>
            <w:tcW w:type="dxa" w:w="3200"/>
            <w:vAlign w:val="center"/>
          </w:tcPr>
          <w:p>
            <w:r>
              <w:rPr>
                <w:b w:val="false"/>
                <w:bCs w:val="false"/>
                <w:sz w:val="19"/>
                <w:szCs w:val="19"/>
              </w:rPr>
              <w:t xml:space="preserve">PSF-based (BSD-style)</w:t>
            </w:r>
          </w:p>
        </w:tc>
        <w:tc>
          <w:tcPr>
            <w:tcW w:type="dxa" w:w="3200"/>
            <w:vAlign w:val="center"/>
          </w:tcPr>
          <w:p>
            <w:r>
              <w:rPr>
                <w:b w:val="false"/>
                <w:bCs w:val="false"/>
                <w:sz w:val="19"/>
                <w:szCs w:val="19"/>
              </w:rPr>
              <w:t xml:space="preserve">Charts/visualisation for reports</w:t>
            </w:r>
          </w:p>
        </w:tc>
      </w:tr>
      <w:tr>
        <w:tc>
          <w:tcPr>
            <w:tcW w:type="dxa" w:w="2400"/>
            <w:vAlign w:val="center"/>
          </w:tcPr>
          <w:p>
            <w:r>
              <w:rPr>
                <w:b w:val="false"/>
                <w:bCs w:val="false"/>
                <w:sz w:val="19"/>
                <w:szCs w:val="19"/>
              </w:rPr>
              <w:t xml:space="preserve">requests</w:t>
            </w:r>
          </w:p>
        </w:tc>
        <w:tc>
          <w:tcPr>
            <w:tcW w:type="dxa" w:w="3200"/>
            <w:vAlign w:val="center"/>
          </w:tcPr>
          <w:p>
            <w:r>
              <w:rPr>
                <w:b w:val="false"/>
                <w:bCs w:val="false"/>
                <w:sz w:val="19"/>
                <w:szCs w:val="19"/>
              </w:rPr>
              <w:t xml:space="preserve">Apache 2.0</w:t>
            </w:r>
          </w:p>
        </w:tc>
        <w:tc>
          <w:tcPr>
            <w:tcW w:type="dxa" w:w="3200"/>
            <w:vAlign w:val="center"/>
          </w:tcPr>
          <w:p>
            <w:r>
              <w:rPr>
                <w:b w:val="false"/>
                <w:bCs w:val="false"/>
                <w:sz w:val="19"/>
                <w:szCs w:val="19"/>
              </w:rPr>
              <w:t xml:space="preserve">External HTTP integration</w:t>
            </w:r>
          </w:p>
        </w:tc>
      </w:tr>
      <w:tr>
        <w:tc>
          <w:tcPr>
            <w:tcW w:type="dxa" w:w="2400"/>
            <w:vAlign w:val="center"/>
          </w:tcPr>
          <w:p>
            <w:r>
              <w:rPr>
                <w:b w:val="false"/>
                <w:bCs w:val="false"/>
                <w:sz w:val="19"/>
                <w:szCs w:val="19"/>
              </w:rPr>
              <w:t xml:space="preserve">bcrypt (optional)</w:t>
            </w:r>
          </w:p>
        </w:tc>
        <w:tc>
          <w:tcPr>
            <w:tcW w:type="dxa" w:w="3200"/>
            <w:vAlign w:val="center"/>
          </w:tcPr>
          <w:p>
            <w:r>
              <w:rPr>
                <w:b w:val="false"/>
                <w:bCs w:val="false"/>
                <w:sz w:val="19"/>
                <w:szCs w:val="19"/>
              </w:rPr>
              <w:t xml:space="preserve">Apache 2.0</w:t>
            </w:r>
          </w:p>
        </w:tc>
        <w:tc>
          <w:tcPr>
            <w:tcW w:type="dxa" w:w="3200"/>
            <w:vAlign w:val="center"/>
          </w:tcPr>
          <w:p>
            <w:r>
              <w:rPr>
                <w:b w:val="false"/>
                <w:bCs w:val="false"/>
                <w:sz w:val="19"/>
                <w:szCs w:val="19"/>
              </w:rPr>
              <w:t xml:space="preserve">Password hashing, if swapped in from the stdlib implementation</w:t>
            </w:r>
          </w:p>
        </w:tc>
      </w:tr>
    </w:tbl>
    <w:p>
      <w:pPr>
        <w:spacing w:after="160"/>
      </w:pPr>
      <w:r>
        <w:t xml:space="preserve">No copyrighted third-party assets (images, fonts, sample datasets) have been used. All sample data (employee names, department names) appearing in documentation and screenshots is fictional, created for demonstration.</w:t>
      </w:r>
    </w:p>
    <w:p>
      <w:pPr>
        <w:pStyle w:val="Heading1"/>
        <w:spacing w:after="150" w:before="300"/>
      </w:pPr>
      <w:r>
        <w:t xml:space="preserve">3. AI Tool Usage Disclosure</w:t>
      </w:r>
    </w:p>
    <w:p>
      <w:pPr>
        <w:spacing w:after="160"/>
      </w:pPr>
      <w:r>
        <w:t xml:space="preserve">In accordance with Section 16 (AI Usage Policy) of the assessment brief, the team discloses the following AI assistance, obtained from Claude (Anthropic):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vAlign w:val="center"/>
          </w:tcPr>
          <w:p>
            <w:r>
              <w:rPr>
                <w:b/>
                <w:bCs/>
                <w:color w:val="FFFFFF"/>
                <w:sz w:val="19"/>
                <w:szCs w:val="19"/>
              </w:rPr>
              <w:t xml:space="preserve">Artefact</w:t>
            </w:r>
          </w:p>
        </w:tc>
        <w:tc>
          <w:tcPr>
            <w:tcW w:type="dxa" w:w="6400"/>
            <w:shd w:fill="1F3864" w:val="clear"/>
            <w:vAlign w:val="center"/>
          </w:tcPr>
          <w:p>
            <w:r>
              <w:rPr>
                <w:b/>
                <w:bCs/>
                <w:color w:val="FFFFFF"/>
                <w:sz w:val="19"/>
                <w:szCs w:val="19"/>
              </w:rPr>
              <w:t xml:space="preserve">Nature of AI assistance</w:t>
            </w:r>
          </w:p>
        </w:tc>
      </w:tr>
      <w:tr>
        <w:tc>
          <w:tcPr>
            <w:tcW w:type="dxa" w:w="2600"/>
            <w:vAlign w:val="center"/>
          </w:tcPr>
          <w:p>
            <w:r>
              <w:rPr>
                <w:b w:val="false"/>
                <w:bCs w:val="false"/>
                <w:sz w:val="19"/>
                <w:szCs w:val="19"/>
              </w:rPr>
              <w:t xml:space="preserve">Project Proposal, SRS</w:t>
            </w:r>
          </w:p>
        </w:tc>
        <w:tc>
          <w:tcPr>
            <w:tcW w:type="dxa" w:w="6400"/>
            <w:vAlign w:val="center"/>
          </w:tcPr>
          <w:p>
            <w:r>
              <w:rPr>
                <w:b w:val="false"/>
                <w:bCs w:val="false"/>
                <w:sz w:val="19"/>
                <w:szCs w:val="19"/>
              </w:rPr>
              <w:t xml:space="preserve">AI-drafted based on the assessment brief and the team's chosen domain; reviewed and to be customised with actual team details</w:t>
            </w:r>
          </w:p>
        </w:tc>
      </w:tr>
      <w:tr>
        <w:tc>
          <w:tcPr>
            <w:tcW w:type="dxa" w:w="2600"/>
            <w:vAlign w:val="center"/>
          </w:tcPr>
          <w:p>
            <w:r>
              <w:rPr>
                <w:b w:val="false"/>
                <w:bCs w:val="false"/>
                <w:sz w:val="19"/>
                <w:szCs w:val="19"/>
              </w:rPr>
              <w:t xml:space="preserve">Software Structure Specification</w:t>
            </w:r>
          </w:p>
        </w:tc>
        <w:tc>
          <w:tcPr>
            <w:tcW w:type="dxa" w:w="6400"/>
            <w:vAlign w:val="center"/>
          </w:tcPr>
          <w:p>
            <w:r>
              <w:rPr>
                <w:b w:val="false"/>
                <w:bCs w:val="false"/>
                <w:sz w:val="19"/>
                <w:szCs w:val="19"/>
              </w:rPr>
              <w:t xml:space="preserve">AI-generated architecture and class design, based on the team's domain requirements</w:t>
            </w:r>
          </w:p>
        </w:tc>
      </w:tr>
      <w:tr>
        <w:tc>
          <w:tcPr>
            <w:tcW w:type="dxa" w:w="2600"/>
            <w:vAlign w:val="center"/>
          </w:tcPr>
          <w:p>
            <w:r>
              <w:rPr>
                <w:b w:val="false"/>
                <w:bCs w:val="false"/>
                <w:sz w:val="19"/>
                <w:szCs w:val="19"/>
              </w:rPr>
              <w:t xml:space="preserve">Database Design (ERD + schema)</w:t>
            </w:r>
          </w:p>
        </w:tc>
        <w:tc>
          <w:tcPr>
            <w:tcW w:type="dxa" w:w="6400"/>
            <w:vAlign w:val="center"/>
          </w:tcPr>
          <w:p>
            <w:r>
              <w:rPr>
                <w:b w:val="false"/>
                <w:bCs w:val="false"/>
                <w:sz w:val="19"/>
                <w:szCs w:val="19"/>
              </w:rPr>
              <w:t xml:space="preserve">AI-generated schema and diagram, derived from the SRS entities</w:t>
            </w:r>
          </w:p>
        </w:tc>
      </w:tr>
      <w:tr>
        <w:tc>
          <w:tcPr>
            <w:tcW w:type="dxa" w:w="2600"/>
            <w:vAlign w:val="center"/>
          </w:tcPr>
          <w:p>
            <w:r>
              <w:rPr>
                <w:b w:val="false"/>
                <w:bCs w:val="false"/>
                <w:sz w:val="19"/>
                <w:szCs w:val="19"/>
              </w:rPr>
              <w:t xml:space="preserve">Foundation code (auth, database, logging)</w:t>
            </w:r>
          </w:p>
        </w:tc>
        <w:tc>
          <w:tcPr>
            <w:tcW w:type="dxa" w:w="6400"/>
            <w:vAlign w:val="center"/>
          </w:tcPr>
          <w:p>
            <w:r>
              <w:rPr>
                <w:b w:val="false"/>
                <w:bCs w:val="false"/>
                <w:sz w:val="19"/>
                <w:szCs w:val="19"/>
              </w:rPr>
              <w:t xml:space="preserve">AI-generated scaffold, manually verified end-to-end by the AI in a sandboxed run; the team is responsible for reading, understanding, and taking ownership of this code before submission</w:t>
            </w:r>
          </w:p>
        </w:tc>
      </w:tr>
      <w:tr>
        <w:tc>
          <w:tcPr>
            <w:tcW w:type="dxa" w:w="2600"/>
            <w:vAlign w:val="center"/>
          </w:tcPr>
          <w:p>
            <w:r>
              <w:rPr>
                <w:b w:val="false"/>
                <w:bCs w:val="false"/>
                <w:sz w:val="19"/>
                <w:szCs w:val="19"/>
              </w:rPr>
              <w:t xml:space="preserve">Employee CRUD vertical slice</w:t>
            </w:r>
          </w:p>
        </w:tc>
        <w:tc>
          <w:tcPr>
            <w:tcW w:type="dxa" w:w="6400"/>
            <w:vAlign w:val="center"/>
          </w:tcPr>
          <w:p>
            <w:r>
              <w:rPr>
                <w:b w:val="false"/>
                <w:bCs w:val="false"/>
                <w:sz w:val="19"/>
                <w:szCs w:val="19"/>
              </w:rPr>
              <w:t xml:space="preserve">AI-generated as a reference implementation pattern for the team to replicate for Attendance, Leave, and Payroll</w:t>
            </w:r>
          </w:p>
        </w:tc>
      </w:tr>
      <w:tr>
        <w:tc>
          <w:tcPr>
            <w:tcW w:type="dxa" w:w="2600"/>
            <w:vAlign w:val="center"/>
          </w:tcPr>
          <w:p>
            <w:r>
              <w:rPr>
                <w:b w:val="false"/>
                <w:bCs w:val="false"/>
                <w:sz w:val="19"/>
                <w:szCs w:val="19"/>
              </w:rPr>
              <w:t xml:space="preserve">User Manual, Technical Documentation, Test Report</w:t>
            </w:r>
          </w:p>
        </w:tc>
        <w:tc>
          <w:tcPr>
            <w:tcW w:type="dxa" w:w="6400"/>
            <w:vAlign w:val="center"/>
          </w:tcPr>
          <w:p>
            <w:r>
              <w:rPr>
                <w:b w:val="false"/>
                <w:bCs w:val="false"/>
                <w:sz w:val="19"/>
                <w:szCs w:val="19"/>
              </w:rPr>
              <w:t xml:space="preserve">AI-drafted from the actual built code and actual captured verification output</w:t>
            </w:r>
          </w:p>
        </w:tc>
      </w:tr>
      <w:tr>
        <w:tc>
          <w:tcPr>
            <w:tcW w:type="dxa" w:w="2600"/>
            <w:vAlign w:val="center"/>
          </w:tcPr>
          <w:p>
            <w:r>
              <w:rPr>
                <w:b w:val="false"/>
                <w:bCs w:val="false"/>
                <w:sz w:val="19"/>
                <w:szCs w:val="19"/>
              </w:rPr>
              <w:t xml:space="preserve">Attendance / Leave / Payroll / Reports modules</w:t>
            </w:r>
          </w:p>
        </w:tc>
        <w:tc>
          <w:tcPr>
            <w:tcW w:type="dxa" w:w="6400"/>
            <w:vAlign w:val="center"/>
          </w:tcPr>
          <w:p>
            <w:r>
              <w:rPr>
                <w:b w:val="false"/>
                <w:bCs w:val="false"/>
                <w:sz w:val="19"/>
                <w:szCs w:val="19"/>
              </w:rPr>
              <w:t xml:space="preserve">Not yet built — the team's own work, following the established pattern</w:t>
            </w:r>
          </w:p>
        </w:tc>
      </w:tr>
    </w:tbl>
    <w:p>
      <w:pPr>
        <w:spacing w:after="160"/>
      </w:pPr>
      <w:r>
        <w:t xml:space="preserve">Per the assessment's AI Usage Policy, the team confirms it will:</w:t>
      </w:r>
    </w:p>
    <w:p>
      <w:pPr>
        <w:pStyle w:val="ListParagraph"/>
        <w:numPr>
          <w:ilvl w:val="0"/>
          <w:numId w:val="1"/>
        </w:numPr>
        <w:spacing w:after="80"/>
      </w:pPr>
      <w:r>
        <w:t xml:space="preserve">Read and understand every AI-generated line before submission, rather than submitting it unread.</w:t>
      </w:r>
    </w:p>
    <w:p>
      <w:pPr>
        <w:pStyle w:val="ListParagraph"/>
        <w:numPr>
          <w:ilvl w:val="0"/>
          <w:numId w:val="1"/>
        </w:numPr>
        <w:spacing w:after="80"/>
      </w:pPr>
      <w:r>
        <w:t xml:space="preserve">Build the remaining modules (Attendance, Leave, Payroll, Reports) as the team's own work, using the AI-generated modules only as a structural reference.</w:t>
      </w:r>
    </w:p>
    <w:p>
      <w:pPr>
        <w:pStyle w:val="ListParagraph"/>
        <w:numPr>
          <w:ilvl w:val="0"/>
          <w:numId w:val="1"/>
        </w:numPr>
        <w:spacing w:after="80"/>
      </w:pPr>
      <w:r>
        <w:t xml:space="preserve">Be able to explain and defend any part of the codebase, AI-assisted or not, during the live presentation and Q&amp;A.</w:t>
      </w:r>
    </w:p>
    <w:p>
      <w:pPr>
        <w:pStyle w:val="ListParagraph"/>
        <w:numPr>
          <w:ilvl w:val="0"/>
          <w:numId w:val="1"/>
        </w:numPr>
        <w:spacing w:after="80"/>
      </w:pPr>
      <w:r>
        <w:t xml:space="preserve">Not represent AI-generated documentation analysis (e.g., test coverage numbers) as verified fact without actually running the described commands — see the Test Report's outstanding action items.</w:t>
      </w:r>
    </w:p>
    <w:p>
      <w:pPr>
        <w:pStyle w:val="Heading1"/>
        <w:spacing w:after="150" w:before="300"/>
      </w:pPr>
      <w:r>
        <w:t xml:space="preserve">4. Academic Integrity Declaration</w:t>
      </w:r>
    </w:p>
    <w:p>
      <w:pPr>
        <w:spacing w:after="160"/>
      </w:pPr>
      <w:r>
        <w:t xml:space="preserve">We, the undersigned team members, declare that:</w:t>
      </w:r>
    </w:p>
    <w:p>
      <w:pPr>
        <w:pStyle w:val="ListParagraph"/>
        <w:numPr>
          <w:ilvl w:val="0"/>
          <w:numId w:val="1"/>
        </w:numPr>
        <w:spacing w:after="80"/>
      </w:pPr>
      <w:r>
        <w:t xml:space="preserve">This submission represents our own understanding and effort, with AI assistance used and disclosed as described in Section 3 above, in accordance with the assessment's AI Usage Policy.</w:t>
      </w:r>
    </w:p>
    <w:p>
      <w:pPr>
        <w:pStyle w:val="ListParagraph"/>
        <w:numPr>
          <w:ilvl w:val="0"/>
          <w:numId w:val="1"/>
        </w:numPr>
        <w:spacing w:after="80"/>
      </w:pPr>
      <w:r>
        <w:t xml:space="preserve">We have not copied work from other students or teams, past or present.</w:t>
      </w:r>
    </w:p>
    <w:p>
      <w:pPr>
        <w:pStyle w:val="ListParagraph"/>
        <w:numPr>
          <w:ilvl w:val="0"/>
          <w:numId w:val="1"/>
        </w:numPr>
        <w:spacing w:after="80"/>
      </w:pPr>
      <w:r>
        <w:t xml:space="preserve">All external code, libraries, and resources used are acknowledged in Section 2.</w:t>
      </w:r>
    </w:p>
    <w:p>
      <w:pPr>
        <w:pStyle w:val="ListParagraph"/>
        <w:numPr>
          <w:ilvl w:val="0"/>
          <w:numId w:val="1"/>
        </w:numPr>
        <w:spacing w:after="80"/>
      </w:pPr>
      <w:r>
        <w:t xml:space="preserve">We understand that misrepresenting AI-generated work as entirely our own, or submitting code we do not understand, is a breach of academic integrity.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000"/>
      </w:tblGrid>
      <w:tr>
        <w:trPr>
          <w:tblHeader/>
        </w:trPr>
        <w:tc>
          <w:tcPr>
            <w:tcW w:type="dxa" w:w="3200"/>
            <w:shd w:fill="1F3864" w:val="clear"/>
            <w:vAlign w:val="center"/>
          </w:tcPr>
          <w:p>
            <w:r>
              <w:rPr>
                <w:b/>
                <w:bCs/>
                <w:color w:val="FFFFFF"/>
                <w:sz w:val="19"/>
                <w:szCs w:val="19"/>
              </w:rPr>
              <w:t xml:space="preserve">Name</w:t>
            </w:r>
          </w:p>
        </w:tc>
        <w:tc>
          <w:tcPr>
            <w:tcW w:type="dxa" w:w="3200"/>
            <w:shd w:fill="1F3864" w:val="clear"/>
            <w:vAlign w:val="center"/>
          </w:tcPr>
          <w:p>
            <w:r>
              <w:rPr>
                <w:b/>
                <w:bCs/>
                <w:color w:val="FFFFFF"/>
                <w:sz w:val="19"/>
                <w:szCs w:val="19"/>
              </w:rPr>
              <w:t xml:space="preserve">Student ID</w:t>
            </w:r>
          </w:p>
        </w:tc>
        <w:tc>
          <w:tcPr>
            <w:tcW w:type="dxa" w:w="3000"/>
            <w:shd w:fill="1F3864" w:val="clear"/>
            <w:vAlign w:val="center"/>
          </w:tcPr>
          <w:p>
            <w:r>
              <w:rPr>
                <w:b/>
                <w:bCs/>
                <w:color w:val="FFFFFF"/>
                <w:sz w:val="19"/>
                <w:szCs w:val="19"/>
              </w:rPr>
              <w:t xml:space="preserve">Signature</w:t>
            </w:r>
          </w:p>
        </w:tc>
      </w:tr>
      <w:tr>
        <w:tc>
          <w:tcPr>
            <w:tcW w:type="dxa" w:w="3200"/>
            <w:vAlign w:val="center"/>
          </w:tcPr>
          <w:p>
            <w:r>
              <w:rPr>
                <w:b w:val="false"/>
                <w:bCs w:val="false"/>
                <w:sz w:val="19"/>
                <w:szCs w:val="19"/>
              </w:rPr>
              <w:t xml:space="preserve"/>
            </w:r>
          </w:p>
        </w:tc>
        <w:tc>
          <w:tcPr>
            <w:tcW w:type="dxa" w:w="3200"/>
            <w:vAlign w:val="center"/>
          </w:tcPr>
          <w:p>
            <w:r>
              <w:rPr>
                <w:b w:val="false"/>
                <w:bCs w:val="false"/>
                <w:sz w:val="19"/>
                <w:szCs w:val="19"/>
              </w:rPr>
              <w:t xml:space="preserve"/>
            </w:r>
          </w:p>
        </w:tc>
        <w:tc>
          <w:tcPr>
            <w:tcW w:type="dxa" w:w="3000"/>
            <w:vAlign w:val="center"/>
          </w:tcPr>
          <w:p>
            <w:r>
              <w:rPr>
                <w:b w:val="false"/>
                <w:bCs w:val="false"/>
                <w:sz w:val="19"/>
                <w:szCs w:val="19"/>
              </w:rPr>
              <w:t xml:space="preserve"/>
            </w:r>
          </w:p>
        </w:tc>
      </w:tr>
      <w:tr>
        <w:tc>
          <w:tcPr>
            <w:tcW w:type="dxa" w:w="3200"/>
            <w:vAlign w:val="center"/>
          </w:tcPr>
          <w:p>
            <w:r>
              <w:rPr>
                <w:b w:val="false"/>
                <w:bCs w:val="false"/>
                <w:sz w:val="19"/>
                <w:szCs w:val="19"/>
              </w:rPr>
              <w:t xml:space="preserve"/>
            </w:r>
          </w:p>
        </w:tc>
        <w:tc>
          <w:tcPr>
            <w:tcW w:type="dxa" w:w="3200"/>
            <w:vAlign w:val="center"/>
          </w:tcPr>
          <w:p>
            <w:r>
              <w:rPr>
                <w:b w:val="false"/>
                <w:bCs w:val="false"/>
                <w:sz w:val="19"/>
                <w:szCs w:val="19"/>
              </w:rPr>
              <w:t xml:space="preserve"/>
            </w:r>
          </w:p>
        </w:tc>
        <w:tc>
          <w:tcPr>
            <w:tcW w:type="dxa" w:w="3000"/>
            <w:vAlign w:val="center"/>
          </w:tcPr>
          <w:p>
            <w:r>
              <w:rPr>
                <w:b w:val="false"/>
                <w:bCs w:val="false"/>
                <w:sz w:val="19"/>
                <w:szCs w:val="19"/>
              </w:rPr>
              <w:t xml:space="preserve"/>
            </w:r>
          </w:p>
        </w:tc>
      </w:tr>
      <w:tr>
        <w:tc>
          <w:tcPr>
            <w:tcW w:type="dxa" w:w="3200"/>
            <w:vAlign w:val="center"/>
          </w:tcPr>
          <w:p>
            <w:r>
              <w:rPr>
                <w:b w:val="false"/>
                <w:bCs w:val="false"/>
                <w:sz w:val="19"/>
                <w:szCs w:val="19"/>
              </w:rPr>
              <w:t xml:space="preserve"/>
            </w:r>
          </w:p>
        </w:tc>
        <w:tc>
          <w:tcPr>
            <w:tcW w:type="dxa" w:w="3200"/>
            <w:vAlign w:val="center"/>
          </w:tcPr>
          <w:p>
            <w:r>
              <w:rPr>
                <w:b w:val="false"/>
                <w:bCs w:val="false"/>
                <w:sz w:val="19"/>
                <w:szCs w:val="19"/>
              </w:rPr>
              <w:t xml:space="preserve"/>
            </w:r>
          </w:p>
        </w:tc>
        <w:tc>
          <w:tcPr>
            <w:tcW w:type="dxa" w:w="3000"/>
            <w:vAlign w:val="center"/>
          </w:tcPr>
          <w:p>
            <w:r>
              <w:rPr>
                <w:b w:val="false"/>
                <w:bCs w:val="false"/>
                <w:sz w:val="19"/>
                <w:szCs w:val="19"/>
              </w:rPr>
              <w:t xml:space="preserve"/>
            </w:r>
          </w:p>
        </w:tc>
      </w:tr>
    </w:tbl>
    <w:p>
      <w:pPr>
        <w:spacing w:after="160"/>
      </w:pPr>
      <w:r>
        <w:t xml:space="preserve">Date: 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2026-08-26T22:47:30.575Z</dcterms:created>
  <dcterms:modified xsi:type="dcterms:W3CDTF">2026-08-26T22:47:30.575Z</dcterms:modified>
</cp:coreProperties>
</file>

<file path=docProps/custom.xml><?xml version="1.0" encoding="utf-8"?>
<Properties xmlns="http://schemas.openxmlformats.org/officeDocument/2006/custom-properties" xmlns:vt="http://schemas.openxmlformats.org/officeDocument/2006/docPropsVTypes"/>
</file>