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Quercus Coffee SAS</w:t>
      </w:r>
    </w:p>
    <w:p/>
    <w:p>
      <w:r>
        <w:rPr>
          <w:b/>
        </w:rPr>
        <w:t xml:space="preserve">Total de citas programadas: </w:t>
      </w:r>
      <w:r>
        <w:t>9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FRANJA HORARIA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MESA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COMPRADOR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10:15 - 10:30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ORIGEN CALDAS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10:30 - 10:45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PROCOLOMBIA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10:45 - 11:00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INMERSSO BOUTIQUE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11:00 - 11:15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NEIRA YORK COFFEE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11:15 - 11:30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BOX BRAND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11:30 - 11:45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COLFRESH COFFEE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11:45 - 12:00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CAFÉ MOLINA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12:00 - 12:15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KUNDE - ARMANDO VELÁSQUEZ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12:15 - 12:30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REGIONAL SAS</w:t>
            </w:r>
          </w:p>
        </w:tc>
      </w:tr>
    </w:tbl>
    <w:p/>
    <w:p>
      <w:pPr>
        <w:jc w:val="center"/>
      </w:pPr>
      <w:r>
        <w:rPr>
          <w:b/>
        </w:rPr>
        <w:t xml:space="preserve">Nota: </w:t>
      </w:r>
      <w:r>
        <w:t>Complete la columna 'Mesa' según la asignación del evento.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