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5BF" w:rsidRPr="00FF448B" w:rsidRDefault="003565BF" w:rsidP="003565BF">
      <w:pPr>
        <w:pStyle w:val="Caption"/>
        <w:keepNext/>
        <w:jc w:val="center"/>
        <w:rPr>
          <w:noProof/>
        </w:rPr>
      </w:pPr>
      <w:bookmarkStart w:id="0" w:name="_Ref172561975"/>
      <w:r w:rsidRPr="00FF448B">
        <w:rPr>
          <w:noProof/>
        </w:rPr>
        <w:t xml:space="preserve">Table </w:t>
      </w:r>
      <w:r w:rsidRPr="00FF448B">
        <w:rPr>
          <w:noProof/>
        </w:rPr>
        <w:fldChar w:fldCharType="begin"/>
      </w:r>
      <w:r w:rsidRPr="00FF448B">
        <w:rPr>
          <w:noProof/>
        </w:rPr>
        <w:instrText xml:space="preserve"> SEQ Table \* ARABIC </w:instrText>
      </w:r>
      <w:r w:rsidRPr="00FF448B">
        <w:rPr>
          <w:noProof/>
        </w:rPr>
        <w:fldChar w:fldCharType="separate"/>
      </w:r>
      <w:r>
        <w:rPr>
          <w:noProof/>
        </w:rPr>
        <w:t>2</w:t>
      </w:r>
      <w:r w:rsidRPr="00FF448B">
        <w:rPr>
          <w:noProof/>
        </w:rPr>
        <w:fldChar w:fldCharType="end"/>
      </w:r>
      <w:bookmarkEnd w:id="0"/>
      <w:r w:rsidRPr="00FF448B">
        <w:rPr>
          <w:noProof/>
        </w:rPr>
        <w:t xml:space="preserve">: Induction times, activation energies, and associated monomolecular hydroperoxide decomposition rate constants, compared with literature data. Sources: A: </w:t>
      </w:r>
      <w:hyperlink w:anchor="_ENREF_63" w:tooltip="Richaud, 2012 #8" w:history="1">
        <w:r w:rsidRPr="00FF448B">
          <w:rPr>
            <w:noProof/>
          </w:rPr>
          <w:fldChar w:fldCharType="begin"/>
        </w:r>
        <w:r w:rsidRPr="00FF448B">
          <w:rPr>
            <w:noProof/>
          </w:rPr>
          <w:instrText xml:space="preserve"> ADDIN EN.CITE &lt;EndNote&gt;&lt;Cite AuthorYear="1"&gt;&lt;Author&gt;Richaud&lt;/Author&gt;&lt;Year&gt;2012&lt;/Year&gt;&lt;RecNum&gt;8&lt;/RecNum&gt;&lt;DisplayText&gt;Richaud, Audouin, Fayolle, Verdu, and Matisova-Rychla (2012)&lt;/DisplayText&gt;&lt;record&gt;&lt;rec-number&gt;8&lt;/rec-number&gt;&lt;foreign-keys&gt;&lt;key app="EN" db-id="a5dv0dwvnwr2znefv2ipvdf5x9299rdesf0e" timestamp="1641984876"&gt;8&lt;/key&gt;&lt;/foreign-keys&gt;&lt;ref-type name="Journal Article"&gt;17&lt;/ref-type&gt;&lt;contributors&gt;&lt;authors&gt;&lt;author&gt;Richaud, E.&lt;/author&gt;&lt;author&gt;Audouin, L.&lt;/author&gt;&lt;author&gt;Fayolle, B.&lt;/author&gt;&lt;author&gt;Verdu, J.&lt;/author&gt;&lt;author&gt;Matisova-Rychla, L.&lt;/author&gt;&lt;/authors&gt;&lt;/contributors&gt;&lt;titles&gt;&lt;title&gt;Rate constants of oxidation of unsaturated fatty esters studied by chemiluminescence&lt;/title&gt;&lt;secondary-title&gt;Chemistry and Physics of Lipids&lt;/secondary-title&gt;&lt;/titles&gt;&lt;periodical&gt;&lt;full-title&gt;Chemistry and Physics of Lipids&lt;/full-title&gt;&lt;/periodical&gt;&lt;pages&gt;753-759&lt;/pages&gt;&lt;volume&gt;165&lt;/volume&gt;&lt;dates&gt;&lt;year&gt;2012&lt;/year&gt;&lt;/dates&gt;&lt;urls&gt;&lt;/urls&gt;&lt;/record&gt;&lt;/Cite&gt;&lt;/EndNote&gt;</w:instrText>
        </w:r>
        <w:r w:rsidRPr="00FF448B">
          <w:rPr>
            <w:noProof/>
          </w:rPr>
          <w:fldChar w:fldCharType="separate"/>
        </w:r>
        <w:r w:rsidRPr="00FF448B">
          <w:rPr>
            <w:noProof/>
          </w:rPr>
          <w:t>Richaud, Audouin, Fayolle, Verdu, and Matisova-Rychla (2012)</w:t>
        </w:r>
        <w:r w:rsidRPr="00FF448B">
          <w:rPr>
            <w:noProof/>
          </w:rPr>
          <w:fldChar w:fldCharType="end"/>
        </w:r>
      </w:hyperlink>
      <w:r w:rsidRPr="00FF448B">
        <w:rPr>
          <w:noProof/>
        </w:rPr>
        <w:t xml:space="preserve">, B: </w:t>
      </w:r>
      <w:hyperlink w:anchor="_ENREF_75" w:tooltip="Touffet, 2021 #2" w:history="1">
        <w:r w:rsidRPr="00FF448B">
          <w:rPr>
            <w:noProof/>
          </w:rPr>
          <w:fldChar w:fldCharType="begin"/>
        </w:r>
        <w:r w:rsidRPr="00FF448B">
          <w:rPr>
            <w:noProof/>
          </w:rPr>
          <w:instrText xml:space="preserve"> ADDIN EN.CITE &lt;EndNote&gt;&lt;Cite AuthorYear="1"&gt;&lt;Author&gt;Touffet&lt;/Author&gt;&lt;Year&gt;2021&lt;/Year&gt;&lt;RecNum&gt;2&lt;/RecNum&gt;&lt;DisplayText&gt;M. Touffet, Allouche, Ariane, and Vitrac (2021)&lt;/DisplayText&gt;&lt;record&gt;&lt;rec-number&gt;2&lt;/rec-number&gt;&lt;foreign-keys&gt;&lt;key app="EN" db-id="a5dv0dwvnwr2znefv2ipvdf5x9299rdesf0e" timestamp="1641913905"&gt;2&lt;/key&gt;&lt;/foreign-keys&gt;&lt;ref-type name="Journal Article"&gt;17&lt;/ref-type&gt;&lt;contributors&gt;&lt;authors&gt;&lt;author&gt;Touffet, M.&lt;/author&gt;&lt;author&gt;Allouche, M.H.&lt;/author&gt;&lt;author&gt;Ariane, M.&lt;/author&gt;&lt;author&gt;Vitrac, O.&lt;/author&gt;&lt;/authors&gt;&lt;/contributors&gt;&lt;titles&gt;&lt;title&gt;Coupling between oxidation kinetics and anisothermal oil flow during deep-fat frying&lt;/title&gt;&lt;secondary-title&gt;Physics of Fluids&lt;/secondary-title&gt;&lt;/titles&gt;&lt;periodical&gt;&lt;full-title&gt;Physics of Fluids&lt;/full-title&gt;&lt;/periodical&gt;&lt;pages&gt;1-16&lt;/pages&gt;&lt;volume&gt;33&lt;/volume&gt;&lt;number&gt;085105&lt;/number&gt;&lt;dates&gt;&lt;year&gt;2021&lt;/year&gt;&lt;/dates&gt;&lt;urls&gt;&lt;related-urls&gt;&lt;url&gt;https://aip.scitation.org/doi/abs/10.1063/5.0055873&lt;/url&gt;&lt;/related-urls&gt;&lt;/urls&gt;&lt;electronic-resource-num&gt;10.1063/5.0055873&lt;/electronic-resource-num&gt;&lt;/record&gt;&lt;/Cite&gt;&lt;/EndNote&gt;</w:instrText>
        </w:r>
        <w:r w:rsidRPr="00FF448B">
          <w:rPr>
            <w:noProof/>
          </w:rPr>
          <w:fldChar w:fldCharType="separate"/>
        </w:r>
        <w:r w:rsidRPr="00FF448B">
          <w:rPr>
            <w:noProof/>
          </w:rPr>
          <w:t>M. Touffet, Allouche, Ariane, and Vitrac (2021)</w:t>
        </w:r>
        <w:r w:rsidRPr="00FF448B">
          <w:rPr>
            <w:noProof/>
          </w:rPr>
          <w:fldChar w:fldCharType="end"/>
        </w:r>
      </w:hyperlink>
      <w:r w:rsidRPr="00FF448B">
        <w:rPr>
          <w:noProof/>
        </w:rPr>
        <w:t xml:space="preserve">, C: </w:t>
      </w:r>
      <w:hyperlink w:anchor="_ENREF_77" w:tooltip="Touffet, 2023 #11" w:history="1">
        <w:r w:rsidRPr="00FF448B">
          <w:rPr>
            <w:noProof/>
          </w:rPr>
          <w:fldChar w:fldCharType="begin"/>
        </w:r>
        <w:r w:rsidRPr="00FF448B">
          <w:rPr>
            <w:noProof/>
          </w:rPr>
          <w:instrText xml:space="preserve"> ADDIN EN.CITE &lt;EndNote&gt;&lt;Cite AuthorYear="1"&gt;&lt;Author&gt;Touffet&lt;/Author&gt;&lt;Year&gt;2023&lt;/Year&gt;&lt;RecNum&gt;11&lt;/RecNum&gt;&lt;DisplayText&gt;Maxime Touffet, Smith, and Vitrac (2023)&lt;/DisplayText&gt;&lt;record&gt;&lt;rec-number&gt;11&lt;/rec-number&gt;&lt;foreign-keys&gt;&lt;key app="EN" db-id="a5dv0dwvnwr2znefv2ipvdf5x9299rdesf0e" timestamp="1708620496"&gt;11&lt;/key&gt;&lt;/foreign-keys&gt;&lt;ref-type name="Journal Article"&gt;17&lt;/ref-type&gt;&lt;contributors&gt;&lt;authors&gt;&lt;author&gt;Touffet, Maxime&lt;/author&gt;&lt;author&gt;Smith, Paul&lt;/author&gt;&lt;author&gt;Vitrac, Olivier&lt;/author&gt;&lt;/authors&gt;&lt;/contributors&gt;&lt;titles&gt;&lt;title&gt;A comprehensive two-scale model for predicting the oxidizability of fatty acid methyl ester mixtures&lt;/title&gt;&lt;secondary-title&gt;Food Research International&lt;/secondary-title&gt;&lt;/titles&gt;&lt;periodical&gt;&lt;full-title&gt;Food Research International&lt;/full-title&gt;&lt;/periodical&gt;&lt;pages&gt;113289&lt;/pages&gt;&lt;volume&gt;173&lt;/volume&gt;&lt;keywords&gt;&lt;keyword&gt;Oil thermooxidation&lt;/keyword&gt;&lt;keyword&gt;Predictive modeling&lt;/keyword&gt;&lt;keyword&gt;Fatty acid methyl esters&lt;/keyword&gt;&lt;keyword&gt;Oxidation&lt;/keyword&gt;&lt;keyword&gt;Co-oxidation&lt;/keyword&gt;&lt;keyword&gt;Geometric mean rule&lt;/keyword&gt;&lt;keyword&gt;Hydroperoxides&lt;/keyword&gt;&lt;keyword&gt;Radical-chain reactions&lt;/keyword&gt;&lt;/keywords&gt;&lt;dates&gt;&lt;year&gt;2023&lt;/year&gt;&lt;pub-dates&gt;&lt;date&gt;2023/11/01/&lt;/date&gt;&lt;/pub-dates&gt;&lt;/dates&gt;&lt;isbn&gt;0963-9969&lt;/isbn&gt;&lt;urls&gt;&lt;related-urls&gt;&lt;url&gt;https://www.sciencedirect.com/science/article/pii/S0963996923008347&lt;/url&gt;&lt;/related-urls&gt;&lt;/urls&gt;&lt;electronic-resource-num&gt;https://doi.org/10.1016/j.foodres.2023.113289&lt;/electronic-resource-num&gt;&lt;/record&gt;&lt;/Cite&gt;&lt;/EndNote&gt;</w:instrText>
        </w:r>
        <w:r w:rsidRPr="00FF448B">
          <w:rPr>
            <w:noProof/>
          </w:rPr>
          <w:fldChar w:fldCharType="separate"/>
        </w:r>
        <w:r w:rsidRPr="00FF448B">
          <w:rPr>
            <w:noProof/>
          </w:rPr>
          <w:t>Maxime Touffet, Smith, and Vitrac (2023)</w:t>
        </w:r>
        <w:r w:rsidRPr="00FF448B">
          <w:rPr>
            <w:noProof/>
          </w:rPr>
          <w:fldChar w:fldCharType="end"/>
        </w:r>
      </w:hyperlink>
      <w:r w:rsidRPr="00FF448B">
        <w:rPr>
          <w:noProof/>
        </w:rPr>
        <w:t xml:space="preserve">  D: </w:t>
      </w:r>
      <w:hyperlink w:anchor="_ENREF_83" w:tooltip="Yanishlieva, 1973 #104" w:history="1">
        <w:r w:rsidRPr="00FF448B">
          <w:rPr>
            <w:noProof/>
          </w:rPr>
          <w:fldChar w:fldCharType="begin"/>
        </w:r>
        <w:r w:rsidRPr="00FF448B">
          <w:rPr>
            <w:noProof/>
          </w:rPr>
          <w:instrText xml:space="preserve"> ADDIN EN.CITE &lt;EndNote&gt;&lt;Cite AuthorYear="1"&gt;&lt;Author&gt;Yanishlieva&lt;/Author&gt;&lt;Year&gt;1973&lt;/Year&gt;&lt;RecNum&gt;104&lt;/RecNum&gt;&lt;DisplayText&gt;Yanishlieva (1973)&lt;/DisplayText&gt;&lt;record&gt;&lt;rec-number&gt;104&lt;/rec-number&gt;&lt;foreign-keys&gt;&lt;key app="EN" db-id="a5dv0dwvnwr2znefv2ipvdf5x9299rdesf0e" timestamp="1721733827"&gt;104&lt;/key&gt;&lt;/foreign-keys&gt;&lt;ref-type name="Journal Article"&gt;17&lt;/ref-type&gt;&lt;contributors&gt;&lt;authors&gt;&lt;author&gt;Yanishlieva, N.&lt;/author&gt;&lt;/authors&gt;&lt;/contributors&gt;&lt;titles&gt;&lt;title&gt;Über einige eigent€umlichkeiten in der kinetik zu beginn der autoxydation von estern ungesättigter fettsäuren 5. Mitt. Über den mechanismus des hydroperoxidabbaus&lt;/title&gt;&lt;secondary-title&gt;Nahrung&lt;/secondary-title&gt;&lt;/titles&gt;&lt;periodical&gt;&lt;full-title&gt;Nahrung&lt;/full-title&gt;&lt;/periodical&gt;&lt;pages&gt;313-322&lt;/pages&gt;&lt;volume&gt;17&lt;/volume&gt;&lt;number&gt;3&lt;/number&gt;&lt;dates&gt;&lt;year&gt;1973&lt;/year&gt;&lt;/dates&gt;&lt;urls&gt;&lt;/urls&gt;&lt;/record&gt;&lt;/Cite&gt;&lt;/EndNote&gt;</w:instrText>
        </w:r>
        <w:r w:rsidRPr="00FF448B">
          <w:rPr>
            <w:noProof/>
          </w:rPr>
          <w:fldChar w:fldCharType="separate"/>
        </w:r>
        <w:r w:rsidRPr="00FF448B">
          <w:rPr>
            <w:noProof/>
          </w:rPr>
          <w:t>Yanishlieva (1973)</w:t>
        </w:r>
        <w:r w:rsidRPr="00FF448B">
          <w:rPr>
            <w:noProof/>
          </w:rPr>
          <w:fldChar w:fldCharType="end"/>
        </w:r>
      </w:hyperlink>
      <w:r w:rsidRPr="00FF448B">
        <w:rPr>
          <w:noProof/>
        </w:rPr>
        <w:t xml:space="preserve">, E: </w:t>
      </w:r>
      <w:hyperlink w:anchor="_ENREF_32" w:tooltip="Hatate, 1989 #103" w:history="1">
        <w:r w:rsidRPr="00FF448B">
          <w:rPr>
            <w:noProof/>
          </w:rPr>
          <w:fldChar w:fldCharType="begin"/>
        </w:r>
        <w:r w:rsidRPr="00FF448B">
          <w:rPr>
            <w:noProof/>
          </w:rPr>
          <w:instrText xml:space="preserve"> ADDIN EN.CITE &lt;EndNote&gt;&lt;Cite AuthorYear="1"&gt;&lt;Author&gt;Hatate&lt;/Author&gt;&lt;Year&gt;1989&lt;/Year&gt;&lt;RecNum&gt;103&lt;/RecNum&gt;&lt;DisplayText&gt;Hatate, Kawano, and Sone (1989)&lt;/DisplayText&gt;&lt;record&gt;&lt;rec-number&gt;103&lt;/rec-number&gt;&lt;foreign-keys&gt;&lt;key app="EN" db-id="a5dv0dwvnwr2znefv2ipvdf5x9299rdesf0e" timestamp="1721733392"&gt;103&lt;/key&gt;&lt;/foreign-keys&gt;&lt;ref-type name="Journal Article"&gt;17&lt;/ref-type&gt;&lt;contributors&gt;&lt;authors&gt;&lt;author&gt;Hatate, Yasuo&lt;/author&gt;&lt;author&gt;Kawano, Yoshinobu&lt;/author&gt;&lt;author&gt;Sone, Hideki&lt;/author&gt;&lt;/authors&gt;&lt;/contributors&gt;&lt;titles&gt;&lt;title&gt;Autoxidation Rates of Oleic Acid and Oleates&lt;/title&gt;&lt;secondary-title&gt;JOURNAL OF CHEMICAL ENGINEERING OF JAPAN&lt;/secondary-title&gt;&lt;/titles&gt;&lt;periodical&gt;&lt;full-title&gt;JOURNAL OF CHEMICAL ENGINEERING OF JAPAN&lt;/full-title&gt;&lt;/periodical&gt;&lt;pages&gt;407-412&lt;/pages&gt;&lt;volume&gt;22&lt;/volume&gt;&lt;number&gt;4&lt;/number&gt;&lt;dates&gt;&lt;year&gt;1989&lt;/year&gt;&lt;/dates&gt;&lt;urls&gt;&lt;/urls&gt;&lt;electronic-resource-num&gt;10.1252/jcej.22.407&lt;/electronic-resource-num&gt;&lt;/record&gt;&lt;/Cite&gt;&lt;/EndNote&gt;</w:instrText>
        </w:r>
        <w:r w:rsidRPr="00FF448B">
          <w:rPr>
            <w:noProof/>
          </w:rPr>
          <w:fldChar w:fldCharType="separate"/>
        </w:r>
        <w:r w:rsidRPr="00FF448B">
          <w:rPr>
            <w:noProof/>
          </w:rPr>
          <w:t>Hatate, Kawano, and Sone (1989)</w:t>
        </w:r>
        <w:r w:rsidRPr="00FF448B">
          <w:rPr>
            <w:noProof/>
          </w:rPr>
          <w:fldChar w:fldCharType="end"/>
        </w:r>
      </w:hyperlink>
      <w:r w:rsidRPr="00FF448B">
        <w:rPr>
          <w:noProof/>
        </w:rPr>
        <w:t>. * Determined from induction times.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4106"/>
        <w:gridCol w:w="1957"/>
        <w:gridCol w:w="1870"/>
        <w:gridCol w:w="1843"/>
      </w:tblGrid>
      <w:tr w:rsidR="003565BF" w:rsidRPr="0007420B" w:rsidTr="009A5A16">
        <w:trPr>
          <w:jc w:val="center"/>
        </w:trPr>
        <w:tc>
          <w:tcPr>
            <w:tcW w:w="4106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r w:rsidRPr="0007420B">
              <w:rPr>
                <w:rFonts w:ascii="Arial Narrow" w:hAnsi="Arial Narrow"/>
              </w:rPr>
              <w:t>FAME</w:t>
            </w:r>
          </w:p>
        </w:tc>
        <w:tc>
          <w:tcPr>
            <w:tcW w:w="1957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proofErr w:type="spellStart"/>
            <w:r w:rsidRPr="0007420B">
              <w:rPr>
                <w:rFonts w:ascii="Arial Narrow" w:hAnsi="Arial Narrow"/>
              </w:rPr>
              <w:t>Methyl</w:t>
            </w:r>
            <w:proofErr w:type="spellEnd"/>
            <w:r w:rsidRPr="0007420B">
              <w:rPr>
                <w:rFonts w:ascii="Arial Narrow" w:hAnsi="Arial Narrow"/>
              </w:rPr>
              <w:t xml:space="preserve"> oleate</w:t>
            </w:r>
          </w:p>
        </w:tc>
        <w:tc>
          <w:tcPr>
            <w:tcW w:w="1870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proofErr w:type="spellStart"/>
            <w:r w:rsidRPr="0007420B">
              <w:rPr>
                <w:rFonts w:ascii="Arial Narrow" w:hAnsi="Arial Narrow"/>
              </w:rPr>
              <w:t>Methyl</w:t>
            </w:r>
            <w:proofErr w:type="spellEnd"/>
            <w:r w:rsidRPr="0007420B">
              <w:rPr>
                <w:rFonts w:ascii="Arial Narrow" w:hAnsi="Arial Narrow"/>
              </w:rPr>
              <w:t xml:space="preserve"> linoleate</w:t>
            </w:r>
          </w:p>
        </w:tc>
        <w:tc>
          <w:tcPr>
            <w:tcW w:w="1843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proofErr w:type="spellStart"/>
            <w:r w:rsidRPr="0007420B">
              <w:rPr>
                <w:rFonts w:ascii="Arial Narrow" w:hAnsi="Arial Narrow"/>
              </w:rPr>
              <w:t>Methyl</w:t>
            </w:r>
            <w:proofErr w:type="spellEnd"/>
            <w:r w:rsidRPr="0007420B">
              <w:rPr>
                <w:rFonts w:ascii="Arial Narrow" w:hAnsi="Arial Narrow"/>
              </w:rPr>
              <w:t xml:space="preserve"> linolenate</w:t>
            </w:r>
          </w:p>
        </w:tc>
      </w:tr>
      <w:tr w:rsidR="003565BF" w:rsidRPr="0007420B" w:rsidTr="009A5A16">
        <w:trPr>
          <w:jc w:val="center"/>
        </w:trPr>
        <w:tc>
          <w:tcPr>
            <w:tcW w:w="4106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15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3pt;height:20.65pt" o:ole="">
                  <v:imagedata r:id="rId4" o:title=""/>
                </v:shape>
                <o:OLEObject Type="Embed" ProgID="Equation.DSMT4" ShapeID="_x0000_i1025" DrawAspect="Content" ObjectID="_1801384167" r:id="rId5"/>
              </w:object>
            </w:r>
            <w:r>
              <w:rPr>
                <w:rFonts w:ascii="Arial Narrow" w:hAnsi="Arial Narrow"/>
              </w:rPr>
              <w:t>(s)</w:t>
            </w:r>
          </w:p>
        </w:tc>
        <w:tc>
          <w:tcPr>
            <w:tcW w:w="1957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r w:rsidRPr="0007420B">
              <w:rPr>
                <w:rFonts w:ascii="Arial Narrow" w:hAnsi="Arial Narrow"/>
              </w:rPr>
              <w:t>1057</w:t>
            </w:r>
          </w:p>
        </w:tc>
        <w:tc>
          <w:tcPr>
            <w:tcW w:w="1870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r w:rsidRPr="0007420B">
              <w:rPr>
                <w:rFonts w:ascii="Arial Narrow" w:hAnsi="Arial Narrow"/>
              </w:rPr>
              <w:t>140</w:t>
            </w:r>
          </w:p>
        </w:tc>
        <w:tc>
          <w:tcPr>
            <w:tcW w:w="1843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r w:rsidRPr="0007420B">
              <w:rPr>
                <w:rFonts w:ascii="Arial Narrow" w:hAnsi="Arial Narrow"/>
              </w:rPr>
              <w:t>85</w:t>
            </w:r>
          </w:p>
        </w:tc>
      </w:tr>
      <w:tr w:rsidR="003565BF" w:rsidRPr="0007420B" w:rsidTr="009A5A16">
        <w:trPr>
          <w:jc w:val="center"/>
        </w:trPr>
        <w:tc>
          <w:tcPr>
            <w:tcW w:w="4106" w:type="dxa"/>
          </w:tcPr>
          <w:p w:rsidR="003565BF" w:rsidRPr="0007420B" w:rsidRDefault="003565BF" w:rsidP="00F40099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1359" w:dyaOrig="400">
                <v:shape id="_x0000_i1026" type="#_x0000_t75" style="width:67.7pt;height:20.65pt" o:ole="">
                  <v:imagedata r:id="rId6" o:title=""/>
                </v:shape>
                <o:OLEObject Type="Embed" ProgID="Equation.DSMT4" ShapeID="_x0000_i1026" DrawAspect="Content" ObjectID="_1801384168" r:id="rId7"/>
              </w:objec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from</w:t>
            </w:r>
            <w:proofErr w:type="spellEnd"/>
            <w:r>
              <w:rPr>
                <w:rFonts w:ascii="Arial Narrow" w:hAnsi="Arial Narrow"/>
              </w:rPr>
              <w:t xml:space="preserve"> Eq</w:t>
            </w:r>
            <w:proofErr w:type="gramStart"/>
            <w:r>
              <w:rPr>
                <w:rFonts w:ascii="Arial Narrow" w:hAnsi="Arial Narrow"/>
              </w:rPr>
              <w:t>.(</w:t>
            </w:r>
            <w:proofErr w:type="gramEnd"/>
            <w:r w:rsidR="00F40099">
              <w:rPr>
                <w:rFonts w:ascii="Arial Narrow" w:hAnsi="Arial Narrow"/>
              </w:rPr>
              <w:t>S3</w:t>
            </w:r>
            <w:bookmarkStart w:id="1" w:name="_GoBack"/>
            <w:bookmarkEnd w:id="1"/>
            <w:r>
              <w:rPr>
                <w:rFonts w:ascii="Arial Narrow" w:hAnsi="Arial Narrow"/>
              </w:rPr>
              <w:t>) (s</w:t>
            </w:r>
            <w:r w:rsidRPr="00C3477D">
              <w:rPr>
                <w:rFonts w:ascii="Arial Narrow" w:hAnsi="Arial Narrow"/>
                <w:vertAlign w:val="superscript"/>
              </w:rPr>
              <w:t>-1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1957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3.65·10</w:t>
            </w:r>
            <w:r w:rsidRPr="003042F5">
              <w:rPr>
                <w:rFonts w:ascii="Arial Narrow" w:hAnsi="Arial Narrow"/>
                <w:vertAlign w:val="superscript"/>
              </w:rPr>
              <w:t>-4</w:t>
            </w:r>
          </w:p>
        </w:tc>
        <w:tc>
          <w:tcPr>
            <w:tcW w:w="1870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2.8·10</w:t>
            </w:r>
            <w:r>
              <w:rPr>
                <w:rFonts w:ascii="Arial Narrow" w:hAnsi="Arial Narrow"/>
                <w:vertAlign w:val="superscript"/>
              </w:rPr>
              <w:t>-3</w:t>
            </w:r>
          </w:p>
        </w:tc>
        <w:tc>
          <w:tcPr>
            <w:tcW w:w="1843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4.5·10</w:t>
            </w:r>
            <w:r>
              <w:rPr>
                <w:rFonts w:ascii="Arial Narrow" w:hAnsi="Arial Narrow"/>
                <w:vertAlign w:val="superscript"/>
              </w:rPr>
              <w:t>-3</w:t>
            </w:r>
          </w:p>
        </w:tc>
      </w:tr>
      <w:tr w:rsidR="003565BF" w:rsidRPr="0007420B" w:rsidTr="009A5A16">
        <w:trPr>
          <w:jc w:val="center"/>
        </w:trPr>
        <w:tc>
          <w:tcPr>
            <w:tcW w:w="4106" w:type="dxa"/>
          </w:tcPr>
          <w:p w:rsidR="003565BF" w:rsidRPr="003042F5" w:rsidRDefault="003565BF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1359" w:dyaOrig="400">
                <v:shape id="_x0000_i1027" type="#_x0000_t75" style="width:67.7pt;height:20.65pt" o:ole="">
                  <v:imagedata r:id="rId8" o:title=""/>
                </v:shape>
                <o:OLEObject Type="Embed" ProgID="Equation.DSMT4" ShapeID="_x0000_i1027" DrawAspect="Content" ObjectID="_1801384169" r:id="rId9"/>
              </w:objec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from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literature</w:t>
            </w:r>
            <w:proofErr w:type="spellEnd"/>
            <w:r>
              <w:rPr>
                <w:rFonts w:ascii="Arial Narrow" w:hAnsi="Arial Narrow"/>
              </w:rPr>
              <w:t xml:space="preserve"> (s</w:t>
            </w:r>
            <w:r w:rsidRPr="00C3477D">
              <w:rPr>
                <w:rFonts w:ascii="Arial Narrow" w:hAnsi="Arial Narrow"/>
                <w:vertAlign w:val="superscript"/>
              </w:rPr>
              <w:t>-1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1957" w:type="dxa"/>
          </w:tcPr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2.59·10</w:t>
            </w:r>
            <w:r w:rsidRPr="00F85E18">
              <w:rPr>
                <w:rFonts w:ascii="Arial Narrow" w:hAnsi="Arial Narrow"/>
                <w:vertAlign w:val="superscript"/>
              </w:rPr>
              <w:t>-4</w:t>
            </w:r>
            <w:r>
              <w:rPr>
                <w:rFonts w:ascii="Arial Narrow" w:hAnsi="Arial Narrow"/>
                <w:vertAlign w:val="superscript"/>
              </w:rPr>
              <w:t xml:space="preserve"> A*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(2.11±1.86)·10</w:t>
            </w:r>
            <w:r w:rsidRPr="00F85E18">
              <w:rPr>
                <w:rFonts w:ascii="Arial Narrow" w:hAnsi="Arial Narrow"/>
                <w:vertAlign w:val="superscript"/>
              </w:rPr>
              <w:t>-4</w:t>
            </w:r>
            <w:r>
              <w:rPr>
                <w:rFonts w:ascii="Arial Narrow" w:hAnsi="Arial Narrow"/>
                <w:vertAlign w:val="superscript"/>
              </w:rPr>
              <w:t xml:space="preserve"> B</w:t>
            </w:r>
          </w:p>
          <w:p w:rsidR="003565BF" w:rsidRPr="00F85E18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3.00·10</w:t>
            </w:r>
            <w:r w:rsidRPr="00F85E18">
              <w:rPr>
                <w:rFonts w:ascii="Arial Narrow" w:hAnsi="Arial Narrow"/>
                <w:vertAlign w:val="superscript"/>
              </w:rPr>
              <w:t>-4</w:t>
            </w:r>
            <w:r>
              <w:rPr>
                <w:rFonts w:ascii="Arial Narrow" w:hAnsi="Arial Narrow"/>
                <w:vertAlign w:val="superscript"/>
              </w:rPr>
              <w:t xml:space="preserve"> C</w:t>
            </w:r>
          </w:p>
        </w:tc>
        <w:tc>
          <w:tcPr>
            <w:tcW w:w="1870" w:type="dxa"/>
          </w:tcPr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0.73·10</w:t>
            </w:r>
            <w:r>
              <w:rPr>
                <w:rFonts w:ascii="Arial Narrow" w:hAnsi="Arial Narrow"/>
                <w:vertAlign w:val="superscript"/>
              </w:rPr>
              <w:t xml:space="preserve">-3 D: 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3.1·10</w:t>
            </w:r>
            <w:r>
              <w:rPr>
                <w:rFonts w:ascii="Arial Narrow" w:hAnsi="Arial Narrow"/>
                <w:vertAlign w:val="superscript"/>
              </w:rPr>
              <w:t>-3 A*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(0.59±0.52)·10</w:t>
            </w:r>
            <w:r>
              <w:rPr>
                <w:rFonts w:ascii="Arial Narrow" w:hAnsi="Arial Narrow"/>
                <w:vertAlign w:val="superscript"/>
              </w:rPr>
              <w:t>-3 B</w:t>
            </w:r>
          </w:p>
          <w:p w:rsidR="003565BF" w:rsidRPr="00F85E18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0.70·10</w:t>
            </w:r>
            <w:r>
              <w:rPr>
                <w:rFonts w:ascii="Arial Narrow" w:hAnsi="Arial Narrow"/>
                <w:vertAlign w:val="superscript"/>
              </w:rPr>
              <w:t>-3 C</w:t>
            </w:r>
          </w:p>
        </w:tc>
        <w:tc>
          <w:tcPr>
            <w:tcW w:w="1843" w:type="dxa"/>
          </w:tcPr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4.6·10</w:t>
            </w:r>
            <w:r>
              <w:rPr>
                <w:rFonts w:ascii="Arial Narrow" w:hAnsi="Arial Narrow"/>
                <w:vertAlign w:val="superscript"/>
              </w:rPr>
              <w:t>-3 A*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(0.61±0.56)·10</w:t>
            </w:r>
            <w:r>
              <w:rPr>
                <w:rFonts w:ascii="Arial Narrow" w:hAnsi="Arial Narrow"/>
                <w:vertAlign w:val="superscript"/>
              </w:rPr>
              <w:t>-3 B</w:t>
            </w:r>
          </w:p>
          <w:p w:rsidR="003565BF" w:rsidRPr="00F85E18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0.90·10</w:t>
            </w:r>
            <w:r>
              <w:rPr>
                <w:rFonts w:ascii="Arial Narrow" w:hAnsi="Arial Narrow"/>
                <w:vertAlign w:val="superscript"/>
              </w:rPr>
              <w:t>-3 C</w:t>
            </w:r>
          </w:p>
        </w:tc>
      </w:tr>
      <w:tr w:rsidR="003565BF" w:rsidRPr="0007420B" w:rsidTr="009A5A16">
        <w:trPr>
          <w:jc w:val="center"/>
        </w:trPr>
        <w:tc>
          <w:tcPr>
            <w:tcW w:w="4106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1800" w:dyaOrig="400">
                <v:shape id="_x0000_i1028" type="#_x0000_t75" style="width:90.55pt;height:20.65pt" o:ole="">
                  <v:imagedata r:id="rId10" o:title=""/>
                </v:shape>
                <o:OLEObject Type="Embed" ProgID="Equation.DSMT4" ShapeID="_x0000_i1028" DrawAspect="Content" ObjectID="_1801384170" r:id="rId11"/>
              </w:object>
            </w:r>
            <w:r>
              <w:rPr>
                <w:rFonts w:ascii="Arial Narrow" w:hAnsi="Arial Narrow"/>
              </w:rPr>
              <w:t>(kJ·mol</w:t>
            </w:r>
            <w:r w:rsidRPr="00C3477D">
              <w:rPr>
                <w:rFonts w:ascii="Arial Narrow" w:hAnsi="Arial Narrow"/>
                <w:vertAlign w:val="superscript"/>
              </w:rPr>
              <w:t>-1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1957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89</w:t>
            </w:r>
          </w:p>
        </w:tc>
        <w:tc>
          <w:tcPr>
            <w:tcW w:w="1870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79</w:t>
            </w:r>
          </w:p>
        </w:tc>
        <w:tc>
          <w:tcPr>
            <w:tcW w:w="1843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60</w:t>
            </w:r>
          </w:p>
        </w:tc>
      </w:tr>
      <w:tr w:rsidR="003565BF" w:rsidRPr="0007420B" w:rsidTr="009A5A16">
        <w:trPr>
          <w:jc w:val="center"/>
        </w:trPr>
        <w:tc>
          <w:tcPr>
            <w:tcW w:w="4106" w:type="dxa"/>
          </w:tcPr>
          <w:p w:rsidR="003565BF" w:rsidRPr="003042F5" w:rsidRDefault="003565BF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1800" w:dyaOrig="400">
                <v:shape id="_x0000_i1029" type="#_x0000_t75" style="width:90.55pt;height:20.65pt" o:ole="">
                  <v:imagedata r:id="rId12" o:title=""/>
                </v:shape>
                <o:OLEObject Type="Embed" ProgID="Equation.DSMT4" ShapeID="_x0000_i1029" DrawAspect="Content" ObjectID="_1801384171" r:id="rId13"/>
              </w:objec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from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literature</w:t>
            </w:r>
            <w:proofErr w:type="spellEnd"/>
            <w:r>
              <w:rPr>
                <w:rFonts w:ascii="Arial Narrow" w:hAnsi="Arial Narrow"/>
              </w:rPr>
              <w:t xml:space="preserve"> (kJ·mol</w:t>
            </w:r>
            <w:r w:rsidRPr="00C3477D">
              <w:rPr>
                <w:rFonts w:ascii="Arial Narrow" w:hAnsi="Arial Narrow"/>
                <w:vertAlign w:val="superscript"/>
              </w:rPr>
              <w:t>-1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1957" w:type="dxa"/>
          </w:tcPr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73.6 </w:t>
            </w:r>
            <w:r>
              <w:rPr>
                <w:rFonts w:ascii="Arial Narrow" w:hAnsi="Arial Narrow"/>
                <w:vertAlign w:val="superscript"/>
              </w:rPr>
              <w:t>E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104.1 </w:t>
            </w:r>
            <w:r>
              <w:rPr>
                <w:rFonts w:ascii="Arial Narrow" w:hAnsi="Arial Narrow"/>
                <w:vertAlign w:val="superscript"/>
              </w:rPr>
              <w:t>A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74.8±5.58 </w:t>
            </w:r>
            <w:r>
              <w:rPr>
                <w:rFonts w:ascii="Arial Narrow" w:hAnsi="Arial Narrow"/>
                <w:vertAlign w:val="superscript"/>
              </w:rPr>
              <w:t>B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90 </w:t>
            </w:r>
            <w:r>
              <w:rPr>
                <w:rFonts w:ascii="Arial Narrow" w:hAnsi="Arial Narrow"/>
                <w:vertAlign w:val="superscript"/>
              </w:rPr>
              <w:t>C</w:t>
            </w:r>
          </w:p>
        </w:tc>
        <w:tc>
          <w:tcPr>
            <w:tcW w:w="1870" w:type="dxa"/>
          </w:tcPr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88.7 </w:t>
            </w:r>
            <w:r>
              <w:rPr>
                <w:rFonts w:ascii="Arial Narrow" w:hAnsi="Arial Narrow"/>
                <w:vertAlign w:val="superscript"/>
              </w:rPr>
              <w:t>A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64.7±4.26 </w:t>
            </w:r>
            <w:r>
              <w:rPr>
                <w:rFonts w:ascii="Arial Narrow" w:hAnsi="Arial Narrow"/>
                <w:vertAlign w:val="superscript"/>
              </w:rPr>
              <w:t>B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79</w:t>
            </w:r>
            <w:r>
              <w:rPr>
                <w:rFonts w:ascii="Arial Narrow" w:hAnsi="Arial Narrow"/>
                <w:vertAlign w:val="superscript"/>
              </w:rPr>
              <w:t>C</w:t>
            </w:r>
          </w:p>
        </w:tc>
        <w:tc>
          <w:tcPr>
            <w:tcW w:w="1843" w:type="dxa"/>
          </w:tcPr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73.6 </w:t>
            </w:r>
            <w:r>
              <w:rPr>
                <w:rFonts w:ascii="Arial Narrow" w:hAnsi="Arial Narrow"/>
                <w:vertAlign w:val="superscript"/>
              </w:rPr>
              <w:t>A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51.2±8.23 </w:t>
            </w:r>
            <w:r>
              <w:rPr>
                <w:rFonts w:ascii="Arial Narrow" w:hAnsi="Arial Narrow"/>
                <w:vertAlign w:val="superscript"/>
              </w:rPr>
              <w:t>B</w:t>
            </w:r>
          </w:p>
          <w:p w:rsidR="003565BF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67</w:t>
            </w:r>
            <w:r>
              <w:rPr>
                <w:rFonts w:ascii="Arial Narrow" w:hAnsi="Arial Narrow"/>
                <w:vertAlign w:val="superscript"/>
              </w:rPr>
              <w:t>C</w:t>
            </w:r>
          </w:p>
        </w:tc>
      </w:tr>
      <w:tr w:rsidR="003565BF" w:rsidRPr="0007420B" w:rsidTr="009A5A16">
        <w:trPr>
          <w:jc w:val="center"/>
        </w:trPr>
        <w:tc>
          <w:tcPr>
            <w:tcW w:w="4106" w:type="dxa"/>
          </w:tcPr>
          <w:p w:rsidR="003565BF" w:rsidRPr="0007420B" w:rsidRDefault="003565BF" w:rsidP="009A5A16">
            <w:pPr>
              <w:jc w:val="center"/>
              <w:rPr>
                <w:rFonts w:ascii="Arial Narrow" w:hAnsi="Arial Narrow"/>
              </w:rPr>
            </w:pPr>
            <w:r w:rsidRPr="00C0080F">
              <w:rPr>
                <w:rFonts w:eastAsiaTheme="minorHAnsi"/>
                <w:position w:val="-14"/>
                <w:lang w:val="en-US"/>
              </w:rPr>
              <w:object w:dxaOrig="1460" w:dyaOrig="400">
                <v:shape id="_x0000_i1030" type="#_x0000_t75" style="width:73.45pt;height:20.65pt" o:ole="">
                  <v:imagedata r:id="rId14" o:title=""/>
                </v:shape>
                <o:OLEObject Type="Embed" ProgID="Equation.DSMT4" ShapeID="_x0000_i1030" DrawAspect="Content" ObjectID="_1801384172" r:id="rId15"/>
              </w:object>
            </w:r>
            <w:r>
              <w:rPr>
                <w:rFonts w:ascii="Arial Narrow" w:hAnsi="Arial Narrow"/>
              </w:rPr>
              <w:t>(kJ·mol</w:t>
            </w:r>
            <w:r w:rsidRPr="00C3477D">
              <w:rPr>
                <w:rFonts w:ascii="Arial Narrow" w:hAnsi="Arial Narrow"/>
                <w:vertAlign w:val="superscript"/>
              </w:rPr>
              <w:t>-1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1957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65</w:t>
            </w:r>
          </w:p>
        </w:tc>
        <w:tc>
          <w:tcPr>
            <w:tcW w:w="1870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61</w:t>
            </w:r>
          </w:p>
        </w:tc>
        <w:tc>
          <w:tcPr>
            <w:tcW w:w="1843" w:type="dxa"/>
          </w:tcPr>
          <w:p w:rsidR="003565BF" w:rsidRPr="00F65B22" w:rsidRDefault="003565BF" w:rsidP="009A5A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55</w:t>
            </w:r>
          </w:p>
        </w:tc>
      </w:tr>
    </w:tbl>
    <w:p w:rsidR="00D76119" w:rsidRDefault="00D76119"/>
    <w:sectPr w:rsidR="00D761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AA"/>
    <w:rsid w:val="00057948"/>
    <w:rsid w:val="000A4C77"/>
    <w:rsid w:val="00177564"/>
    <w:rsid w:val="001A4313"/>
    <w:rsid w:val="001D5B83"/>
    <w:rsid w:val="003565BF"/>
    <w:rsid w:val="005E51FB"/>
    <w:rsid w:val="007D1166"/>
    <w:rsid w:val="007E4DAA"/>
    <w:rsid w:val="00C77999"/>
    <w:rsid w:val="00C97C45"/>
    <w:rsid w:val="00CE2CDA"/>
    <w:rsid w:val="00D76119"/>
    <w:rsid w:val="00F048B1"/>
    <w:rsid w:val="00F4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82CCF-702E-45E8-9586-D11775C8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5BF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65BF"/>
    <w:pPr>
      <w:spacing w:after="200" w:line="240" w:lineRule="auto"/>
      <w:jc w:val="both"/>
    </w:pPr>
    <w:rPr>
      <w:rFonts w:ascii="Times New Roman" w:eastAsiaTheme="minorEastAsia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4</cp:revision>
  <dcterms:created xsi:type="dcterms:W3CDTF">2024-08-29T07:07:00Z</dcterms:created>
  <dcterms:modified xsi:type="dcterms:W3CDTF">2025-02-18T10:35:00Z</dcterms:modified>
</cp:coreProperties>
</file>