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4CF5" w:rsidRDefault="00FA4CF5" w:rsidP="00FA4CF5">
      <w:pPr>
        <w:pStyle w:val="Caption"/>
      </w:pPr>
      <w:bookmarkStart w:id="0" w:name="_Ref190772119"/>
      <w:r>
        <w:t xml:space="preserve">Table </w:t>
      </w:r>
      <w:fldSimple w:instr=" SEQ Table \* ARABIC ">
        <w:r>
          <w:rPr>
            <w:noProof/>
          </w:rPr>
          <w:t>3</w:t>
        </w:r>
      </w:fldSimple>
      <w:bookmarkEnd w:id="0"/>
      <w:r>
        <w:t>. Performance of the oxidation model across the temperature spectrum.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5"/>
        <w:gridCol w:w="2265"/>
      </w:tblGrid>
      <w:tr w:rsidR="00FA4CF5" w:rsidRPr="00EF1F3E" w:rsidTr="0088010A">
        <w:tc>
          <w:tcPr>
            <w:tcW w:w="2265" w:type="dxa"/>
            <w:vAlign w:val="center"/>
          </w:tcPr>
          <w:p w:rsidR="00FA4CF5" w:rsidRDefault="00FA4CF5" w:rsidP="0088010A">
            <w:pPr>
              <w:jc w:val="right"/>
              <w:rPr>
                <w:rFonts w:cs="Times New Roman"/>
                <w:sz w:val="20"/>
                <w:szCs w:val="18"/>
              </w:rPr>
            </w:pPr>
            <w:r w:rsidRPr="00EF1F3E">
              <w:rPr>
                <w:sz w:val="20"/>
                <w:szCs w:val="18"/>
              </w:rPr>
              <w:t xml:space="preserve">Temperature Range </w:t>
            </w:r>
            <w:r w:rsidRPr="00EF1F3E">
              <w:rPr>
                <w:rFonts w:cs="Times New Roman"/>
                <w:sz w:val="20"/>
                <w:szCs w:val="18"/>
              </w:rPr>
              <w:t>→</w:t>
            </w:r>
          </w:p>
          <w:p w:rsidR="00FA4CF5" w:rsidRDefault="00FA4CF5" w:rsidP="0088010A">
            <w:pPr>
              <w:jc w:val="right"/>
              <w:rPr>
                <w:rFonts w:cs="Times New Roman"/>
                <w:sz w:val="20"/>
                <w:szCs w:val="18"/>
              </w:rPr>
            </w:pPr>
          </w:p>
          <w:p w:rsidR="00FA4CF5" w:rsidRPr="00EF1F3E" w:rsidRDefault="00FA4CF5" w:rsidP="0088010A">
            <w:pPr>
              <w:rPr>
                <w:sz w:val="20"/>
                <w:szCs w:val="18"/>
              </w:rPr>
            </w:pPr>
            <w:r>
              <w:rPr>
                <w:rFonts w:cs="Times New Roman"/>
                <w:sz w:val="20"/>
                <w:szCs w:val="18"/>
              </w:rPr>
              <w:t>↓</w:t>
            </w:r>
            <w:r>
              <w:rPr>
                <w:sz w:val="20"/>
                <w:szCs w:val="18"/>
              </w:rPr>
              <w:t>Hydroperoxide</w:t>
            </w:r>
          </w:p>
        </w:tc>
        <w:tc>
          <w:tcPr>
            <w:tcW w:w="2265" w:type="dxa"/>
          </w:tcPr>
          <w:p w:rsidR="00FA4CF5" w:rsidRDefault="00FA4CF5" w:rsidP="0088010A">
            <w:pPr>
              <w:jc w:val="center"/>
              <w:rPr>
                <w:b/>
                <w:bCs/>
                <w:sz w:val="20"/>
                <w:szCs w:val="18"/>
              </w:rPr>
            </w:pPr>
            <w:r w:rsidRPr="00BF08D6">
              <w:rPr>
                <w:b/>
                <w:bCs/>
                <w:sz w:val="20"/>
                <w:szCs w:val="18"/>
              </w:rPr>
              <w:t>Chilled and ambient Temperatures</w:t>
            </w:r>
          </w:p>
          <w:p w:rsidR="00FA4CF5" w:rsidRPr="00BF08D6" w:rsidRDefault="00FA4CF5" w:rsidP="0088010A">
            <w:pPr>
              <w:jc w:val="center"/>
              <w:rPr>
                <w:b/>
                <w:bCs/>
                <w:sz w:val="20"/>
                <w:szCs w:val="18"/>
              </w:rPr>
            </w:pPr>
            <w:r w:rsidRPr="00BF08D6">
              <w:rPr>
                <w:b/>
                <w:bCs/>
                <w:sz w:val="20"/>
                <w:szCs w:val="18"/>
              </w:rPr>
              <w:t xml:space="preserve"> (7-40°C)</w:t>
            </w:r>
          </w:p>
        </w:tc>
        <w:tc>
          <w:tcPr>
            <w:tcW w:w="2265" w:type="dxa"/>
          </w:tcPr>
          <w:p w:rsidR="00FA4CF5" w:rsidRDefault="00FA4CF5" w:rsidP="0088010A">
            <w:pPr>
              <w:jc w:val="center"/>
              <w:rPr>
                <w:b/>
                <w:bCs/>
                <w:sz w:val="20"/>
                <w:szCs w:val="18"/>
              </w:rPr>
            </w:pPr>
            <w:r w:rsidRPr="00BF08D6">
              <w:rPr>
                <w:b/>
                <w:bCs/>
                <w:sz w:val="20"/>
                <w:szCs w:val="18"/>
              </w:rPr>
              <w:t>Intermediate Temperatures</w:t>
            </w:r>
          </w:p>
          <w:p w:rsidR="00FA4CF5" w:rsidRPr="00BF08D6" w:rsidRDefault="00FA4CF5" w:rsidP="0088010A">
            <w:pPr>
              <w:jc w:val="center"/>
              <w:rPr>
                <w:b/>
                <w:bCs/>
                <w:sz w:val="20"/>
                <w:szCs w:val="18"/>
              </w:rPr>
            </w:pPr>
            <w:r w:rsidRPr="00BF08D6">
              <w:rPr>
                <w:b/>
                <w:bCs/>
                <w:sz w:val="20"/>
                <w:szCs w:val="18"/>
              </w:rPr>
              <w:t>(</w:t>
            </w:r>
            <w:r>
              <w:rPr>
                <w:b/>
                <w:bCs/>
                <w:sz w:val="20"/>
                <w:szCs w:val="18"/>
              </w:rPr>
              <w:t>45</w:t>
            </w:r>
            <w:r w:rsidRPr="00BF08D6">
              <w:rPr>
                <w:b/>
                <w:bCs/>
                <w:sz w:val="20"/>
                <w:szCs w:val="18"/>
              </w:rPr>
              <w:t>-80°C)</w:t>
            </w:r>
          </w:p>
        </w:tc>
        <w:tc>
          <w:tcPr>
            <w:tcW w:w="2265" w:type="dxa"/>
          </w:tcPr>
          <w:p w:rsidR="00FA4CF5" w:rsidRPr="00BF08D6" w:rsidRDefault="00FA4CF5" w:rsidP="0088010A">
            <w:pPr>
              <w:jc w:val="center"/>
              <w:rPr>
                <w:b/>
                <w:bCs/>
                <w:sz w:val="20"/>
                <w:szCs w:val="18"/>
              </w:rPr>
            </w:pPr>
            <w:r w:rsidRPr="00BF08D6">
              <w:rPr>
                <w:b/>
                <w:bCs/>
                <w:sz w:val="20"/>
                <w:szCs w:val="18"/>
              </w:rPr>
              <w:t>High Temperatures</w:t>
            </w:r>
            <w:r w:rsidRPr="00BF08D6">
              <w:rPr>
                <w:b/>
                <w:bCs/>
                <w:sz w:val="20"/>
                <w:szCs w:val="18"/>
              </w:rPr>
              <w:br/>
              <w:t xml:space="preserve"> (140-200°C)</w:t>
            </w:r>
          </w:p>
        </w:tc>
      </w:tr>
      <w:tr w:rsidR="00FA4CF5" w:rsidRPr="00EF1F3E" w:rsidTr="0088010A">
        <w:tc>
          <w:tcPr>
            <w:tcW w:w="2265" w:type="dxa"/>
          </w:tcPr>
          <w:p w:rsidR="00FA4CF5" w:rsidRPr="00573693" w:rsidRDefault="00FA4CF5" w:rsidP="0088010A">
            <w:pPr>
              <w:rPr>
                <w:b/>
                <w:bCs/>
                <w:sz w:val="20"/>
                <w:szCs w:val="18"/>
              </w:rPr>
            </w:pPr>
            <w:r w:rsidRPr="00573693">
              <w:rPr>
                <w:b/>
                <w:bCs/>
                <w:sz w:val="20"/>
                <w:szCs w:val="18"/>
              </w:rPr>
              <w:t>L</w:t>
            </w:r>
            <w:r w:rsidRPr="00573693">
              <w:rPr>
                <w:b/>
                <w:bCs/>
                <w:sz w:val="20"/>
                <w:szCs w:val="18"/>
                <w:vertAlign w:val="subscript"/>
              </w:rPr>
              <w:t>1</w:t>
            </w:r>
            <w:r>
              <w:rPr>
                <w:b/>
                <w:bCs/>
                <w:sz w:val="20"/>
                <w:szCs w:val="18"/>
              </w:rPr>
              <w:t>OOH</w:t>
            </w:r>
          </w:p>
          <w:p w:rsidR="00FA4CF5" w:rsidRPr="00830ECF" w:rsidRDefault="00FA4CF5" w:rsidP="0088010A">
            <w:pPr>
              <w:jc w:val="right"/>
              <w:rPr>
                <w:sz w:val="20"/>
                <w:szCs w:val="18"/>
              </w:rPr>
            </w:pPr>
            <w:r w:rsidRPr="004D3044">
              <w:rPr>
                <w:i/>
                <w:iCs/>
                <w:sz w:val="20"/>
                <w:szCs w:val="18"/>
                <w:vertAlign w:val="superscript"/>
              </w:rPr>
              <w:t>a</w:t>
            </w:r>
            <w:r w:rsidRPr="00830ECF">
              <w:rPr>
                <w:sz w:val="20"/>
                <w:szCs w:val="18"/>
              </w:rPr>
              <w:t>CCC range</w:t>
            </w:r>
          </w:p>
          <w:p w:rsidR="00FA4CF5" w:rsidRPr="00830ECF" w:rsidRDefault="00FA4CF5" w:rsidP="0088010A">
            <w:pPr>
              <w:jc w:val="right"/>
              <w:rPr>
                <w:sz w:val="20"/>
                <w:szCs w:val="18"/>
              </w:rPr>
            </w:pPr>
            <w:r w:rsidRPr="004D3044">
              <w:rPr>
                <w:i/>
                <w:iCs/>
                <w:sz w:val="20"/>
                <w:szCs w:val="18"/>
                <w:vertAlign w:val="superscript"/>
              </w:rPr>
              <w:t>b</w:t>
            </w:r>
            <w:r w:rsidRPr="00830ECF">
              <w:rPr>
                <w:sz w:val="20"/>
                <w:szCs w:val="18"/>
              </w:rPr>
              <w:t>PICP range</w:t>
            </w:r>
            <w:r>
              <w:rPr>
                <w:sz w:val="20"/>
                <w:szCs w:val="18"/>
              </w:rPr>
              <w:t xml:space="preserve"> (%)</w:t>
            </w:r>
          </w:p>
          <w:p w:rsidR="00FA4CF5" w:rsidRPr="00830ECF" w:rsidRDefault="00FA4CF5" w:rsidP="0088010A">
            <w:pPr>
              <w:jc w:val="right"/>
              <w:rPr>
                <w:sz w:val="20"/>
                <w:szCs w:val="18"/>
              </w:rPr>
            </w:pPr>
            <w:r w:rsidRPr="004D3044">
              <w:rPr>
                <w:i/>
                <w:iCs/>
                <w:sz w:val="20"/>
                <w:szCs w:val="18"/>
                <w:vertAlign w:val="superscript"/>
              </w:rPr>
              <w:t>c</w:t>
            </w:r>
            <w:r w:rsidRPr="00830ECF">
              <w:rPr>
                <w:sz w:val="20"/>
                <w:szCs w:val="18"/>
              </w:rPr>
              <w:t>RD range</w:t>
            </w:r>
          </w:p>
          <w:p w:rsidR="00FA4CF5" w:rsidRDefault="00FA4CF5" w:rsidP="0088010A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Outliers</w:t>
            </w:r>
            <w:r w:rsidRPr="00F3140E">
              <w:rPr>
                <w:rFonts w:cs="Times New Roman"/>
                <w:sz w:val="20"/>
                <w:szCs w:val="18"/>
                <w:vertAlign w:val="superscript"/>
              </w:rPr>
              <w:t>‡</w:t>
            </w:r>
            <w:r>
              <w:rPr>
                <w:sz w:val="20"/>
                <w:szCs w:val="18"/>
              </w:rPr>
              <w:t>:</w:t>
            </w:r>
          </w:p>
          <w:p w:rsidR="00FA4CF5" w:rsidRPr="00830ECF" w:rsidRDefault="00FA4CF5" w:rsidP="0088010A">
            <w:pPr>
              <w:jc w:val="right"/>
              <w:rPr>
                <w:sz w:val="20"/>
                <w:szCs w:val="18"/>
              </w:rPr>
            </w:pPr>
            <w:r w:rsidRPr="004D3044">
              <w:rPr>
                <w:i/>
                <w:iCs/>
                <w:sz w:val="20"/>
                <w:szCs w:val="18"/>
                <w:vertAlign w:val="superscript"/>
              </w:rPr>
              <w:t>a</w:t>
            </w:r>
            <w:r w:rsidRPr="00830ECF">
              <w:rPr>
                <w:sz w:val="20"/>
                <w:szCs w:val="18"/>
              </w:rPr>
              <w:t>CCC range</w:t>
            </w:r>
          </w:p>
          <w:p w:rsidR="00FA4CF5" w:rsidRPr="00830ECF" w:rsidRDefault="00FA4CF5" w:rsidP="0088010A">
            <w:pPr>
              <w:jc w:val="right"/>
              <w:rPr>
                <w:sz w:val="20"/>
                <w:szCs w:val="18"/>
              </w:rPr>
            </w:pPr>
            <w:r w:rsidRPr="004D3044">
              <w:rPr>
                <w:i/>
                <w:iCs/>
                <w:sz w:val="20"/>
                <w:szCs w:val="18"/>
                <w:vertAlign w:val="superscript"/>
              </w:rPr>
              <w:t>b</w:t>
            </w:r>
            <w:r w:rsidRPr="00830ECF">
              <w:rPr>
                <w:sz w:val="20"/>
                <w:szCs w:val="18"/>
              </w:rPr>
              <w:t>PICP range</w:t>
            </w:r>
            <w:r>
              <w:rPr>
                <w:sz w:val="20"/>
                <w:szCs w:val="18"/>
              </w:rPr>
              <w:t xml:space="preserve"> (%)</w:t>
            </w:r>
          </w:p>
          <w:p w:rsidR="00FA4CF5" w:rsidRPr="00830ECF" w:rsidRDefault="00FA4CF5" w:rsidP="0088010A">
            <w:pPr>
              <w:jc w:val="right"/>
              <w:rPr>
                <w:sz w:val="20"/>
                <w:szCs w:val="18"/>
              </w:rPr>
            </w:pPr>
            <w:r w:rsidRPr="004D3044">
              <w:rPr>
                <w:i/>
                <w:iCs/>
                <w:sz w:val="20"/>
                <w:szCs w:val="18"/>
                <w:vertAlign w:val="superscript"/>
              </w:rPr>
              <w:t>c</w:t>
            </w:r>
            <w:r w:rsidRPr="00830ECF">
              <w:rPr>
                <w:sz w:val="20"/>
                <w:szCs w:val="18"/>
              </w:rPr>
              <w:t>RD range</w:t>
            </w:r>
          </w:p>
        </w:tc>
        <w:tc>
          <w:tcPr>
            <w:tcW w:w="2265" w:type="dxa"/>
          </w:tcPr>
          <w:p w:rsidR="00FA4CF5" w:rsidRDefault="00FA4CF5" w:rsidP="0088010A">
            <w:pPr>
              <w:rPr>
                <w:i/>
                <w:iCs/>
                <w:sz w:val="20"/>
                <w:szCs w:val="18"/>
              </w:rPr>
            </w:pPr>
            <w:r w:rsidRPr="009754AA">
              <w:rPr>
                <w:i/>
                <w:iCs/>
                <w:sz w:val="20"/>
                <w:szCs w:val="18"/>
              </w:rPr>
              <w:t>references</w:t>
            </w:r>
            <w:r w:rsidRPr="00F3140E">
              <w:rPr>
                <w:rFonts w:cs="Times New Roman"/>
                <w:i/>
                <w:iCs/>
                <w:sz w:val="20"/>
                <w:szCs w:val="18"/>
                <w:vertAlign w:val="superscript"/>
              </w:rPr>
              <w:t>†</w:t>
            </w:r>
            <w:r w:rsidRPr="009754AA">
              <w:rPr>
                <w:i/>
                <w:iCs/>
                <w:sz w:val="20"/>
                <w:szCs w:val="18"/>
              </w:rPr>
              <w:t xml:space="preserve">: </w:t>
            </w:r>
            <w:r>
              <w:rPr>
                <w:i/>
                <w:iCs/>
                <w:sz w:val="20"/>
                <w:szCs w:val="18"/>
              </w:rPr>
              <w:t>E,F,G</w:t>
            </w:r>
          </w:p>
          <w:p w:rsidR="00FA4CF5" w:rsidRPr="0046445B" w:rsidRDefault="00FA4CF5" w:rsidP="00FA4CF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0.92  – 0.96</w:t>
            </w:r>
          </w:p>
          <w:p w:rsidR="00FA4CF5" w:rsidRPr="0046445B" w:rsidRDefault="00FA4CF5" w:rsidP="00FA4CF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44.0  – 72.7</w:t>
            </w:r>
          </w:p>
          <w:p w:rsidR="00FA4CF5" w:rsidRPr="0046445B" w:rsidRDefault="00FA4CF5" w:rsidP="00FA4CF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0.66  –  1.28</w:t>
            </w:r>
          </w:p>
          <w:p w:rsidR="00FA4CF5" w:rsidRDefault="00FA4CF5" w:rsidP="0088010A">
            <w:pPr>
              <w:rPr>
                <w:i/>
                <w:iCs/>
                <w:sz w:val="20"/>
                <w:szCs w:val="18"/>
              </w:rPr>
            </w:pPr>
            <w:r w:rsidRPr="009754AA">
              <w:rPr>
                <w:i/>
                <w:iCs/>
                <w:sz w:val="20"/>
                <w:szCs w:val="18"/>
              </w:rPr>
              <w:t>references</w:t>
            </w:r>
            <w:r w:rsidRPr="00F3140E">
              <w:rPr>
                <w:rFonts w:cs="Times New Roman"/>
                <w:i/>
                <w:iCs/>
                <w:sz w:val="20"/>
                <w:szCs w:val="18"/>
                <w:vertAlign w:val="superscript"/>
              </w:rPr>
              <w:t>†</w:t>
            </w:r>
            <w:r w:rsidRPr="009754AA">
              <w:rPr>
                <w:i/>
                <w:iCs/>
                <w:sz w:val="20"/>
                <w:szCs w:val="18"/>
              </w:rPr>
              <w:t xml:space="preserve">: </w:t>
            </w:r>
            <w:r>
              <w:rPr>
                <w:i/>
                <w:iCs/>
                <w:sz w:val="20"/>
                <w:szCs w:val="18"/>
              </w:rPr>
              <w:t>N/A</w:t>
            </w:r>
          </w:p>
          <w:p w:rsidR="00FA4CF5" w:rsidRDefault="00FA4CF5" w:rsidP="00FA4CF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left"/>
              <w:rPr>
                <w:sz w:val="20"/>
                <w:szCs w:val="18"/>
              </w:rPr>
            </w:pPr>
          </w:p>
          <w:p w:rsidR="00FA4CF5" w:rsidRDefault="00FA4CF5" w:rsidP="00FA4CF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left"/>
              <w:rPr>
                <w:sz w:val="20"/>
                <w:szCs w:val="18"/>
              </w:rPr>
            </w:pPr>
          </w:p>
          <w:p w:rsidR="00FA4CF5" w:rsidRPr="00B40C85" w:rsidRDefault="00FA4CF5" w:rsidP="00FA4CF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left"/>
              <w:rPr>
                <w:sz w:val="20"/>
                <w:szCs w:val="18"/>
              </w:rPr>
            </w:pPr>
          </w:p>
        </w:tc>
        <w:tc>
          <w:tcPr>
            <w:tcW w:w="2265" w:type="dxa"/>
          </w:tcPr>
          <w:p w:rsidR="00FA4CF5" w:rsidRDefault="00FA4CF5" w:rsidP="0088010A">
            <w:pPr>
              <w:rPr>
                <w:i/>
                <w:iCs/>
                <w:sz w:val="20"/>
                <w:szCs w:val="18"/>
              </w:rPr>
            </w:pPr>
            <w:r w:rsidRPr="009754AA">
              <w:rPr>
                <w:i/>
                <w:iCs/>
                <w:sz w:val="20"/>
                <w:szCs w:val="18"/>
              </w:rPr>
              <w:t>references</w:t>
            </w:r>
            <w:r w:rsidRPr="00F3140E">
              <w:rPr>
                <w:rFonts w:cs="Times New Roman"/>
                <w:i/>
                <w:iCs/>
                <w:sz w:val="20"/>
                <w:szCs w:val="18"/>
                <w:vertAlign w:val="superscript"/>
              </w:rPr>
              <w:t>†</w:t>
            </w:r>
            <w:r w:rsidRPr="009754AA">
              <w:rPr>
                <w:i/>
                <w:iCs/>
                <w:sz w:val="20"/>
                <w:szCs w:val="18"/>
              </w:rPr>
              <w:t xml:space="preserve">: </w:t>
            </w:r>
            <w:r>
              <w:rPr>
                <w:i/>
                <w:iCs/>
                <w:sz w:val="20"/>
                <w:szCs w:val="18"/>
              </w:rPr>
              <w:t>C</w:t>
            </w:r>
          </w:p>
          <w:p w:rsidR="00FA4CF5" w:rsidRPr="0046445B" w:rsidRDefault="00FA4CF5" w:rsidP="00FA4CF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0.79 – 0.92</w:t>
            </w:r>
          </w:p>
          <w:p w:rsidR="00FA4CF5" w:rsidRPr="0046445B" w:rsidRDefault="00FA4CF5" w:rsidP="00FA4CF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30.0 – 42.9</w:t>
            </w:r>
          </w:p>
          <w:p w:rsidR="00FA4CF5" w:rsidRPr="0046445B" w:rsidRDefault="00FA4CF5" w:rsidP="00FA4CF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0.76 – 1.56</w:t>
            </w:r>
          </w:p>
          <w:p w:rsidR="00FA4CF5" w:rsidRDefault="00FA4CF5" w:rsidP="0088010A">
            <w:pPr>
              <w:rPr>
                <w:i/>
                <w:iCs/>
                <w:sz w:val="20"/>
                <w:szCs w:val="18"/>
              </w:rPr>
            </w:pPr>
            <w:r w:rsidRPr="009754AA">
              <w:rPr>
                <w:i/>
                <w:iCs/>
                <w:sz w:val="20"/>
                <w:szCs w:val="18"/>
              </w:rPr>
              <w:t>references</w:t>
            </w:r>
            <w:r w:rsidRPr="00F3140E">
              <w:rPr>
                <w:rFonts w:cs="Times New Roman"/>
                <w:i/>
                <w:iCs/>
                <w:sz w:val="20"/>
                <w:szCs w:val="18"/>
                <w:vertAlign w:val="superscript"/>
              </w:rPr>
              <w:t>†</w:t>
            </w:r>
            <w:r w:rsidRPr="009754AA">
              <w:rPr>
                <w:i/>
                <w:iCs/>
                <w:sz w:val="20"/>
                <w:szCs w:val="18"/>
              </w:rPr>
              <w:t xml:space="preserve">: </w:t>
            </w:r>
            <w:r>
              <w:rPr>
                <w:i/>
                <w:iCs/>
                <w:sz w:val="20"/>
                <w:szCs w:val="18"/>
              </w:rPr>
              <w:t>D (70°C)</w:t>
            </w:r>
          </w:p>
          <w:p w:rsidR="00FA4CF5" w:rsidRDefault="00FA4CF5" w:rsidP="00FA4CF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left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0.43</w:t>
            </w:r>
          </w:p>
          <w:p w:rsidR="00FA4CF5" w:rsidRDefault="00FA4CF5" w:rsidP="00FA4CF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left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23.3 – 83.25</w:t>
            </w:r>
          </w:p>
          <w:p w:rsidR="00FA4CF5" w:rsidRPr="006E724E" w:rsidRDefault="00FA4CF5" w:rsidP="00FA4CF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left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1 - 7.82</w:t>
            </w:r>
          </w:p>
        </w:tc>
        <w:tc>
          <w:tcPr>
            <w:tcW w:w="2265" w:type="dxa"/>
          </w:tcPr>
          <w:p w:rsidR="00FA4CF5" w:rsidRDefault="00FA4CF5" w:rsidP="0088010A">
            <w:pPr>
              <w:rPr>
                <w:i/>
                <w:iCs/>
                <w:sz w:val="20"/>
                <w:szCs w:val="18"/>
              </w:rPr>
            </w:pPr>
            <w:r w:rsidRPr="009754AA">
              <w:rPr>
                <w:i/>
                <w:iCs/>
                <w:sz w:val="20"/>
                <w:szCs w:val="18"/>
              </w:rPr>
              <w:t>references</w:t>
            </w:r>
            <w:r w:rsidRPr="00F3140E">
              <w:rPr>
                <w:rFonts w:cs="Times New Roman"/>
                <w:i/>
                <w:iCs/>
                <w:sz w:val="20"/>
                <w:szCs w:val="18"/>
                <w:vertAlign w:val="superscript"/>
              </w:rPr>
              <w:t>†</w:t>
            </w:r>
            <w:r w:rsidRPr="009754AA">
              <w:rPr>
                <w:i/>
                <w:iCs/>
                <w:sz w:val="20"/>
                <w:szCs w:val="18"/>
              </w:rPr>
              <w:t xml:space="preserve">: </w:t>
            </w:r>
            <w:r>
              <w:rPr>
                <w:i/>
                <w:iCs/>
                <w:sz w:val="20"/>
                <w:szCs w:val="18"/>
              </w:rPr>
              <w:t>B</w:t>
            </w:r>
          </w:p>
          <w:p w:rsidR="00FA4CF5" w:rsidRPr="0046445B" w:rsidRDefault="00FA4CF5" w:rsidP="00FA4CF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0.81 – 0.88</w:t>
            </w:r>
          </w:p>
          <w:p w:rsidR="00FA4CF5" w:rsidRPr="0046445B" w:rsidRDefault="00FA4CF5" w:rsidP="00FA4CF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 xml:space="preserve">33.3 – </w:t>
            </w:r>
            <w:r w:rsidRPr="00DB2C97">
              <w:rPr>
                <w:sz w:val="20"/>
                <w:szCs w:val="18"/>
              </w:rPr>
              <w:t>60.0</w:t>
            </w:r>
          </w:p>
          <w:p w:rsidR="00FA4CF5" w:rsidRPr="0046445B" w:rsidRDefault="00FA4CF5" w:rsidP="00FA4CF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0.53 – 0.79</w:t>
            </w:r>
          </w:p>
          <w:p w:rsidR="00FA4CF5" w:rsidRDefault="00FA4CF5" w:rsidP="0088010A">
            <w:pPr>
              <w:rPr>
                <w:i/>
                <w:iCs/>
                <w:sz w:val="20"/>
                <w:szCs w:val="18"/>
              </w:rPr>
            </w:pPr>
            <w:r w:rsidRPr="009754AA">
              <w:rPr>
                <w:i/>
                <w:iCs/>
                <w:sz w:val="20"/>
                <w:szCs w:val="18"/>
              </w:rPr>
              <w:t>references</w:t>
            </w:r>
            <w:r w:rsidRPr="00F3140E">
              <w:rPr>
                <w:rFonts w:cs="Times New Roman"/>
                <w:i/>
                <w:iCs/>
                <w:sz w:val="20"/>
                <w:szCs w:val="18"/>
                <w:vertAlign w:val="superscript"/>
              </w:rPr>
              <w:t>†</w:t>
            </w:r>
            <w:r w:rsidRPr="009754AA">
              <w:rPr>
                <w:i/>
                <w:iCs/>
                <w:sz w:val="20"/>
                <w:szCs w:val="18"/>
              </w:rPr>
              <w:t xml:space="preserve">: </w:t>
            </w:r>
            <w:r>
              <w:rPr>
                <w:i/>
                <w:iCs/>
                <w:sz w:val="20"/>
                <w:szCs w:val="18"/>
              </w:rPr>
              <w:t>A (200°C)</w:t>
            </w:r>
          </w:p>
          <w:p w:rsidR="00FA4CF5" w:rsidRDefault="00FA4CF5" w:rsidP="00FA4CF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left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0.11</w:t>
            </w:r>
          </w:p>
          <w:p w:rsidR="00FA4CF5" w:rsidRDefault="00FA4CF5" w:rsidP="00FA4CF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left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2.52 – 55.61</w:t>
            </w:r>
          </w:p>
          <w:p w:rsidR="00FA4CF5" w:rsidRPr="0046445B" w:rsidRDefault="00FA4CF5" w:rsidP="00FA4CF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0.029  – 0.39</w:t>
            </w:r>
          </w:p>
        </w:tc>
      </w:tr>
      <w:tr w:rsidR="00FA4CF5" w:rsidRPr="00EF1F3E" w:rsidTr="0088010A">
        <w:tc>
          <w:tcPr>
            <w:tcW w:w="2265" w:type="dxa"/>
          </w:tcPr>
          <w:p w:rsidR="00FA4CF5" w:rsidRPr="00573693" w:rsidRDefault="00FA4CF5" w:rsidP="0088010A">
            <w:pPr>
              <w:rPr>
                <w:b/>
                <w:bCs/>
                <w:sz w:val="20"/>
                <w:szCs w:val="18"/>
              </w:rPr>
            </w:pPr>
            <w:r w:rsidRPr="00573693">
              <w:rPr>
                <w:b/>
                <w:bCs/>
                <w:sz w:val="20"/>
                <w:szCs w:val="18"/>
              </w:rPr>
              <w:t>L</w:t>
            </w:r>
            <w:r w:rsidRPr="00573693">
              <w:rPr>
                <w:b/>
                <w:bCs/>
                <w:sz w:val="20"/>
                <w:szCs w:val="18"/>
                <w:vertAlign w:val="subscript"/>
              </w:rPr>
              <w:t>2</w:t>
            </w:r>
            <w:r>
              <w:rPr>
                <w:b/>
                <w:bCs/>
                <w:sz w:val="20"/>
                <w:szCs w:val="18"/>
              </w:rPr>
              <w:t>OOH</w:t>
            </w:r>
          </w:p>
          <w:p w:rsidR="00FA4CF5" w:rsidRPr="00830ECF" w:rsidRDefault="00FA4CF5" w:rsidP="0088010A">
            <w:pPr>
              <w:jc w:val="right"/>
              <w:rPr>
                <w:sz w:val="20"/>
                <w:szCs w:val="18"/>
              </w:rPr>
            </w:pPr>
            <w:r w:rsidRPr="004D3044">
              <w:rPr>
                <w:i/>
                <w:iCs/>
                <w:sz w:val="20"/>
                <w:szCs w:val="18"/>
                <w:vertAlign w:val="superscript"/>
              </w:rPr>
              <w:t>a</w:t>
            </w:r>
            <w:r w:rsidRPr="00830ECF">
              <w:rPr>
                <w:sz w:val="20"/>
                <w:szCs w:val="18"/>
              </w:rPr>
              <w:t>CCC range</w:t>
            </w:r>
          </w:p>
          <w:p w:rsidR="00FA4CF5" w:rsidRPr="00830ECF" w:rsidRDefault="00FA4CF5" w:rsidP="0088010A">
            <w:pPr>
              <w:jc w:val="right"/>
              <w:rPr>
                <w:sz w:val="20"/>
                <w:szCs w:val="18"/>
              </w:rPr>
            </w:pPr>
            <w:r w:rsidRPr="004D3044">
              <w:rPr>
                <w:i/>
                <w:iCs/>
                <w:sz w:val="20"/>
                <w:szCs w:val="18"/>
                <w:vertAlign w:val="superscript"/>
              </w:rPr>
              <w:t>b</w:t>
            </w:r>
            <w:r w:rsidRPr="00830ECF">
              <w:rPr>
                <w:sz w:val="20"/>
                <w:szCs w:val="18"/>
              </w:rPr>
              <w:t>PICP range</w:t>
            </w:r>
            <w:r>
              <w:rPr>
                <w:sz w:val="20"/>
                <w:szCs w:val="18"/>
              </w:rPr>
              <w:t xml:space="preserve"> (%)</w:t>
            </w:r>
          </w:p>
          <w:p w:rsidR="00FA4CF5" w:rsidRPr="00830ECF" w:rsidRDefault="00FA4CF5" w:rsidP="0088010A">
            <w:pPr>
              <w:jc w:val="right"/>
              <w:rPr>
                <w:sz w:val="20"/>
                <w:szCs w:val="18"/>
              </w:rPr>
            </w:pPr>
            <w:r w:rsidRPr="004D3044">
              <w:rPr>
                <w:i/>
                <w:iCs/>
                <w:sz w:val="20"/>
                <w:szCs w:val="18"/>
                <w:vertAlign w:val="superscript"/>
              </w:rPr>
              <w:t>c</w:t>
            </w:r>
            <w:r w:rsidRPr="00830ECF">
              <w:rPr>
                <w:sz w:val="20"/>
                <w:szCs w:val="18"/>
              </w:rPr>
              <w:t>RD range</w:t>
            </w:r>
          </w:p>
          <w:p w:rsidR="00FA4CF5" w:rsidRDefault="00FA4CF5" w:rsidP="0088010A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Outliers</w:t>
            </w:r>
            <w:r w:rsidRPr="00F3140E">
              <w:rPr>
                <w:rFonts w:cs="Times New Roman"/>
                <w:sz w:val="20"/>
                <w:szCs w:val="18"/>
                <w:vertAlign w:val="superscript"/>
              </w:rPr>
              <w:t>‡</w:t>
            </w:r>
            <w:r>
              <w:rPr>
                <w:sz w:val="20"/>
                <w:szCs w:val="18"/>
              </w:rPr>
              <w:t xml:space="preserve">: </w:t>
            </w:r>
          </w:p>
          <w:p w:rsidR="00FA4CF5" w:rsidRPr="00830ECF" w:rsidRDefault="00FA4CF5" w:rsidP="0088010A">
            <w:pPr>
              <w:jc w:val="right"/>
              <w:rPr>
                <w:sz w:val="20"/>
                <w:szCs w:val="18"/>
              </w:rPr>
            </w:pPr>
            <w:r w:rsidRPr="004D3044">
              <w:rPr>
                <w:i/>
                <w:iCs/>
                <w:sz w:val="20"/>
                <w:szCs w:val="18"/>
                <w:vertAlign w:val="superscript"/>
              </w:rPr>
              <w:t>a</w:t>
            </w:r>
            <w:r w:rsidRPr="00830ECF">
              <w:rPr>
                <w:sz w:val="20"/>
                <w:szCs w:val="18"/>
              </w:rPr>
              <w:t>CCC range</w:t>
            </w:r>
          </w:p>
          <w:p w:rsidR="00FA4CF5" w:rsidRPr="00830ECF" w:rsidRDefault="00FA4CF5" w:rsidP="0088010A">
            <w:pPr>
              <w:jc w:val="right"/>
              <w:rPr>
                <w:sz w:val="20"/>
                <w:szCs w:val="18"/>
              </w:rPr>
            </w:pPr>
            <w:r w:rsidRPr="004D3044">
              <w:rPr>
                <w:i/>
                <w:iCs/>
                <w:sz w:val="20"/>
                <w:szCs w:val="18"/>
                <w:vertAlign w:val="superscript"/>
              </w:rPr>
              <w:t>b</w:t>
            </w:r>
            <w:r w:rsidRPr="00830ECF">
              <w:rPr>
                <w:sz w:val="20"/>
                <w:szCs w:val="18"/>
              </w:rPr>
              <w:t>PICP range</w:t>
            </w:r>
            <w:r>
              <w:rPr>
                <w:sz w:val="20"/>
                <w:szCs w:val="18"/>
              </w:rPr>
              <w:t xml:space="preserve"> (%)</w:t>
            </w:r>
          </w:p>
          <w:p w:rsidR="00FA4CF5" w:rsidRPr="001E3A04" w:rsidRDefault="00FA4CF5" w:rsidP="0088010A">
            <w:pPr>
              <w:jc w:val="right"/>
              <w:rPr>
                <w:sz w:val="20"/>
                <w:szCs w:val="18"/>
              </w:rPr>
            </w:pPr>
            <w:r w:rsidRPr="004D3044">
              <w:rPr>
                <w:i/>
                <w:iCs/>
                <w:sz w:val="20"/>
                <w:szCs w:val="18"/>
                <w:vertAlign w:val="superscript"/>
              </w:rPr>
              <w:t>c</w:t>
            </w:r>
            <w:r w:rsidRPr="00830ECF">
              <w:rPr>
                <w:sz w:val="20"/>
                <w:szCs w:val="18"/>
              </w:rPr>
              <w:t>RD range</w:t>
            </w:r>
          </w:p>
        </w:tc>
        <w:tc>
          <w:tcPr>
            <w:tcW w:w="2265" w:type="dxa"/>
          </w:tcPr>
          <w:p w:rsidR="00FA4CF5" w:rsidRDefault="00FA4CF5" w:rsidP="0088010A">
            <w:pPr>
              <w:rPr>
                <w:i/>
                <w:iCs/>
                <w:sz w:val="20"/>
                <w:szCs w:val="18"/>
              </w:rPr>
            </w:pPr>
            <w:r w:rsidRPr="009754AA">
              <w:rPr>
                <w:i/>
                <w:iCs/>
                <w:sz w:val="20"/>
                <w:szCs w:val="18"/>
              </w:rPr>
              <w:t>references</w:t>
            </w:r>
            <w:r w:rsidRPr="00F3140E">
              <w:rPr>
                <w:rFonts w:cs="Times New Roman"/>
                <w:i/>
                <w:iCs/>
                <w:sz w:val="20"/>
                <w:szCs w:val="18"/>
                <w:vertAlign w:val="superscript"/>
              </w:rPr>
              <w:t>†</w:t>
            </w:r>
            <w:r w:rsidRPr="009754AA">
              <w:rPr>
                <w:i/>
                <w:iCs/>
                <w:sz w:val="20"/>
                <w:szCs w:val="18"/>
              </w:rPr>
              <w:t xml:space="preserve">: </w:t>
            </w:r>
            <w:r>
              <w:rPr>
                <w:i/>
                <w:iCs/>
                <w:sz w:val="20"/>
                <w:szCs w:val="18"/>
              </w:rPr>
              <w:t>D,F,I,J,K</w:t>
            </w:r>
          </w:p>
          <w:p w:rsidR="00FA4CF5" w:rsidRPr="0046445B" w:rsidRDefault="00FA4CF5" w:rsidP="00FA4CF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0.79  –  0 .99</w:t>
            </w:r>
          </w:p>
          <w:p w:rsidR="00FA4CF5" w:rsidRPr="0046445B" w:rsidRDefault="00FA4CF5" w:rsidP="00FA4CF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45.2  –  76.9</w:t>
            </w:r>
          </w:p>
          <w:p w:rsidR="00FA4CF5" w:rsidRPr="0046445B" w:rsidRDefault="00FA4CF5" w:rsidP="00FA4CF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0.69  –  1.2</w:t>
            </w:r>
          </w:p>
          <w:p w:rsidR="00FA4CF5" w:rsidRDefault="00FA4CF5" w:rsidP="0088010A">
            <w:pPr>
              <w:rPr>
                <w:i/>
                <w:iCs/>
                <w:sz w:val="20"/>
                <w:szCs w:val="18"/>
              </w:rPr>
            </w:pPr>
            <w:r w:rsidRPr="009754AA">
              <w:rPr>
                <w:i/>
                <w:iCs/>
                <w:sz w:val="20"/>
                <w:szCs w:val="18"/>
              </w:rPr>
              <w:t>references</w:t>
            </w:r>
            <w:r w:rsidRPr="00F3140E">
              <w:rPr>
                <w:rFonts w:cs="Times New Roman"/>
                <w:i/>
                <w:iCs/>
                <w:sz w:val="20"/>
                <w:szCs w:val="18"/>
                <w:vertAlign w:val="superscript"/>
              </w:rPr>
              <w:t>†</w:t>
            </w:r>
            <w:r w:rsidRPr="009754AA">
              <w:rPr>
                <w:i/>
                <w:iCs/>
                <w:sz w:val="20"/>
                <w:szCs w:val="18"/>
              </w:rPr>
              <w:t xml:space="preserve">: </w:t>
            </w:r>
            <w:r>
              <w:rPr>
                <w:i/>
                <w:iCs/>
                <w:sz w:val="20"/>
                <w:szCs w:val="18"/>
              </w:rPr>
              <w:t>N/A</w:t>
            </w:r>
          </w:p>
          <w:p w:rsidR="00FA4CF5" w:rsidRDefault="00FA4CF5" w:rsidP="00FA4CF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left"/>
              <w:rPr>
                <w:sz w:val="20"/>
                <w:szCs w:val="18"/>
              </w:rPr>
            </w:pPr>
          </w:p>
          <w:p w:rsidR="00FA4CF5" w:rsidRDefault="00FA4CF5" w:rsidP="00FA4CF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left"/>
              <w:rPr>
                <w:sz w:val="20"/>
                <w:szCs w:val="18"/>
              </w:rPr>
            </w:pPr>
          </w:p>
          <w:p w:rsidR="00FA4CF5" w:rsidRDefault="00FA4CF5" w:rsidP="00FA4CF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left"/>
              <w:rPr>
                <w:sz w:val="20"/>
                <w:szCs w:val="18"/>
              </w:rPr>
            </w:pPr>
          </w:p>
        </w:tc>
        <w:tc>
          <w:tcPr>
            <w:tcW w:w="2265" w:type="dxa"/>
          </w:tcPr>
          <w:p w:rsidR="00FA4CF5" w:rsidRDefault="00FA4CF5" w:rsidP="0088010A">
            <w:pPr>
              <w:rPr>
                <w:i/>
                <w:iCs/>
                <w:sz w:val="20"/>
                <w:szCs w:val="18"/>
              </w:rPr>
            </w:pPr>
            <w:r w:rsidRPr="009754AA">
              <w:rPr>
                <w:i/>
                <w:iCs/>
                <w:sz w:val="20"/>
                <w:szCs w:val="18"/>
              </w:rPr>
              <w:t>references</w:t>
            </w:r>
            <w:r w:rsidRPr="00F3140E">
              <w:rPr>
                <w:rFonts w:cs="Times New Roman"/>
                <w:i/>
                <w:iCs/>
                <w:sz w:val="20"/>
                <w:szCs w:val="18"/>
                <w:vertAlign w:val="superscript"/>
              </w:rPr>
              <w:t>†</w:t>
            </w:r>
            <w:r w:rsidRPr="009754AA">
              <w:rPr>
                <w:i/>
                <w:iCs/>
                <w:sz w:val="20"/>
                <w:szCs w:val="18"/>
              </w:rPr>
              <w:t xml:space="preserve">: </w:t>
            </w:r>
            <w:r>
              <w:rPr>
                <w:i/>
                <w:iCs/>
                <w:sz w:val="20"/>
                <w:szCs w:val="18"/>
              </w:rPr>
              <w:t>B,D</w:t>
            </w:r>
          </w:p>
          <w:p w:rsidR="00FA4CF5" w:rsidRPr="0046445B" w:rsidRDefault="00FA4CF5" w:rsidP="00FA4CF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0.86  –  0.97</w:t>
            </w:r>
          </w:p>
          <w:p w:rsidR="00FA4CF5" w:rsidRPr="0046445B" w:rsidRDefault="00FA4CF5" w:rsidP="00FA4CF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45.5  – 63.3</w:t>
            </w:r>
          </w:p>
          <w:p w:rsidR="00FA4CF5" w:rsidRPr="0046445B" w:rsidRDefault="00FA4CF5" w:rsidP="00FA4CF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0.49  – 1</w:t>
            </w:r>
          </w:p>
          <w:p w:rsidR="00FA4CF5" w:rsidRDefault="00FA4CF5" w:rsidP="0088010A">
            <w:pPr>
              <w:rPr>
                <w:i/>
                <w:iCs/>
                <w:sz w:val="20"/>
                <w:szCs w:val="18"/>
              </w:rPr>
            </w:pPr>
            <w:r w:rsidRPr="009754AA">
              <w:rPr>
                <w:i/>
                <w:iCs/>
                <w:sz w:val="20"/>
                <w:szCs w:val="18"/>
              </w:rPr>
              <w:t>references</w:t>
            </w:r>
            <w:r w:rsidRPr="00F3140E">
              <w:rPr>
                <w:rFonts w:cs="Times New Roman"/>
                <w:i/>
                <w:iCs/>
                <w:sz w:val="20"/>
                <w:szCs w:val="18"/>
                <w:vertAlign w:val="superscript"/>
              </w:rPr>
              <w:t>†</w:t>
            </w:r>
            <w:r w:rsidRPr="009754AA">
              <w:rPr>
                <w:i/>
                <w:iCs/>
                <w:sz w:val="20"/>
                <w:szCs w:val="18"/>
              </w:rPr>
              <w:t xml:space="preserve">: </w:t>
            </w:r>
            <w:r>
              <w:rPr>
                <w:i/>
                <w:iCs/>
                <w:sz w:val="20"/>
                <w:szCs w:val="18"/>
              </w:rPr>
              <w:t>N/A</w:t>
            </w:r>
          </w:p>
          <w:p w:rsidR="00FA4CF5" w:rsidRDefault="00FA4CF5" w:rsidP="00FA4CF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left"/>
              <w:rPr>
                <w:sz w:val="20"/>
                <w:szCs w:val="18"/>
              </w:rPr>
            </w:pPr>
          </w:p>
          <w:p w:rsidR="00FA4CF5" w:rsidRDefault="00FA4CF5" w:rsidP="00FA4CF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left"/>
              <w:rPr>
                <w:sz w:val="20"/>
                <w:szCs w:val="18"/>
              </w:rPr>
            </w:pPr>
          </w:p>
          <w:p w:rsidR="00FA4CF5" w:rsidRPr="005707F4" w:rsidRDefault="00FA4CF5" w:rsidP="00FA4CF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left"/>
              <w:rPr>
                <w:sz w:val="20"/>
                <w:szCs w:val="18"/>
              </w:rPr>
            </w:pPr>
          </w:p>
        </w:tc>
        <w:tc>
          <w:tcPr>
            <w:tcW w:w="2265" w:type="dxa"/>
          </w:tcPr>
          <w:p w:rsidR="00FA4CF5" w:rsidRDefault="00FA4CF5" w:rsidP="0088010A">
            <w:pPr>
              <w:rPr>
                <w:i/>
                <w:iCs/>
                <w:sz w:val="20"/>
                <w:szCs w:val="18"/>
              </w:rPr>
            </w:pPr>
            <w:r w:rsidRPr="009754AA">
              <w:rPr>
                <w:i/>
                <w:iCs/>
                <w:sz w:val="20"/>
                <w:szCs w:val="18"/>
              </w:rPr>
              <w:t>references</w:t>
            </w:r>
            <w:r w:rsidRPr="00F3140E">
              <w:rPr>
                <w:rFonts w:cs="Times New Roman"/>
                <w:i/>
                <w:iCs/>
                <w:sz w:val="20"/>
                <w:szCs w:val="18"/>
                <w:vertAlign w:val="superscript"/>
              </w:rPr>
              <w:t>†</w:t>
            </w:r>
            <w:r w:rsidRPr="009754AA">
              <w:rPr>
                <w:i/>
                <w:iCs/>
                <w:sz w:val="20"/>
                <w:szCs w:val="18"/>
              </w:rPr>
              <w:t xml:space="preserve">: </w:t>
            </w:r>
            <w:r>
              <w:rPr>
                <w:i/>
                <w:iCs/>
                <w:sz w:val="20"/>
                <w:szCs w:val="18"/>
              </w:rPr>
              <w:t>B</w:t>
            </w:r>
          </w:p>
          <w:p w:rsidR="00FA4CF5" w:rsidRPr="0046445B" w:rsidRDefault="00FA4CF5" w:rsidP="00FA4CF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0.78  –  0.90</w:t>
            </w:r>
          </w:p>
          <w:p w:rsidR="00FA4CF5" w:rsidRPr="0046445B" w:rsidRDefault="00FA4CF5" w:rsidP="00FA4CF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60.0  –  77.8</w:t>
            </w:r>
          </w:p>
          <w:p w:rsidR="00FA4CF5" w:rsidRPr="0046445B" w:rsidRDefault="00FA4CF5" w:rsidP="00FA4CF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0.82  – 1.0</w:t>
            </w:r>
          </w:p>
          <w:p w:rsidR="00FA4CF5" w:rsidRDefault="00FA4CF5" w:rsidP="0088010A">
            <w:pPr>
              <w:rPr>
                <w:i/>
                <w:iCs/>
                <w:sz w:val="20"/>
                <w:szCs w:val="18"/>
              </w:rPr>
            </w:pPr>
            <w:r w:rsidRPr="009754AA">
              <w:rPr>
                <w:i/>
                <w:iCs/>
                <w:sz w:val="20"/>
                <w:szCs w:val="18"/>
              </w:rPr>
              <w:t>references</w:t>
            </w:r>
            <w:r w:rsidRPr="00F3140E">
              <w:rPr>
                <w:rFonts w:cs="Times New Roman"/>
                <w:i/>
                <w:iCs/>
                <w:sz w:val="20"/>
                <w:szCs w:val="18"/>
                <w:vertAlign w:val="superscript"/>
              </w:rPr>
              <w:t>†</w:t>
            </w:r>
            <w:r w:rsidRPr="009754AA">
              <w:rPr>
                <w:i/>
                <w:iCs/>
                <w:sz w:val="20"/>
                <w:szCs w:val="18"/>
              </w:rPr>
              <w:t xml:space="preserve">: </w:t>
            </w:r>
            <w:r>
              <w:rPr>
                <w:i/>
                <w:iCs/>
                <w:sz w:val="20"/>
                <w:szCs w:val="18"/>
              </w:rPr>
              <w:t>A (200°C)</w:t>
            </w:r>
          </w:p>
          <w:p w:rsidR="00FA4CF5" w:rsidRDefault="00FA4CF5" w:rsidP="00FA4CF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left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 xml:space="preserve">0.02  </w:t>
            </w:r>
          </w:p>
          <w:p w:rsidR="00FA4CF5" w:rsidRDefault="00FA4CF5" w:rsidP="00FA4CF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left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2.52 – 55.61</w:t>
            </w:r>
          </w:p>
          <w:p w:rsidR="00FA4CF5" w:rsidRDefault="00FA4CF5" w:rsidP="00FA4CF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left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0.027 – 0.19</w:t>
            </w:r>
          </w:p>
        </w:tc>
      </w:tr>
      <w:tr w:rsidR="00FA4CF5" w:rsidRPr="00EF1F3E" w:rsidTr="0088010A">
        <w:tc>
          <w:tcPr>
            <w:tcW w:w="2265" w:type="dxa"/>
          </w:tcPr>
          <w:p w:rsidR="00FA4CF5" w:rsidRPr="00AC6B44" w:rsidRDefault="00FA4CF5" w:rsidP="0088010A">
            <w:pPr>
              <w:rPr>
                <w:b/>
                <w:bCs/>
                <w:sz w:val="20"/>
                <w:szCs w:val="18"/>
              </w:rPr>
            </w:pPr>
            <w:r w:rsidRPr="00AC6B44">
              <w:rPr>
                <w:b/>
                <w:bCs/>
                <w:sz w:val="20"/>
                <w:szCs w:val="18"/>
              </w:rPr>
              <w:t>L</w:t>
            </w:r>
            <w:r>
              <w:rPr>
                <w:b/>
                <w:bCs/>
                <w:sz w:val="20"/>
                <w:szCs w:val="18"/>
                <w:vertAlign w:val="subscript"/>
              </w:rPr>
              <w:t>3</w:t>
            </w:r>
            <w:r>
              <w:rPr>
                <w:b/>
                <w:bCs/>
                <w:sz w:val="20"/>
                <w:szCs w:val="18"/>
              </w:rPr>
              <w:t>OOH</w:t>
            </w:r>
          </w:p>
          <w:p w:rsidR="00FA4CF5" w:rsidRPr="00830ECF" w:rsidRDefault="00FA4CF5" w:rsidP="0088010A">
            <w:pPr>
              <w:jc w:val="right"/>
              <w:rPr>
                <w:sz w:val="20"/>
                <w:szCs w:val="18"/>
              </w:rPr>
            </w:pPr>
            <w:r w:rsidRPr="004D3044">
              <w:rPr>
                <w:i/>
                <w:iCs/>
                <w:sz w:val="20"/>
                <w:szCs w:val="18"/>
                <w:vertAlign w:val="superscript"/>
              </w:rPr>
              <w:t>a</w:t>
            </w:r>
            <w:r w:rsidRPr="00830ECF">
              <w:rPr>
                <w:sz w:val="20"/>
                <w:szCs w:val="18"/>
              </w:rPr>
              <w:t>CCC range</w:t>
            </w:r>
          </w:p>
          <w:p w:rsidR="00FA4CF5" w:rsidRPr="00830ECF" w:rsidRDefault="00FA4CF5" w:rsidP="0088010A">
            <w:pPr>
              <w:jc w:val="right"/>
              <w:rPr>
                <w:sz w:val="20"/>
                <w:szCs w:val="18"/>
              </w:rPr>
            </w:pPr>
            <w:r w:rsidRPr="004D3044">
              <w:rPr>
                <w:i/>
                <w:iCs/>
                <w:sz w:val="20"/>
                <w:szCs w:val="18"/>
                <w:vertAlign w:val="superscript"/>
              </w:rPr>
              <w:t>b</w:t>
            </w:r>
            <w:r w:rsidRPr="00830ECF">
              <w:rPr>
                <w:sz w:val="20"/>
                <w:szCs w:val="18"/>
              </w:rPr>
              <w:t>PICP range</w:t>
            </w:r>
            <w:r>
              <w:rPr>
                <w:sz w:val="20"/>
                <w:szCs w:val="18"/>
              </w:rPr>
              <w:t xml:space="preserve"> (%)</w:t>
            </w:r>
          </w:p>
          <w:p w:rsidR="00FA4CF5" w:rsidRPr="00830ECF" w:rsidRDefault="00FA4CF5" w:rsidP="0088010A">
            <w:pPr>
              <w:jc w:val="right"/>
              <w:rPr>
                <w:sz w:val="20"/>
                <w:szCs w:val="18"/>
              </w:rPr>
            </w:pPr>
            <w:r w:rsidRPr="004D3044">
              <w:rPr>
                <w:i/>
                <w:iCs/>
                <w:sz w:val="20"/>
                <w:szCs w:val="18"/>
                <w:vertAlign w:val="superscript"/>
              </w:rPr>
              <w:t>c</w:t>
            </w:r>
            <w:r w:rsidRPr="00830ECF">
              <w:rPr>
                <w:sz w:val="20"/>
                <w:szCs w:val="18"/>
              </w:rPr>
              <w:t>RD range</w:t>
            </w:r>
          </w:p>
          <w:p w:rsidR="00FA4CF5" w:rsidRDefault="00FA4CF5" w:rsidP="0088010A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Outliers</w:t>
            </w:r>
            <w:r w:rsidRPr="00F3140E">
              <w:rPr>
                <w:rFonts w:cs="Times New Roman"/>
                <w:sz w:val="20"/>
                <w:szCs w:val="18"/>
                <w:vertAlign w:val="superscript"/>
              </w:rPr>
              <w:t>‡</w:t>
            </w:r>
            <w:r>
              <w:rPr>
                <w:sz w:val="20"/>
                <w:szCs w:val="18"/>
              </w:rPr>
              <w:t>:</w:t>
            </w:r>
          </w:p>
          <w:p w:rsidR="00FA4CF5" w:rsidRPr="00830ECF" w:rsidRDefault="00FA4CF5" w:rsidP="0088010A">
            <w:pPr>
              <w:jc w:val="right"/>
              <w:rPr>
                <w:sz w:val="20"/>
                <w:szCs w:val="18"/>
              </w:rPr>
            </w:pPr>
            <w:r w:rsidRPr="004D3044">
              <w:rPr>
                <w:i/>
                <w:iCs/>
                <w:sz w:val="20"/>
                <w:szCs w:val="18"/>
                <w:vertAlign w:val="superscript"/>
              </w:rPr>
              <w:t>a</w:t>
            </w:r>
            <w:r w:rsidRPr="00830ECF">
              <w:rPr>
                <w:sz w:val="20"/>
                <w:szCs w:val="18"/>
              </w:rPr>
              <w:t>CCC range</w:t>
            </w:r>
          </w:p>
          <w:p w:rsidR="00FA4CF5" w:rsidRPr="00830ECF" w:rsidRDefault="00FA4CF5" w:rsidP="0088010A">
            <w:pPr>
              <w:jc w:val="right"/>
              <w:rPr>
                <w:sz w:val="20"/>
                <w:szCs w:val="18"/>
              </w:rPr>
            </w:pPr>
            <w:r w:rsidRPr="004D3044">
              <w:rPr>
                <w:i/>
                <w:iCs/>
                <w:sz w:val="20"/>
                <w:szCs w:val="18"/>
                <w:vertAlign w:val="superscript"/>
              </w:rPr>
              <w:t>b</w:t>
            </w:r>
            <w:r w:rsidRPr="00830ECF">
              <w:rPr>
                <w:sz w:val="20"/>
                <w:szCs w:val="18"/>
              </w:rPr>
              <w:t>PICP range</w:t>
            </w:r>
            <w:r>
              <w:rPr>
                <w:sz w:val="20"/>
                <w:szCs w:val="18"/>
              </w:rPr>
              <w:t xml:space="preserve"> (%)</w:t>
            </w:r>
          </w:p>
          <w:p w:rsidR="00FA4CF5" w:rsidRPr="001E3A04" w:rsidRDefault="00FA4CF5" w:rsidP="0088010A">
            <w:pPr>
              <w:jc w:val="right"/>
              <w:rPr>
                <w:sz w:val="20"/>
                <w:szCs w:val="18"/>
              </w:rPr>
            </w:pPr>
            <w:r w:rsidRPr="004D3044">
              <w:rPr>
                <w:i/>
                <w:iCs/>
                <w:sz w:val="20"/>
                <w:szCs w:val="18"/>
                <w:vertAlign w:val="superscript"/>
              </w:rPr>
              <w:t>c</w:t>
            </w:r>
            <w:r w:rsidRPr="00830ECF">
              <w:rPr>
                <w:sz w:val="20"/>
                <w:szCs w:val="18"/>
              </w:rPr>
              <w:t>RD range</w:t>
            </w:r>
          </w:p>
        </w:tc>
        <w:tc>
          <w:tcPr>
            <w:tcW w:w="2265" w:type="dxa"/>
          </w:tcPr>
          <w:p w:rsidR="00FA4CF5" w:rsidRDefault="00FA4CF5" w:rsidP="0088010A">
            <w:pPr>
              <w:rPr>
                <w:i/>
                <w:iCs/>
                <w:sz w:val="20"/>
                <w:szCs w:val="18"/>
              </w:rPr>
            </w:pPr>
            <w:r w:rsidRPr="009754AA">
              <w:rPr>
                <w:i/>
                <w:iCs/>
                <w:sz w:val="20"/>
                <w:szCs w:val="18"/>
              </w:rPr>
              <w:t>references</w:t>
            </w:r>
            <w:r w:rsidRPr="00F3140E">
              <w:rPr>
                <w:rFonts w:cs="Times New Roman"/>
                <w:i/>
                <w:iCs/>
                <w:sz w:val="20"/>
                <w:szCs w:val="18"/>
                <w:vertAlign w:val="superscript"/>
              </w:rPr>
              <w:t>†</w:t>
            </w:r>
            <w:r w:rsidRPr="009754AA">
              <w:rPr>
                <w:i/>
                <w:iCs/>
                <w:sz w:val="20"/>
                <w:szCs w:val="18"/>
              </w:rPr>
              <w:t xml:space="preserve">: </w:t>
            </w:r>
            <w:r>
              <w:rPr>
                <w:i/>
                <w:iCs/>
                <w:sz w:val="20"/>
                <w:szCs w:val="18"/>
              </w:rPr>
              <w:t>F,G</w:t>
            </w:r>
          </w:p>
          <w:p w:rsidR="00FA4CF5" w:rsidRPr="0046445B" w:rsidRDefault="00FA4CF5" w:rsidP="00FA4CF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0.96</w:t>
            </w:r>
          </w:p>
          <w:p w:rsidR="00FA4CF5" w:rsidRPr="0046445B" w:rsidRDefault="00FA4CF5" w:rsidP="00FA4CF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33.5 – 79.7</w:t>
            </w:r>
          </w:p>
          <w:p w:rsidR="00FA4CF5" w:rsidRPr="0046445B" w:rsidRDefault="00FA4CF5" w:rsidP="00FA4CF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0.98 – 1.7</w:t>
            </w:r>
          </w:p>
          <w:p w:rsidR="00FA4CF5" w:rsidRDefault="00FA4CF5" w:rsidP="0088010A">
            <w:pPr>
              <w:rPr>
                <w:i/>
                <w:iCs/>
                <w:sz w:val="20"/>
                <w:szCs w:val="18"/>
              </w:rPr>
            </w:pPr>
            <w:r w:rsidRPr="009754AA">
              <w:rPr>
                <w:i/>
                <w:iCs/>
                <w:sz w:val="20"/>
                <w:szCs w:val="18"/>
              </w:rPr>
              <w:t>references</w:t>
            </w:r>
            <w:r w:rsidRPr="00F3140E">
              <w:rPr>
                <w:rFonts w:cs="Times New Roman"/>
                <w:i/>
                <w:iCs/>
                <w:sz w:val="20"/>
                <w:szCs w:val="18"/>
                <w:vertAlign w:val="superscript"/>
              </w:rPr>
              <w:t>†</w:t>
            </w:r>
            <w:r w:rsidRPr="009754AA">
              <w:rPr>
                <w:i/>
                <w:iCs/>
                <w:sz w:val="20"/>
                <w:szCs w:val="18"/>
              </w:rPr>
              <w:t xml:space="preserve">: </w:t>
            </w:r>
            <w:r>
              <w:rPr>
                <w:i/>
                <w:iCs/>
                <w:sz w:val="20"/>
                <w:szCs w:val="18"/>
              </w:rPr>
              <w:t>N/A</w:t>
            </w:r>
          </w:p>
          <w:p w:rsidR="00FA4CF5" w:rsidRDefault="00FA4CF5" w:rsidP="00FA4CF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left"/>
              <w:rPr>
                <w:sz w:val="20"/>
                <w:szCs w:val="18"/>
              </w:rPr>
            </w:pPr>
          </w:p>
          <w:p w:rsidR="00FA4CF5" w:rsidRDefault="00FA4CF5" w:rsidP="00FA4CF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left"/>
              <w:rPr>
                <w:sz w:val="20"/>
                <w:szCs w:val="18"/>
              </w:rPr>
            </w:pPr>
          </w:p>
          <w:p w:rsidR="00FA4CF5" w:rsidRDefault="00FA4CF5" w:rsidP="00FA4CF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left"/>
              <w:rPr>
                <w:sz w:val="20"/>
                <w:szCs w:val="18"/>
              </w:rPr>
            </w:pPr>
          </w:p>
        </w:tc>
        <w:tc>
          <w:tcPr>
            <w:tcW w:w="2265" w:type="dxa"/>
          </w:tcPr>
          <w:p w:rsidR="00FA4CF5" w:rsidRDefault="00FA4CF5" w:rsidP="0088010A">
            <w:pPr>
              <w:rPr>
                <w:i/>
                <w:iCs/>
                <w:sz w:val="20"/>
                <w:szCs w:val="18"/>
              </w:rPr>
            </w:pPr>
            <w:r w:rsidRPr="009754AA">
              <w:rPr>
                <w:i/>
                <w:iCs/>
                <w:sz w:val="20"/>
                <w:szCs w:val="18"/>
              </w:rPr>
              <w:t>references</w:t>
            </w:r>
            <w:r w:rsidRPr="00F3140E">
              <w:rPr>
                <w:rFonts w:cs="Times New Roman"/>
                <w:i/>
                <w:iCs/>
                <w:sz w:val="20"/>
                <w:szCs w:val="18"/>
                <w:vertAlign w:val="superscript"/>
              </w:rPr>
              <w:t>†</w:t>
            </w:r>
            <w:r w:rsidRPr="009754AA">
              <w:rPr>
                <w:i/>
                <w:iCs/>
                <w:sz w:val="20"/>
                <w:szCs w:val="18"/>
              </w:rPr>
              <w:t xml:space="preserve">: </w:t>
            </w:r>
            <w:r>
              <w:rPr>
                <w:i/>
                <w:iCs/>
                <w:sz w:val="20"/>
                <w:szCs w:val="18"/>
              </w:rPr>
              <w:t>F</w:t>
            </w:r>
          </w:p>
          <w:p w:rsidR="00FA4CF5" w:rsidRPr="0046445B" w:rsidRDefault="00FA4CF5" w:rsidP="00FA4CF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0.92</w:t>
            </w:r>
          </w:p>
          <w:p w:rsidR="00FA4CF5" w:rsidRPr="0046445B" w:rsidRDefault="00FA4CF5" w:rsidP="00FA4CF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14.3  –  82.7</w:t>
            </w:r>
          </w:p>
          <w:p w:rsidR="00FA4CF5" w:rsidRPr="0046445B" w:rsidRDefault="00FA4CF5" w:rsidP="00FA4CF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0.54  –  1.11</w:t>
            </w:r>
          </w:p>
          <w:p w:rsidR="00FA4CF5" w:rsidRDefault="00FA4CF5" w:rsidP="0088010A">
            <w:pPr>
              <w:rPr>
                <w:i/>
                <w:iCs/>
                <w:sz w:val="20"/>
                <w:szCs w:val="18"/>
              </w:rPr>
            </w:pPr>
            <w:r w:rsidRPr="009754AA">
              <w:rPr>
                <w:i/>
                <w:iCs/>
                <w:sz w:val="20"/>
                <w:szCs w:val="18"/>
              </w:rPr>
              <w:t>references</w:t>
            </w:r>
            <w:r w:rsidRPr="00F3140E">
              <w:rPr>
                <w:rFonts w:cs="Times New Roman"/>
                <w:i/>
                <w:iCs/>
                <w:sz w:val="20"/>
                <w:szCs w:val="18"/>
                <w:vertAlign w:val="superscript"/>
              </w:rPr>
              <w:t>†</w:t>
            </w:r>
            <w:r w:rsidRPr="009754AA">
              <w:rPr>
                <w:i/>
                <w:iCs/>
                <w:sz w:val="20"/>
                <w:szCs w:val="18"/>
              </w:rPr>
              <w:t xml:space="preserve">: </w:t>
            </w:r>
            <w:r>
              <w:rPr>
                <w:i/>
                <w:iCs/>
                <w:sz w:val="20"/>
                <w:szCs w:val="18"/>
              </w:rPr>
              <w:t>L (70°C)</w:t>
            </w:r>
          </w:p>
          <w:p w:rsidR="00FA4CF5" w:rsidRDefault="00FA4CF5" w:rsidP="00FA4CF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left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0.45</w:t>
            </w:r>
          </w:p>
          <w:p w:rsidR="00FA4CF5" w:rsidRDefault="00FA4CF5" w:rsidP="00FA4CF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left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 xml:space="preserve">5.3  –  85.3 </w:t>
            </w:r>
          </w:p>
          <w:p w:rsidR="00FA4CF5" w:rsidRDefault="00FA4CF5" w:rsidP="00FA4CF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left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0.01  – 1</w:t>
            </w:r>
          </w:p>
        </w:tc>
        <w:tc>
          <w:tcPr>
            <w:tcW w:w="2265" w:type="dxa"/>
          </w:tcPr>
          <w:p w:rsidR="00FA4CF5" w:rsidRDefault="00FA4CF5" w:rsidP="0088010A">
            <w:pPr>
              <w:rPr>
                <w:i/>
                <w:iCs/>
                <w:sz w:val="20"/>
                <w:szCs w:val="18"/>
              </w:rPr>
            </w:pPr>
            <w:r w:rsidRPr="009754AA">
              <w:rPr>
                <w:i/>
                <w:iCs/>
                <w:sz w:val="20"/>
                <w:szCs w:val="18"/>
              </w:rPr>
              <w:t>references</w:t>
            </w:r>
            <w:r w:rsidRPr="00F3140E">
              <w:rPr>
                <w:rFonts w:cs="Times New Roman"/>
                <w:i/>
                <w:iCs/>
                <w:sz w:val="20"/>
                <w:szCs w:val="18"/>
                <w:vertAlign w:val="superscript"/>
              </w:rPr>
              <w:t>†</w:t>
            </w:r>
            <w:r w:rsidRPr="009754AA">
              <w:rPr>
                <w:i/>
                <w:iCs/>
                <w:sz w:val="20"/>
                <w:szCs w:val="18"/>
              </w:rPr>
              <w:t xml:space="preserve">: </w:t>
            </w:r>
            <w:r>
              <w:rPr>
                <w:i/>
                <w:iCs/>
                <w:sz w:val="20"/>
                <w:szCs w:val="18"/>
              </w:rPr>
              <w:t>B</w:t>
            </w:r>
          </w:p>
          <w:p w:rsidR="00FA4CF5" w:rsidRPr="0046445B" w:rsidRDefault="00FA4CF5" w:rsidP="00FA4CF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0.91  –  0.92</w:t>
            </w:r>
          </w:p>
          <w:p w:rsidR="00FA4CF5" w:rsidRPr="0046445B" w:rsidRDefault="00FA4CF5" w:rsidP="00FA4CF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37.5  –  96.3</w:t>
            </w:r>
          </w:p>
          <w:p w:rsidR="00FA4CF5" w:rsidRPr="0046445B" w:rsidRDefault="00FA4CF5" w:rsidP="00FA4CF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0.81  –  1.12</w:t>
            </w:r>
          </w:p>
          <w:p w:rsidR="00FA4CF5" w:rsidRDefault="00FA4CF5" w:rsidP="0088010A">
            <w:pPr>
              <w:rPr>
                <w:i/>
                <w:iCs/>
                <w:sz w:val="20"/>
                <w:szCs w:val="18"/>
              </w:rPr>
            </w:pPr>
            <w:r w:rsidRPr="009754AA">
              <w:rPr>
                <w:i/>
                <w:iCs/>
                <w:sz w:val="20"/>
                <w:szCs w:val="18"/>
              </w:rPr>
              <w:t>references</w:t>
            </w:r>
            <w:r w:rsidRPr="00F3140E">
              <w:rPr>
                <w:rFonts w:cs="Times New Roman"/>
                <w:i/>
                <w:iCs/>
                <w:sz w:val="20"/>
                <w:szCs w:val="18"/>
                <w:vertAlign w:val="superscript"/>
              </w:rPr>
              <w:t>†</w:t>
            </w:r>
            <w:r w:rsidRPr="009754AA">
              <w:rPr>
                <w:i/>
                <w:iCs/>
                <w:sz w:val="20"/>
                <w:szCs w:val="18"/>
              </w:rPr>
              <w:t xml:space="preserve">: </w:t>
            </w:r>
            <w:r>
              <w:rPr>
                <w:i/>
                <w:iCs/>
                <w:sz w:val="20"/>
                <w:szCs w:val="18"/>
              </w:rPr>
              <w:t>N/A</w:t>
            </w:r>
          </w:p>
          <w:p w:rsidR="00FA4CF5" w:rsidRDefault="00FA4CF5" w:rsidP="00FA4CF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left"/>
              <w:rPr>
                <w:sz w:val="20"/>
                <w:szCs w:val="18"/>
              </w:rPr>
            </w:pPr>
          </w:p>
          <w:p w:rsidR="00FA4CF5" w:rsidRDefault="00FA4CF5" w:rsidP="00FA4CF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left"/>
              <w:rPr>
                <w:sz w:val="20"/>
                <w:szCs w:val="18"/>
              </w:rPr>
            </w:pPr>
          </w:p>
          <w:p w:rsidR="00FA4CF5" w:rsidRDefault="00FA4CF5" w:rsidP="00FA4CF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left"/>
              <w:rPr>
                <w:sz w:val="20"/>
                <w:szCs w:val="18"/>
              </w:rPr>
            </w:pPr>
          </w:p>
        </w:tc>
      </w:tr>
    </w:tbl>
    <w:p w:rsidR="00FA4CF5" w:rsidRPr="00987BAC" w:rsidRDefault="00FA4CF5" w:rsidP="00FA4CF5">
      <w:pPr>
        <w:spacing w:after="0" w:line="240" w:lineRule="auto"/>
        <w:rPr>
          <w:rFonts w:cs="Times New Roman"/>
          <w:sz w:val="20"/>
          <w:szCs w:val="20"/>
        </w:rPr>
      </w:pPr>
      <w:r w:rsidRPr="00987BAC">
        <w:rPr>
          <w:rFonts w:cs="Times New Roman"/>
          <w:sz w:val="20"/>
          <w:szCs w:val="20"/>
          <w:vertAlign w:val="superscript"/>
        </w:rPr>
        <w:t>†</w:t>
      </w:r>
      <w:r w:rsidRPr="00987BAC">
        <w:rPr>
          <w:rFonts w:cs="Times New Roman"/>
          <w:i/>
          <w:iCs/>
          <w:sz w:val="20"/>
          <w:szCs w:val="20"/>
          <w:vertAlign w:val="superscript"/>
        </w:rPr>
        <w:t xml:space="preserve"> </w:t>
      </w:r>
      <w:r w:rsidRPr="00987BAC">
        <w:rPr>
          <w:rFonts w:cs="Times New Roman"/>
          <w:sz w:val="20"/>
          <w:szCs w:val="20"/>
        </w:rPr>
        <w:t xml:space="preserve">References used in </w:t>
      </w:r>
      <w:r w:rsidR="002F7084">
        <w:rPr>
          <w:rFonts w:cs="Times New Roman"/>
          <w:sz w:val="20"/>
          <w:szCs w:val="20"/>
        </w:rPr>
        <w:t>Figure 4</w:t>
      </w:r>
      <w:bookmarkStart w:id="1" w:name="_GoBack"/>
      <w:bookmarkEnd w:id="1"/>
      <w:r w:rsidRPr="00987BAC">
        <w:rPr>
          <w:rFonts w:cs="Times New Roman"/>
          <w:sz w:val="20"/>
          <w:szCs w:val="20"/>
        </w:rPr>
        <w:t>.</w:t>
      </w:r>
    </w:p>
    <w:p w:rsidR="00FA4CF5" w:rsidRDefault="00FA4CF5" w:rsidP="00FA4CF5">
      <w:pPr>
        <w:spacing w:after="0" w:line="240" w:lineRule="auto"/>
        <w:rPr>
          <w:sz w:val="20"/>
          <w:szCs w:val="20"/>
          <w:lang w:eastAsia="de-DE"/>
        </w:rPr>
      </w:pPr>
      <w:r w:rsidRPr="00987BAC">
        <w:rPr>
          <w:rFonts w:cs="Times New Roman"/>
          <w:sz w:val="20"/>
          <w:szCs w:val="20"/>
          <w:vertAlign w:val="superscript"/>
        </w:rPr>
        <w:t>‡</w:t>
      </w:r>
      <w:r w:rsidRPr="00987BAC">
        <w:rPr>
          <w:sz w:val="20"/>
          <w:szCs w:val="20"/>
          <w:lang w:eastAsia="de-DE"/>
        </w:rPr>
        <w:t xml:space="preserve"> Datasets were considered outliers when their CCC was lower than 0.</w:t>
      </w:r>
      <w:r>
        <w:rPr>
          <w:sz w:val="20"/>
          <w:szCs w:val="20"/>
          <w:lang w:eastAsia="de-DE"/>
        </w:rPr>
        <w:t>5</w:t>
      </w:r>
      <w:r w:rsidRPr="00987BAC">
        <w:rPr>
          <w:sz w:val="20"/>
          <w:szCs w:val="20"/>
          <w:lang w:eastAsia="de-DE"/>
        </w:rPr>
        <w:t>.</w:t>
      </w:r>
    </w:p>
    <w:p w:rsidR="00FA4CF5" w:rsidRDefault="00FA4CF5" w:rsidP="00FA4CF5">
      <w:pPr>
        <w:spacing w:after="0" w:line="240" w:lineRule="auto"/>
        <w:rPr>
          <w:sz w:val="20"/>
          <w:szCs w:val="20"/>
          <w:lang w:eastAsia="de-DE"/>
        </w:rPr>
      </w:pPr>
      <w:r w:rsidRPr="0051148D">
        <w:rPr>
          <w:i/>
          <w:iCs/>
          <w:sz w:val="20"/>
          <w:szCs w:val="20"/>
          <w:vertAlign w:val="superscript"/>
          <w:lang w:eastAsia="de-DE"/>
        </w:rPr>
        <w:t>a</w:t>
      </w:r>
      <w:r>
        <w:rPr>
          <w:sz w:val="20"/>
          <w:szCs w:val="20"/>
          <w:lang w:eastAsia="de-DE"/>
        </w:rPr>
        <w:t xml:space="preserve"> C</w:t>
      </w:r>
      <w:r w:rsidRPr="00442D93">
        <w:rPr>
          <w:sz w:val="20"/>
          <w:szCs w:val="20"/>
          <w:lang w:eastAsia="de-DE"/>
        </w:rPr>
        <w:t xml:space="preserve">oncordance Correlation Coefficient </w:t>
      </w:r>
      <w:r>
        <w:rPr>
          <w:sz w:val="20"/>
          <w:szCs w:val="20"/>
          <w:lang w:eastAsia="de-DE"/>
        </w:rPr>
        <w:t>d</w:t>
      </w:r>
      <w:r w:rsidRPr="000F3C80">
        <w:rPr>
          <w:sz w:val="20"/>
          <w:szCs w:val="20"/>
          <w:lang w:eastAsia="de-DE"/>
        </w:rPr>
        <w:t>efined in Eq. (S5) of the Supplementary Material</w:t>
      </w:r>
      <w:r>
        <w:rPr>
          <w:sz w:val="20"/>
          <w:szCs w:val="20"/>
          <w:lang w:eastAsia="de-DE"/>
        </w:rPr>
        <w:t xml:space="preserve">: </w:t>
      </w:r>
      <w:r w:rsidRPr="00B74B75">
        <w:rPr>
          <w:sz w:val="20"/>
          <w:szCs w:val="20"/>
          <w:lang w:eastAsia="de-DE"/>
        </w:rPr>
        <w:t>Measures the agreement between predicted and experimental values, accounting for both precision and bias. Values range from −1 (perfect disagreement) to 1 (perfect agreement).</w:t>
      </w:r>
    </w:p>
    <w:p w:rsidR="00FA4CF5" w:rsidRDefault="00FA4CF5" w:rsidP="00FA4CF5">
      <w:pPr>
        <w:spacing w:after="0" w:line="240" w:lineRule="auto"/>
        <w:rPr>
          <w:sz w:val="20"/>
          <w:szCs w:val="20"/>
          <w:lang w:eastAsia="de-DE"/>
        </w:rPr>
      </w:pPr>
      <w:r w:rsidRPr="00BD3FF5">
        <w:rPr>
          <w:i/>
          <w:iCs/>
          <w:sz w:val="20"/>
          <w:szCs w:val="20"/>
          <w:vertAlign w:val="superscript"/>
          <w:lang w:eastAsia="de-DE"/>
        </w:rPr>
        <w:t>b</w:t>
      </w:r>
      <w:r>
        <w:rPr>
          <w:i/>
          <w:iCs/>
          <w:sz w:val="20"/>
          <w:szCs w:val="20"/>
          <w:vertAlign w:val="superscript"/>
          <w:lang w:eastAsia="de-DE"/>
        </w:rPr>
        <w:t xml:space="preserve"> </w:t>
      </w:r>
      <w:r w:rsidRPr="00442D93">
        <w:rPr>
          <w:sz w:val="20"/>
          <w:szCs w:val="20"/>
          <w:lang w:eastAsia="de-DE"/>
        </w:rPr>
        <w:t>Prediction Interval Coverage Probability</w:t>
      </w:r>
      <w:r>
        <w:rPr>
          <w:sz w:val="20"/>
          <w:szCs w:val="20"/>
          <w:lang w:eastAsia="de-DE"/>
        </w:rPr>
        <w:t xml:space="preserve"> defined in E</w:t>
      </w:r>
      <w:r w:rsidRPr="004B6FD6">
        <w:rPr>
          <w:sz w:val="20"/>
          <w:szCs w:val="20"/>
          <w:lang w:eastAsia="de-DE"/>
        </w:rPr>
        <w:t>q. (S8) of the Supplementary Materia</w:t>
      </w:r>
      <w:r>
        <w:rPr>
          <w:sz w:val="20"/>
          <w:szCs w:val="20"/>
          <w:lang w:eastAsia="de-DE"/>
        </w:rPr>
        <w:t xml:space="preserve">l: </w:t>
      </w:r>
      <w:r w:rsidRPr="002216B8">
        <w:rPr>
          <w:sz w:val="20"/>
          <w:szCs w:val="20"/>
          <w:lang w:eastAsia="de-DE"/>
        </w:rPr>
        <w:t>Estimates the fraction of experimental data points within the model's prediction intervals, reflecting the reliability of uncertainty quantification</w:t>
      </w:r>
      <w:r>
        <w:rPr>
          <w:sz w:val="20"/>
          <w:szCs w:val="20"/>
          <w:lang w:eastAsia="de-DE"/>
        </w:rPr>
        <w:t xml:space="preserve">. </w:t>
      </w:r>
      <w:r w:rsidRPr="00E21C96">
        <w:rPr>
          <w:sz w:val="20"/>
          <w:szCs w:val="20"/>
          <w:lang w:eastAsia="de-DE"/>
        </w:rPr>
        <w:t>For multiple datasets, the range of values represents the minimum and maximum of the likeliest PICP value observed across the datasets. For a single dataset, the 95% confidence interval is provided, as calculated in Eqs. (S9)-(S10) of the Supplementary Material.</w:t>
      </w:r>
    </w:p>
    <w:p w:rsidR="00D76119" w:rsidRDefault="00FA4CF5" w:rsidP="00FA4CF5">
      <w:r w:rsidRPr="00C90A02">
        <w:rPr>
          <w:i/>
          <w:iCs/>
          <w:sz w:val="20"/>
          <w:szCs w:val="20"/>
          <w:vertAlign w:val="superscript"/>
          <w:lang w:eastAsia="de-DE"/>
        </w:rPr>
        <w:t>c</w:t>
      </w:r>
      <w:r>
        <w:rPr>
          <w:sz w:val="20"/>
          <w:szCs w:val="20"/>
          <w:lang w:eastAsia="de-DE"/>
        </w:rPr>
        <w:t xml:space="preserve"> Relative Deviation c</w:t>
      </w:r>
      <w:r w:rsidRPr="00D93B4A">
        <w:rPr>
          <w:sz w:val="20"/>
          <w:szCs w:val="20"/>
          <w:lang w:eastAsia="de-DE"/>
        </w:rPr>
        <w:t>haracterizes the systematic under- or over-estimation of predictions relative to experimental values.</w:t>
      </w:r>
      <w:r>
        <w:rPr>
          <w:sz w:val="20"/>
          <w:szCs w:val="20"/>
          <w:lang w:eastAsia="de-DE"/>
        </w:rPr>
        <w:t xml:space="preserve"> </w:t>
      </w:r>
      <w:r w:rsidRPr="003B5A18">
        <w:rPr>
          <w:sz w:val="20"/>
          <w:szCs w:val="20"/>
          <w:lang w:eastAsia="de-DE"/>
        </w:rPr>
        <w:t>For multiple datasets, the range of values represents the minimum and maximum of the likeliest deviation ratio. For a single dataset, the 95% confidence interval is provided instead.</w:t>
      </w:r>
    </w:p>
    <w:sectPr w:rsidR="00D7611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870B1"/>
    <w:multiLevelType w:val="hybridMultilevel"/>
    <w:tmpl w:val="2CAAD3FC"/>
    <w:lvl w:ilvl="0" w:tplc="4BCC2F4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2F10DC"/>
    <w:multiLevelType w:val="hybridMultilevel"/>
    <w:tmpl w:val="1304F4DE"/>
    <w:lvl w:ilvl="0" w:tplc="4BCC2F4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24287B"/>
    <w:multiLevelType w:val="hybridMultilevel"/>
    <w:tmpl w:val="34CE2FB4"/>
    <w:lvl w:ilvl="0" w:tplc="4BCC2F4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C78"/>
    <w:rsid w:val="00057948"/>
    <w:rsid w:val="000A4C77"/>
    <w:rsid w:val="00177564"/>
    <w:rsid w:val="001A4313"/>
    <w:rsid w:val="001D5B83"/>
    <w:rsid w:val="002F7084"/>
    <w:rsid w:val="005E51FB"/>
    <w:rsid w:val="00647B22"/>
    <w:rsid w:val="00AD2C78"/>
    <w:rsid w:val="00C77999"/>
    <w:rsid w:val="00C97C45"/>
    <w:rsid w:val="00D76119"/>
    <w:rsid w:val="00F048B1"/>
    <w:rsid w:val="00F643A5"/>
    <w:rsid w:val="00FA4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3C90F9-2690-4683-BEA9-68F807999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3A5"/>
    <w:pPr>
      <w:spacing w:after="200" w:line="480" w:lineRule="auto"/>
      <w:ind w:left="720"/>
      <w:contextualSpacing/>
      <w:jc w:val="both"/>
    </w:pPr>
    <w:rPr>
      <w:rFonts w:ascii="Times New Roman" w:eastAsiaTheme="minorEastAsia" w:hAnsi="Times New Roman"/>
      <w:sz w:val="24"/>
    </w:rPr>
  </w:style>
  <w:style w:type="table" w:styleId="TableGrid">
    <w:name w:val="Table Grid"/>
    <w:basedOn w:val="TableNormal"/>
    <w:uiPriority w:val="39"/>
    <w:rsid w:val="00F643A5"/>
    <w:pPr>
      <w:spacing w:after="0" w:line="240" w:lineRule="auto"/>
    </w:pPr>
    <w:rPr>
      <w:rFonts w:eastAsiaTheme="minorEastAsia"/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643A5"/>
    <w:pPr>
      <w:spacing w:after="200" w:line="240" w:lineRule="auto"/>
      <w:jc w:val="both"/>
    </w:pPr>
    <w:rPr>
      <w:rFonts w:ascii="Times New Roman" w:eastAsiaTheme="minorEastAsia" w:hAnsi="Times New Roman"/>
      <w:b/>
      <w:bCs/>
      <w:color w:val="4472C4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373</Words>
  <Characters>2129</Characters>
  <Application>Microsoft Office Word</Application>
  <DocSecurity>0</DocSecurity>
  <Lines>17</Lines>
  <Paragraphs>4</Paragraphs>
  <ScaleCrop>false</ScaleCrop>
  <Company>INRA</Company>
  <LinksUpToDate>false</LinksUpToDate>
  <CharactersWithSpaces>2498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Vitrac</dc:creator>
  <cp:keywords/>
  <dc:description/>
  <cp:lastModifiedBy>Olivier Vitrac</cp:lastModifiedBy>
  <cp:revision>4</cp:revision>
  <dcterms:created xsi:type="dcterms:W3CDTF">2025-02-18T10:10:00Z</dcterms:created>
  <dcterms:modified xsi:type="dcterms:W3CDTF">2025-02-18T15:29:00Z</dcterms:modified>
</cp:coreProperties>
</file>