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Sweep Report: Emergent Gravity from Quantum Collapse</w:t>
      </w:r>
    </w:p>
    <w:p>
      <w:r>
        <w:t>Sweep results are saved in CSV file: param_sweep_results_20250217_152225.csv</w:t>
      </w:r>
    </w:p>
    <w:p>
      <w:pPr>
        <w:pStyle w:val="Heading1"/>
      </w:pPr>
      <w:r>
        <w:t>Parameter Ranges</w:t>
      </w:r>
    </w:p>
    <w:p>
      <w:r>
        <w:t>collapse_rates = [0.1, 0.3, 0.5]</w:t>
        <w:br/>
        <w:t>collapse_sigmas = [0.1, 0.2]</w:t>
        <w:br/>
        <w:t>amplitudes = [0.5, 1.0]</w:t>
        <w:br/>
        <w:t>noise_amplitudes = [0.005, 0.01]</w:t>
        <w:br/>
        <w:t>density_decays = [0.99, 0.95]</w:t>
        <w:br/>
        <w:t>Fixed sim parameters: G=1.0, L=10.0, N=64, steps_per_cycle=50, num_cycles=2, dt=0.05</w:t>
        <w:br/>
      </w:r>
    </w:p>
    <w:p>
      <w:pPr>
        <w:pStyle w:val="Heading1"/>
      </w:pPr>
      <w:r>
        <w:t>Results and Discussion</w:t>
      </w:r>
    </w:p>
    <w:p>
      <w:r>
        <w:t>The parameter sweep systematically explores different combinations of collapse parameters. The noise spectrum slope (power-law exponent) is computed for each combination. A steeper negative slope (e.g., near -5) suggests that high-frequency fluctuations are strongly suppressed, which might indicate that the emergent gravitational potential is dominated by large-scale, coherent structures. Conversely, a shallower slope (e.g., near -1 or -2) would imply more small-scale noise. These results provide an independent quantitative signature that can eventually be compared with experimental data from short-range gravity tests or gravitational-wave detectors.</w:t>
        <w:br/>
      </w:r>
    </w:p>
    <w:p>
      <w:pPr>
        <w:pStyle w:val="Heading1"/>
      </w:pPr>
      <w:r>
        <w:t>Next Steps</w:t>
      </w:r>
    </w:p>
    <w:p>
      <w:r>
        <w:t>1) Identify parameter combinations that consistently yield slopes near -5.</w:t>
        <w:br/>
        <w:t>2) Increase simulation resolution and number of cycles for robust statistics.</w:t>
        <w:br/>
        <w:t>3) Run control simulations with independently generated potentials to guard against circularity.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